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CB4215" w:rsidRDefault="000530B4">
      <w:pPr>
        <w:jc w:val="center"/>
        <w:rPr>
          <w:b/>
          <w:sz w:val="24"/>
          <w:szCs w:val="24"/>
        </w:rPr>
      </w:pPr>
      <w:bookmarkStart w:id="0" w:name="_heading=h.gjdgxs" w:colFirst="0" w:colLast="0"/>
      <w:bookmarkEnd w:id="0"/>
      <w:r>
        <w:rPr>
          <w:noProof/>
        </w:rPr>
        <w:drawing>
          <wp:anchor distT="0" distB="0" distL="114300" distR="114300" simplePos="0" relativeHeight="251658240" behindDoc="0" locked="0" layoutInCell="1" hidden="0" allowOverlap="1" wp14:anchorId="47F834A5" wp14:editId="18087DC7">
            <wp:simplePos x="0" y="0"/>
            <wp:positionH relativeFrom="column">
              <wp:posOffset>1258214</wp:posOffset>
            </wp:positionH>
            <wp:positionV relativeFrom="paragraph">
              <wp:posOffset>101808</wp:posOffset>
            </wp:positionV>
            <wp:extent cx="3036570" cy="915278"/>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36570" cy="915278"/>
                    </a:xfrm>
                    <a:prstGeom prst="rect">
                      <a:avLst/>
                    </a:prstGeom>
                    <a:ln/>
                  </pic:spPr>
                </pic:pic>
              </a:graphicData>
            </a:graphic>
          </wp:anchor>
        </w:drawing>
      </w:r>
    </w:p>
    <w:p w14:paraId="00000002" w14:textId="77777777" w:rsidR="00CB4215" w:rsidRDefault="00CB4215">
      <w:pPr>
        <w:jc w:val="center"/>
        <w:rPr>
          <w:b/>
          <w:sz w:val="24"/>
          <w:szCs w:val="24"/>
        </w:rPr>
      </w:pPr>
    </w:p>
    <w:p w14:paraId="00000003" w14:textId="77777777" w:rsidR="00CB4215" w:rsidRDefault="00CB4215">
      <w:pPr>
        <w:jc w:val="center"/>
        <w:rPr>
          <w:b/>
          <w:sz w:val="24"/>
          <w:szCs w:val="24"/>
        </w:rPr>
      </w:pPr>
    </w:p>
    <w:p w14:paraId="00000004" w14:textId="77777777" w:rsidR="00CB4215" w:rsidRDefault="00CB4215">
      <w:pPr>
        <w:jc w:val="center"/>
        <w:rPr>
          <w:b/>
          <w:sz w:val="24"/>
          <w:szCs w:val="24"/>
        </w:rPr>
      </w:pPr>
    </w:p>
    <w:p w14:paraId="00000005" w14:textId="77777777" w:rsidR="00CB4215" w:rsidRDefault="00CB4215">
      <w:pPr>
        <w:jc w:val="center"/>
        <w:rPr>
          <w:b/>
          <w:sz w:val="24"/>
          <w:szCs w:val="24"/>
        </w:rPr>
      </w:pPr>
    </w:p>
    <w:p w14:paraId="00000006" w14:textId="77777777" w:rsidR="00CB4215" w:rsidRDefault="00CB4215">
      <w:pPr>
        <w:jc w:val="center"/>
        <w:rPr>
          <w:b/>
          <w:sz w:val="24"/>
          <w:szCs w:val="24"/>
        </w:rPr>
      </w:pPr>
    </w:p>
    <w:p w14:paraId="00000007" w14:textId="77777777" w:rsidR="00CB4215" w:rsidRDefault="00CB4215">
      <w:pPr>
        <w:jc w:val="center"/>
        <w:rPr>
          <w:b/>
          <w:sz w:val="24"/>
          <w:szCs w:val="24"/>
        </w:rPr>
      </w:pPr>
    </w:p>
    <w:p w14:paraId="00000008" w14:textId="77777777" w:rsidR="00CB4215" w:rsidRDefault="00CB4215">
      <w:pPr>
        <w:jc w:val="center"/>
        <w:rPr>
          <w:b/>
          <w:sz w:val="24"/>
          <w:szCs w:val="24"/>
        </w:rPr>
      </w:pPr>
    </w:p>
    <w:p w14:paraId="00000009" w14:textId="77777777" w:rsidR="00CB4215" w:rsidRDefault="00CB4215">
      <w:pPr>
        <w:jc w:val="center"/>
        <w:rPr>
          <w:b/>
          <w:sz w:val="24"/>
          <w:szCs w:val="24"/>
        </w:rPr>
      </w:pPr>
    </w:p>
    <w:p w14:paraId="0000000A" w14:textId="77777777" w:rsidR="00CB4215" w:rsidRDefault="00CB4215">
      <w:pPr>
        <w:jc w:val="center"/>
        <w:rPr>
          <w:b/>
          <w:sz w:val="24"/>
          <w:szCs w:val="24"/>
        </w:rPr>
      </w:pPr>
    </w:p>
    <w:p w14:paraId="0000000B" w14:textId="77777777" w:rsidR="00CB4215" w:rsidRDefault="00CB4215">
      <w:pPr>
        <w:jc w:val="center"/>
        <w:rPr>
          <w:b/>
          <w:sz w:val="24"/>
          <w:szCs w:val="24"/>
        </w:rPr>
      </w:pPr>
    </w:p>
    <w:p w14:paraId="0000000C" w14:textId="77777777" w:rsidR="00CB4215" w:rsidRDefault="00CB4215">
      <w:pPr>
        <w:jc w:val="center"/>
        <w:rPr>
          <w:b/>
          <w:sz w:val="24"/>
          <w:szCs w:val="24"/>
        </w:rPr>
      </w:pPr>
    </w:p>
    <w:p w14:paraId="0000000D" w14:textId="77777777" w:rsidR="00CB4215" w:rsidRDefault="000530B4">
      <w:pPr>
        <w:spacing w:line="480" w:lineRule="auto"/>
        <w:jc w:val="center"/>
        <w:rPr>
          <w:b/>
          <w:sz w:val="32"/>
          <w:szCs w:val="32"/>
        </w:rPr>
      </w:pPr>
      <w:r>
        <w:rPr>
          <w:rFonts w:ascii="Times New Roman" w:eastAsia="Times New Roman" w:hAnsi="Times New Roman" w:cs="Times New Roman"/>
          <w:b/>
          <w:sz w:val="32"/>
          <w:szCs w:val="32"/>
        </w:rPr>
        <w:t>The Influence of Meal Timing on Body Mass Index (BMI), Eating Behaviour Traits, and Health Behaviours</w:t>
      </w:r>
    </w:p>
    <w:p w14:paraId="0000000E" w14:textId="77777777" w:rsidR="00CB4215" w:rsidRDefault="00CB4215">
      <w:pPr>
        <w:rPr>
          <w:sz w:val="24"/>
          <w:szCs w:val="24"/>
        </w:rPr>
      </w:pPr>
    </w:p>
    <w:p w14:paraId="0000000F" w14:textId="77777777" w:rsidR="00CB4215" w:rsidRDefault="00CB4215">
      <w:pPr>
        <w:jc w:val="center"/>
        <w:rPr>
          <w:sz w:val="24"/>
          <w:szCs w:val="24"/>
        </w:rPr>
      </w:pPr>
    </w:p>
    <w:p w14:paraId="00000010" w14:textId="77777777" w:rsidR="00CB4215" w:rsidRDefault="00CB4215">
      <w:pPr>
        <w:jc w:val="center"/>
        <w:rPr>
          <w:sz w:val="24"/>
          <w:szCs w:val="24"/>
        </w:rPr>
      </w:pPr>
    </w:p>
    <w:p w14:paraId="00000011" w14:textId="77777777" w:rsidR="00CB4215" w:rsidRDefault="00CB4215">
      <w:pPr>
        <w:jc w:val="center"/>
        <w:rPr>
          <w:sz w:val="24"/>
          <w:szCs w:val="24"/>
        </w:rPr>
      </w:pPr>
    </w:p>
    <w:p w14:paraId="00000012" w14:textId="77777777" w:rsidR="00CB4215" w:rsidRPr="00577BB4" w:rsidRDefault="000530B4">
      <w:pPr>
        <w:jc w:val="center"/>
        <w:rPr>
          <w:rFonts w:ascii="Times New Roman" w:hAnsi="Times New Roman" w:cs="Times New Roman"/>
          <w:sz w:val="28"/>
          <w:szCs w:val="28"/>
        </w:rPr>
      </w:pPr>
      <w:r w:rsidRPr="00577BB4">
        <w:rPr>
          <w:rFonts w:ascii="Times New Roman" w:hAnsi="Times New Roman" w:cs="Times New Roman"/>
          <w:sz w:val="28"/>
          <w:szCs w:val="28"/>
        </w:rPr>
        <w:t>By</w:t>
      </w:r>
    </w:p>
    <w:p w14:paraId="00000013" w14:textId="77777777" w:rsidR="00CB4215" w:rsidRPr="00577BB4" w:rsidRDefault="000530B4">
      <w:pPr>
        <w:jc w:val="center"/>
        <w:rPr>
          <w:rFonts w:ascii="Times New Roman" w:hAnsi="Times New Roman" w:cs="Times New Roman"/>
          <w:sz w:val="28"/>
          <w:szCs w:val="28"/>
        </w:rPr>
      </w:pPr>
      <w:r w:rsidRPr="00577BB4">
        <w:rPr>
          <w:rFonts w:ascii="Times New Roman" w:hAnsi="Times New Roman" w:cs="Times New Roman"/>
          <w:sz w:val="28"/>
          <w:szCs w:val="28"/>
        </w:rPr>
        <w:t>Bixuan Yan</w:t>
      </w:r>
    </w:p>
    <w:p w14:paraId="00000014" w14:textId="77777777" w:rsidR="00CB4215" w:rsidRPr="00577BB4" w:rsidRDefault="00CB4215">
      <w:pPr>
        <w:jc w:val="center"/>
        <w:rPr>
          <w:rFonts w:ascii="Times New Roman" w:hAnsi="Times New Roman" w:cs="Times New Roman"/>
          <w:sz w:val="28"/>
          <w:szCs w:val="28"/>
        </w:rPr>
      </w:pPr>
    </w:p>
    <w:p w14:paraId="00000015" w14:textId="77777777" w:rsidR="00CB4215" w:rsidRPr="00577BB4" w:rsidRDefault="00CB4215">
      <w:pPr>
        <w:jc w:val="center"/>
        <w:rPr>
          <w:rFonts w:ascii="Times New Roman" w:hAnsi="Times New Roman" w:cs="Times New Roman"/>
          <w:sz w:val="28"/>
          <w:szCs w:val="28"/>
        </w:rPr>
      </w:pPr>
    </w:p>
    <w:p w14:paraId="00000016" w14:textId="77777777" w:rsidR="00CB4215" w:rsidRPr="00577BB4" w:rsidRDefault="000530B4">
      <w:pPr>
        <w:jc w:val="center"/>
        <w:rPr>
          <w:rFonts w:ascii="Times New Roman" w:hAnsi="Times New Roman" w:cs="Times New Roman"/>
          <w:sz w:val="24"/>
          <w:szCs w:val="24"/>
        </w:rPr>
      </w:pPr>
      <w:r w:rsidRPr="00577BB4">
        <w:rPr>
          <w:rFonts w:ascii="Times New Roman" w:hAnsi="Times New Roman" w:cs="Times New Roman"/>
          <w:sz w:val="24"/>
          <w:szCs w:val="24"/>
        </w:rPr>
        <w:t>A thesis submitted in partial fulfilment of the requirements for the degree of</w:t>
      </w:r>
    </w:p>
    <w:p w14:paraId="00000017" w14:textId="77777777" w:rsidR="00CB4215" w:rsidRPr="00577BB4" w:rsidRDefault="000530B4">
      <w:pPr>
        <w:jc w:val="center"/>
        <w:rPr>
          <w:rFonts w:ascii="Times New Roman" w:hAnsi="Times New Roman" w:cs="Times New Roman"/>
          <w:sz w:val="24"/>
          <w:szCs w:val="24"/>
        </w:rPr>
      </w:pPr>
      <w:r w:rsidRPr="00577BB4">
        <w:rPr>
          <w:rFonts w:ascii="Times New Roman" w:hAnsi="Times New Roman" w:cs="Times New Roman"/>
          <w:sz w:val="24"/>
          <w:szCs w:val="24"/>
        </w:rPr>
        <w:t xml:space="preserve">Doctor of Philosophy </w:t>
      </w:r>
    </w:p>
    <w:p w14:paraId="00000018" w14:textId="77777777" w:rsidR="00CB4215" w:rsidRPr="00577BB4" w:rsidRDefault="00CB4215">
      <w:pPr>
        <w:rPr>
          <w:rFonts w:ascii="Times New Roman" w:hAnsi="Times New Roman" w:cs="Times New Roman"/>
          <w:sz w:val="24"/>
          <w:szCs w:val="24"/>
        </w:rPr>
      </w:pPr>
    </w:p>
    <w:p w14:paraId="00000019" w14:textId="77777777" w:rsidR="00CB4215" w:rsidRPr="00577BB4" w:rsidRDefault="00CB4215">
      <w:pPr>
        <w:jc w:val="center"/>
        <w:rPr>
          <w:rFonts w:ascii="Times New Roman" w:hAnsi="Times New Roman" w:cs="Times New Roman"/>
          <w:sz w:val="24"/>
          <w:szCs w:val="24"/>
        </w:rPr>
      </w:pPr>
    </w:p>
    <w:p w14:paraId="0000001A" w14:textId="77777777" w:rsidR="00CB4215" w:rsidRPr="00577BB4" w:rsidRDefault="00CB4215">
      <w:pPr>
        <w:jc w:val="center"/>
        <w:rPr>
          <w:rFonts w:ascii="Times New Roman" w:hAnsi="Times New Roman" w:cs="Times New Roman"/>
          <w:sz w:val="24"/>
          <w:szCs w:val="24"/>
        </w:rPr>
      </w:pPr>
    </w:p>
    <w:p w14:paraId="0000001B" w14:textId="77777777" w:rsidR="00CB4215" w:rsidRPr="00577BB4" w:rsidRDefault="00CB4215">
      <w:pPr>
        <w:jc w:val="center"/>
        <w:rPr>
          <w:rFonts w:ascii="Times New Roman" w:hAnsi="Times New Roman" w:cs="Times New Roman"/>
          <w:sz w:val="24"/>
          <w:szCs w:val="24"/>
        </w:rPr>
      </w:pPr>
    </w:p>
    <w:p w14:paraId="0000001C" w14:textId="77777777" w:rsidR="00CB4215" w:rsidRPr="00577BB4" w:rsidRDefault="000530B4">
      <w:pPr>
        <w:jc w:val="center"/>
        <w:rPr>
          <w:rFonts w:ascii="Times New Roman" w:hAnsi="Times New Roman" w:cs="Times New Roman"/>
          <w:sz w:val="24"/>
          <w:szCs w:val="24"/>
        </w:rPr>
      </w:pPr>
      <w:r w:rsidRPr="00577BB4">
        <w:rPr>
          <w:rFonts w:ascii="Times New Roman" w:hAnsi="Times New Roman" w:cs="Times New Roman"/>
          <w:sz w:val="24"/>
          <w:szCs w:val="24"/>
        </w:rPr>
        <w:t>The University of Sheffield</w:t>
      </w:r>
    </w:p>
    <w:p w14:paraId="0000001D" w14:textId="77777777" w:rsidR="00CB4215" w:rsidRPr="00577BB4" w:rsidRDefault="000530B4">
      <w:pPr>
        <w:jc w:val="center"/>
        <w:rPr>
          <w:rFonts w:ascii="Times New Roman" w:hAnsi="Times New Roman" w:cs="Times New Roman"/>
          <w:sz w:val="24"/>
          <w:szCs w:val="24"/>
        </w:rPr>
      </w:pPr>
      <w:r w:rsidRPr="00577BB4">
        <w:rPr>
          <w:rFonts w:ascii="Times New Roman" w:hAnsi="Times New Roman" w:cs="Times New Roman"/>
          <w:sz w:val="24"/>
          <w:szCs w:val="24"/>
        </w:rPr>
        <w:t>Faculty of Science</w:t>
      </w:r>
    </w:p>
    <w:p w14:paraId="0000001E" w14:textId="77777777" w:rsidR="00CB4215" w:rsidRPr="00577BB4" w:rsidRDefault="000530B4">
      <w:pPr>
        <w:jc w:val="center"/>
        <w:rPr>
          <w:rFonts w:ascii="Times New Roman" w:hAnsi="Times New Roman" w:cs="Times New Roman"/>
          <w:sz w:val="24"/>
          <w:szCs w:val="24"/>
        </w:rPr>
      </w:pPr>
      <w:r w:rsidRPr="00577BB4">
        <w:rPr>
          <w:rFonts w:ascii="Times New Roman" w:hAnsi="Times New Roman" w:cs="Times New Roman"/>
          <w:sz w:val="24"/>
          <w:szCs w:val="24"/>
        </w:rPr>
        <w:t>Department of Psychology</w:t>
      </w:r>
    </w:p>
    <w:p w14:paraId="0000001F" w14:textId="77777777" w:rsidR="00CB4215" w:rsidRDefault="00CB4215">
      <w:pPr>
        <w:rPr>
          <w:sz w:val="24"/>
          <w:szCs w:val="24"/>
        </w:rPr>
      </w:pPr>
    </w:p>
    <w:p w14:paraId="00000020" w14:textId="77777777" w:rsidR="00CB4215" w:rsidRDefault="00CB4215">
      <w:pPr>
        <w:rPr>
          <w:sz w:val="24"/>
          <w:szCs w:val="24"/>
        </w:rPr>
      </w:pPr>
    </w:p>
    <w:p w14:paraId="00000021" w14:textId="77777777" w:rsidR="00CB4215" w:rsidRDefault="00CB4215">
      <w:pPr>
        <w:rPr>
          <w:sz w:val="24"/>
          <w:szCs w:val="24"/>
        </w:rPr>
      </w:pPr>
    </w:p>
    <w:p w14:paraId="00000022" w14:textId="77777777" w:rsidR="00CB4215" w:rsidRDefault="00CB4215">
      <w:pPr>
        <w:rPr>
          <w:sz w:val="24"/>
          <w:szCs w:val="24"/>
        </w:rPr>
      </w:pPr>
    </w:p>
    <w:p w14:paraId="00000023" w14:textId="77777777" w:rsidR="00CB4215" w:rsidRDefault="00CB4215">
      <w:pPr>
        <w:rPr>
          <w:sz w:val="24"/>
          <w:szCs w:val="24"/>
        </w:rPr>
      </w:pPr>
    </w:p>
    <w:p w14:paraId="00000024" w14:textId="77777777" w:rsidR="00CB4215" w:rsidRDefault="00CB4215">
      <w:pPr>
        <w:rPr>
          <w:sz w:val="24"/>
          <w:szCs w:val="24"/>
        </w:rPr>
      </w:pPr>
    </w:p>
    <w:p w14:paraId="00000025" w14:textId="77777777" w:rsidR="00CB4215" w:rsidRPr="00FE4E71" w:rsidRDefault="00CB4215">
      <w:pPr>
        <w:jc w:val="center"/>
        <w:rPr>
          <w:rFonts w:ascii="Times New Roman" w:hAnsi="Times New Roman" w:cs="Times New Roman"/>
          <w:sz w:val="24"/>
          <w:szCs w:val="24"/>
        </w:rPr>
      </w:pPr>
    </w:p>
    <w:p w14:paraId="00000026" w14:textId="77777777" w:rsidR="00CB4215" w:rsidRPr="00FE4E71" w:rsidRDefault="000530B4">
      <w:pPr>
        <w:jc w:val="center"/>
        <w:rPr>
          <w:rFonts w:ascii="Times New Roman" w:hAnsi="Times New Roman" w:cs="Times New Roman"/>
          <w:i/>
          <w:sz w:val="24"/>
          <w:szCs w:val="24"/>
        </w:rPr>
        <w:sectPr w:rsidR="00CB4215" w:rsidRPr="00FE4E71">
          <w:footerReference w:type="default" r:id="rId10"/>
          <w:pgSz w:w="11909" w:h="16834"/>
          <w:pgMar w:top="1440" w:right="1440" w:bottom="1440" w:left="1440" w:header="720" w:footer="720" w:gutter="0"/>
          <w:pgNumType w:start="1"/>
          <w:cols w:space="720"/>
        </w:sectPr>
      </w:pPr>
      <w:r w:rsidRPr="00FE4E71">
        <w:rPr>
          <w:rFonts w:ascii="Times New Roman" w:hAnsi="Times New Roman" w:cs="Times New Roman"/>
          <w:i/>
          <w:sz w:val="24"/>
          <w:szCs w:val="24"/>
        </w:rPr>
        <w:t>July 2024</w:t>
      </w:r>
    </w:p>
    <w:p w14:paraId="00000027" w14:textId="77777777" w:rsidR="00CB4215" w:rsidRDefault="000530B4">
      <w:pPr>
        <w:pStyle w:val="Heading2"/>
        <w:rPr>
          <w:rFonts w:ascii="Times New Roman" w:eastAsia="Times New Roman" w:hAnsi="Times New Roman" w:cs="Times New Roman"/>
          <w:b/>
          <w:sz w:val="28"/>
          <w:szCs w:val="28"/>
        </w:rPr>
      </w:pPr>
      <w:bookmarkStart w:id="1" w:name="_Toc172984761"/>
      <w:r>
        <w:rPr>
          <w:rFonts w:ascii="Times New Roman" w:eastAsia="Times New Roman" w:hAnsi="Times New Roman" w:cs="Times New Roman"/>
          <w:b/>
          <w:sz w:val="28"/>
          <w:szCs w:val="28"/>
        </w:rPr>
        <w:lastRenderedPageBreak/>
        <w:t>Acknowledgement</w:t>
      </w:r>
      <w:bookmarkEnd w:id="1"/>
    </w:p>
    <w:p w14:paraId="00000028" w14:textId="77777777" w:rsidR="00CB4215" w:rsidRDefault="00CB4215">
      <w:pPr>
        <w:spacing w:line="480" w:lineRule="auto"/>
        <w:rPr>
          <w:rFonts w:ascii="Times New Roman" w:eastAsia="Times New Roman" w:hAnsi="Times New Roman" w:cs="Times New Roman"/>
          <w:sz w:val="24"/>
          <w:szCs w:val="24"/>
        </w:rPr>
      </w:pPr>
    </w:p>
    <w:p w14:paraId="0000002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begin, I would like to express my deepest gratitude to my supervisors, Dr Nicola Buckland and Dr Sam Caton, for their exceptional guidance, steadfast support, support at every stage of my research and invaluable mentorship throughout my PhD journey. Their profound expertise and insightful feedback have not only shaped my research but have also profoundly influenced my personal and professional development. You have been a source of knowledge and guidance throughout this PhD journey. I have been extremely fortunate to have such fantastic supervisors, who have trained and inspired my research skills alongside making this PhD a dynamic and thoroughly enjoyable challenge. Thank you for all your work and for always being a friendly face in the good times and the tough times.</w:t>
      </w:r>
    </w:p>
    <w:p w14:paraId="0000002A" w14:textId="77777777" w:rsidR="00CB4215" w:rsidRDefault="00CB4215">
      <w:pPr>
        <w:spacing w:line="480" w:lineRule="auto"/>
        <w:rPr>
          <w:rFonts w:ascii="Times New Roman" w:eastAsia="Times New Roman" w:hAnsi="Times New Roman" w:cs="Times New Roman"/>
          <w:sz w:val="24"/>
          <w:szCs w:val="24"/>
        </w:rPr>
      </w:pPr>
    </w:p>
    <w:p w14:paraId="0000002B"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also grateful to the wonderful PhD students in the Department of Psychology for sharing their support, knowledge and encouragement and I have met along the way for all your support - </w:t>
      </w:r>
      <w:proofErr w:type="spellStart"/>
      <w:r>
        <w:rPr>
          <w:rFonts w:ascii="Times New Roman" w:eastAsia="Times New Roman" w:hAnsi="Times New Roman" w:cs="Times New Roman"/>
          <w:sz w:val="24"/>
          <w:szCs w:val="24"/>
        </w:rPr>
        <w:t>Zhuozhuo</w:t>
      </w:r>
      <w:proofErr w:type="spellEnd"/>
      <w:r>
        <w:rPr>
          <w:rFonts w:ascii="Times New Roman" w:eastAsia="Times New Roman" w:hAnsi="Times New Roman" w:cs="Times New Roman"/>
          <w:sz w:val="24"/>
          <w:szCs w:val="24"/>
        </w:rPr>
        <w:t xml:space="preserve"> HU, </w:t>
      </w:r>
      <w:proofErr w:type="spellStart"/>
      <w:r>
        <w:rPr>
          <w:rFonts w:ascii="Times New Roman" w:eastAsia="Times New Roman" w:hAnsi="Times New Roman" w:cs="Times New Roman"/>
          <w:sz w:val="24"/>
          <w:szCs w:val="24"/>
        </w:rPr>
        <w:t>Wenyi</w:t>
      </w:r>
      <w:proofErr w:type="spellEnd"/>
      <w:r>
        <w:rPr>
          <w:rFonts w:ascii="Times New Roman" w:eastAsia="Times New Roman" w:hAnsi="Times New Roman" w:cs="Times New Roman"/>
          <w:sz w:val="24"/>
          <w:szCs w:val="24"/>
        </w:rPr>
        <w:t xml:space="preserve"> Xiao, </w:t>
      </w:r>
      <w:proofErr w:type="spellStart"/>
      <w:r>
        <w:rPr>
          <w:rFonts w:ascii="Times New Roman" w:eastAsia="Times New Roman" w:hAnsi="Times New Roman" w:cs="Times New Roman"/>
          <w:sz w:val="24"/>
          <w:szCs w:val="24"/>
        </w:rPr>
        <w:t>Shuangke</w:t>
      </w:r>
      <w:proofErr w:type="spellEnd"/>
      <w:r>
        <w:rPr>
          <w:rFonts w:ascii="Times New Roman" w:eastAsia="Times New Roman" w:hAnsi="Times New Roman" w:cs="Times New Roman"/>
          <w:sz w:val="24"/>
          <w:szCs w:val="24"/>
        </w:rPr>
        <w:t xml:space="preserve"> Jiang, Ankita </w:t>
      </w:r>
      <w:proofErr w:type="spellStart"/>
      <w:r>
        <w:rPr>
          <w:rFonts w:ascii="Times New Roman" w:eastAsia="Times New Roman" w:hAnsi="Times New Roman" w:cs="Times New Roman"/>
          <w:sz w:val="24"/>
          <w:szCs w:val="24"/>
        </w:rPr>
        <w:t>Sehrawat</w:t>
      </w:r>
      <w:proofErr w:type="spellEnd"/>
      <w:r>
        <w:rPr>
          <w:rFonts w:ascii="Times New Roman" w:eastAsia="Times New Roman" w:hAnsi="Times New Roman" w:cs="Times New Roman"/>
          <w:sz w:val="24"/>
          <w:szCs w:val="24"/>
        </w:rPr>
        <w:t xml:space="preserve"> and Anton Martinez. I would like to thank all the people who volunteered to take part in my research studies.</w:t>
      </w:r>
    </w:p>
    <w:p w14:paraId="0000002C" w14:textId="77777777" w:rsidR="00CB4215" w:rsidRDefault="00CB4215">
      <w:pPr>
        <w:spacing w:line="480" w:lineRule="auto"/>
        <w:rPr>
          <w:rFonts w:ascii="Times New Roman" w:eastAsia="Times New Roman" w:hAnsi="Times New Roman" w:cs="Times New Roman"/>
          <w:sz w:val="24"/>
          <w:szCs w:val="24"/>
        </w:rPr>
      </w:pPr>
    </w:p>
    <w:p w14:paraId="0000002D"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those in my personal life, I am thankful to my parents and family who have always</w:t>
      </w:r>
    </w:p>
    <w:p w14:paraId="0000002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supported and encouraged my academic progression. I am profoundly grateful to my father and mother in China for their unwavering love and support throughout my PhD journey. Despite the vast distance between us, their constant encouragement and care bridged the gap, touching my heart and strengthening my resolve. Their regular calls, thoughtful messages, and cherished care packages have been sources of comfort and motivation during the challenging days of my research. A special acknowledgement must also be given to my cat, </w:t>
      </w:r>
      <w:proofErr w:type="spellStart"/>
      <w:r>
        <w:rPr>
          <w:rFonts w:ascii="Times New Roman" w:eastAsia="Times New Roman" w:hAnsi="Times New Roman" w:cs="Times New Roman"/>
          <w:sz w:val="24"/>
          <w:szCs w:val="24"/>
        </w:rPr>
        <w:t>Xiaodou</w:t>
      </w:r>
      <w:proofErr w:type="spellEnd"/>
      <w:r>
        <w:rPr>
          <w:rFonts w:ascii="Times New Roman" w:eastAsia="Times New Roman" w:hAnsi="Times New Roman" w:cs="Times New Roman"/>
          <w:sz w:val="24"/>
          <w:szCs w:val="24"/>
        </w:rPr>
        <w:t xml:space="preserve"> Huang. Although miles apart, photos of her sit prominently on my desk, a constant </w:t>
      </w:r>
      <w:r>
        <w:rPr>
          <w:rFonts w:ascii="Times New Roman" w:eastAsia="Times New Roman" w:hAnsi="Times New Roman" w:cs="Times New Roman"/>
          <w:sz w:val="24"/>
          <w:szCs w:val="24"/>
        </w:rPr>
        <w:lastRenderedPageBreak/>
        <w:t xml:space="preserve">and comforting presence accompanying me through my PhD journey. Her endearing antics shared over video calls brought smiles and laughter, reminding me of the warmth of home, no matter the distance. Your virtual presence has been a soothing balm to the solitude of academic life. Finally, I would like to extend my heartfelt thanks to my dear friend, </w:t>
      </w:r>
      <w:proofErr w:type="spellStart"/>
      <w:r>
        <w:rPr>
          <w:rFonts w:ascii="Times New Roman" w:eastAsia="Times New Roman" w:hAnsi="Times New Roman" w:cs="Times New Roman"/>
          <w:sz w:val="24"/>
          <w:szCs w:val="24"/>
        </w:rPr>
        <w:t>Xianhui</w:t>
      </w:r>
      <w:proofErr w:type="spellEnd"/>
      <w:r>
        <w:rPr>
          <w:rFonts w:ascii="Times New Roman" w:eastAsia="Times New Roman" w:hAnsi="Times New Roman" w:cs="Times New Roman"/>
          <w:sz w:val="24"/>
          <w:szCs w:val="24"/>
        </w:rPr>
        <w:t xml:space="preserve"> Wei, whose support and companionship have been invaluable throughout the course of my PhD studies. I am grateful for the countless hours we spent discussing not only my research but life in general, which enriched my PhD journey immeasurably.</w:t>
      </w:r>
    </w:p>
    <w:p w14:paraId="0000002F" w14:textId="77777777" w:rsidR="00CB4215" w:rsidRDefault="000530B4">
      <w:pPr>
        <w:spacing w:line="259" w:lineRule="auto"/>
        <w:rPr>
          <w:rFonts w:ascii="Times New Roman" w:eastAsia="Times New Roman" w:hAnsi="Times New Roman" w:cs="Times New Roman"/>
          <w:sz w:val="24"/>
          <w:szCs w:val="24"/>
        </w:rPr>
      </w:pPr>
      <w:r>
        <w:br w:type="page"/>
      </w:r>
    </w:p>
    <w:p w14:paraId="00000030" w14:textId="77777777" w:rsidR="00CB4215" w:rsidRDefault="000530B4">
      <w:pPr>
        <w:pStyle w:val="Heading2"/>
        <w:rPr>
          <w:b/>
        </w:rPr>
      </w:pPr>
      <w:bookmarkStart w:id="2" w:name="_Toc172984762"/>
      <w:r>
        <w:rPr>
          <w:rFonts w:ascii="Times New Roman" w:eastAsia="Times New Roman" w:hAnsi="Times New Roman" w:cs="Times New Roman"/>
          <w:b/>
          <w:sz w:val="28"/>
          <w:szCs w:val="28"/>
        </w:rPr>
        <w:lastRenderedPageBreak/>
        <w:t>Thesis Abstract</w:t>
      </w:r>
      <w:bookmarkEnd w:id="2"/>
    </w:p>
    <w:p w14:paraId="00000031" w14:textId="77777777" w:rsidR="00CB4215" w:rsidRDefault="00CB4215">
      <w:pPr>
        <w:spacing w:line="480" w:lineRule="auto"/>
        <w:rPr>
          <w:rFonts w:ascii="Times New Roman" w:eastAsia="Times New Roman" w:hAnsi="Times New Roman" w:cs="Times New Roman"/>
          <w:sz w:val="24"/>
          <w:szCs w:val="24"/>
        </w:rPr>
      </w:pPr>
    </w:p>
    <w:p w14:paraId="00000032" w14:textId="7318F795"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evidence indicates late eating can be related to </w:t>
      </w:r>
      <w:r w:rsidR="00603760">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higher BMI. However, findings are inconsistent and the psychological and behavioural characteristics of early versus late eaters are unclear. Thus, the current thesis aimed to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explore the associations between meal timing, BMI, eating behaviour traits </w:t>
      </w:r>
      <w:r w:rsidR="009257E2">
        <w:rPr>
          <w:rFonts w:ascii="Times New Roman" w:eastAsia="Times New Roman" w:hAnsi="Times New Roman" w:cs="Times New Roman"/>
          <w:sz w:val="24"/>
          <w:szCs w:val="24"/>
        </w:rPr>
        <w:t xml:space="preserve">(uncontrolled eating, craving control, emotional eating, cognitive restraint and satiety responsiveness) </w:t>
      </w:r>
      <w:r>
        <w:rPr>
          <w:rFonts w:ascii="Times New Roman" w:eastAsia="Times New Roman" w:hAnsi="Times New Roman" w:cs="Times New Roman"/>
          <w:sz w:val="24"/>
          <w:szCs w:val="24"/>
        </w:rPr>
        <w:t>and health behaviours</w:t>
      </w:r>
      <w:sdt>
        <w:sdtPr>
          <w:tag w:val="goog_rdk_0"/>
          <w:id w:val="-1737316277"/>
        </w:sdtPr>
        <w:sdtEndPr/>
        <w:sdtContent>
          <w:sdt>
            <w:sdtPr>
              <w:tag w:val="goog_rdk_1"/>
              <w:id w:val="916897401"/>
            </w:sdtPr>
            <w:sdtEndPr/>
            <w:sdtContent/>
          </w:sdt>
          <w:r w:rsidR="00603760">
            <w:rPr>
              <w:rFonts w:ascii="Times New Roman" w:eastAsia="Times New Roman" w:hAnsi="Times New Roman" w:cs="Times New Roman"/>
              <w:sz w:val="24"/>
              <w:szCs w:val="24"/>
            </w:rPr>
            <w:t xml:space="preserve"> such as </w:t>
          </w:r>
          <w:r w:rsidR="00D92628">
            <w:rPr>
              <w:rFonts w:ascii="Times New Roman" w:eastAsia="Times New Roman" w:hAnsi="Times New Roman" w:cs="Times New Roman"/>
              <w:sz w:val="24"/>
              <w:szCs w:val="24"/>
            </w:rPr>
            <w:t>physical activity and sleep</w:t>
          </w:r>
        </w:sdtContent>
      </w:sdt>
      <w:r>
        <w:rPr>
          <w:rFonts w:ascii="Times New Roman" w:eastAsia="Times New Roman" w:hAnsi="Times New Roman" w:cs="Times New Roman"/>
          <w:sz w:val="24"/>
          <w:szCs w:val="24"/>
        </w:rPr>
        <w:t>, ii) compare the differences in eating behaviour traits and health behaviours between early versus late eaters, and explore the factors that may contribute to late eating and understand the enablers and barriers of changing late evening eating. </w:t>
      </w:r>
    </w:p>
    <w:p w14:paraId="00000033" w14:textId="77777777" w:rsidR="00CB4215" w:rsidRDefault="00CB4215">
      <w:pPr>
        <w:spacing w:line="480" w:lineRule="auto"/>
        <w:rPr>
          <w:rFonts w:ascii="Times New Roman" w:eastAsia="Times New Roman" w:hAnsi="Times New Roman" w:cs="Times New Roman"/>
          <w:sz w:val="24"/>
          <w:szCs w:val="24"/>
        </w:rPr>
      </w:pPr>
    </w:p>
    <w:p w14:paraId="66C909AE" w14:textId="5D29541D" w:rsidR="0033180B" w:rsidRDefault="005224F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narrative review (</w:t>
      </w:r>
      <w:r w:rsidR="000530B4">
        <w:rPr>
          <w:rFonts w:ascii="Times New Roman" w:eastAsia="Times New Roman" w:hAnsi="Times New Roman" w:cs="Times New Roman"/>
          <w:sz w:val="24"/>
          <w:szCs w:val="24"/>
        </w:rPr>
        <w:t>Chapter 2</w:t>
      </w:r>
      <w:r>
        <w:rPr>
          <w:rFonts w:ascii="Times New Roman" w:eastAsia="Times New Roman" w:hAnsi="Times New Roman" w:cs="Times New Roman"/>
          <w:sz w:val="24"/>
          <w:szCs w:val="24"/>
        </w:rPr>
        <w:t>) was conducted to</w:t>
      </w:r>
      <w:r w:rsidRPr="005224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provide </w:t>
      </w:r>
      <w:r w:rsidRPr="005224F9">
        <w:rPr>
          <w:rFonts w:ascii="Times New Roman" w:eastAsia="Times New Roman" w:hAnsi="Times New Roman" w:cs="Times New Roman"/>
          <w:sz w:val="24"/>
          <w:szCs w:val="24"/>
        </w:rPr>
        <w:t>an overview of the current literature within meal timing, body weight, eating behaviour traits and health behaviours</w:t>
      </w:r>
      <w:r w:rsidR="000530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Chapter 3 introduced the methods, procedures and measurements used in the studies. </w:t>
      </w:r>
      <w:r w:rsidR="000530B4">
        <w:rPr>
          <w:rFonts w:ascii="Times New Roman" w:eastAsia="Times New Roman" w:hAnsi="Times New Roman" w:cs="Times New Roman"/>
          <w:sz w:val="24"/>
          <w:szCs w:val="24"/>
        </w:rPr>
        <w:t>An online survey (</w:t>
      </w:r>
      <w:sdt>
        <w:sdtPr>
          <w:tag w:val="goog_rdk_3"/>
          <w:id w:val="91208956"/>
        </w:sdtPr>
        <w:sdtEndPr/>
        <w:sdtContent/>
      </w:sdt>
      <w:r w:rsidR="000530B4">
        <w:rPr>
          <w:rFonts w:ascii="Times New Roman" w:eastAsia="Times New Roman" w:hAnsi="Times New Roman" w:cs="Times New Roman"/>
          <w:sz w:val="24"/>
          <w:szCs w:val="24"/>
        </w:rPr>
        <w:t>Chapter 4) (n = 260) showed that later eating was not significantly associated with BMI, yet late eaters reported significantly lower craving control and longer daily consumption window than early eaters. Other eating behaviour traits and health behaviour were not significantly different between early versus late eaters. A 14-day pilot study (Chapter 5)</w:t>
      </w:r>
      <w:r w:rsidR="00603760">
        <w:rPr>
          <w:rFonts w:ascii="Times New Roman" w:eastAsia="Times New Roman" w:hAnsi="Times New Roman" w:cs="Times New Roman"/>
          <w:sz w:val="24"/>
          <w:szCs w:val="24"/>
        </w:rPr>
        <w:t xml:space="preserve"> using objective measures of </w:t>
      </w:r>
      <w:sdt>
        <w:sdtPr>
          <w:tag w:val="goog_rdk_6"/>
          <w:id w:val="681641006"/>
        </w:sdtPr>
        <w:sdtEndPr/>
        <w:sdtContent/>
      </w:sdt>
      <w:r w:rsidR="000530B4">
        <w:rPr>
          <w:rFonts w:ascii="Times New Roman" w:eastAsia="Times New Roman" w:hAnsi="Times New Roman" w:cs="Times New Roman"/>
          <w:sz w:val="24"/>
          <w:szCs w:val="24"/>
        </w:rPr>
        <w:t xml:space="preserve">height, weight, physical activity and sleep in adults </w:t>
      </w:r>
      <w:r w:rsidR="00603760">
        <w:rPr>
          <w:rFonts w:ascii="Times New Roman" w:eastAsia="Times New Roman" w:hAnsi="Times New Roman" w:cs="Times New Roman"/>
          <w:sz w:val="24"/>
          <w:szCs w:val="24"/>
        </w:rPr>
        <w:t xml:space="preserve">living </w:t>
      </w:r>
      <w:r w:rsidR="000530B4">
        <w:rPr>
          <w:rFonts w:ascii="Times New Roman" w:eastAsia="Times New Roman" w:hAnsi="Times New Roman" w:cs="Times New Roman"/>
          <w:sz w:val="24"/>
          <w:szCs w:val="24"/>
        </w:rPr>
        <w:t>with obesity</w:t>
      </w:r>
      <w:r w:rsidR="0033180B">
        <w:rPr>
          <w:rFonts w:ascii="Times New Roman" w:eastAsia="Times New Roman" w:hAnsi="Times New Roman" w:cs="Times New Roman"/>
          <w:sz w:val="24"/>
          <w:szCs w:val="24"/>
        </w:rPr>
        <w:t xml:space="preserve"> </w:t>
      </w:r>
      <w:r w:rsidR="000530B4">
        <w:rPr>
          <w:rFonts w:ascii="Times New Roman" w:eastAsia="Times New Roman" w:hAnsi="Times New Roman" w:cs="Times New Roman"/>
          <w:sz w:val="24"/>
          <w:szCs w:val="24"/>
        </w:rPr>
        <w:t>(n = 30)</w:t>
      </w:r>
      <w:r w:rsidR="00603760">
        <w:rPr>
          <w:rFonts w:ascii="Times New Roman" w:eastAsia="Times New Roman" w:hAnsi="Times New Roman" w:cs="Times New Roman"/>
          <w:sz w:val="24"/>
          <w:szCs w:val="24"/>
        </w:rPr>
        <w:t xml:space="preserve">, </w:t>
      </w:r>
      <w:r w:rsidR="00D92628">
        <w:rPr>
          <w:rFonts w:ascii="Times New Roman" w:eastAsia="Times New Roman" w:hAnsi="Times New Roman" w:cs="Times New Roman"/>
          <w:sz w:val="24"/>
          <w:szCs w:val="24"/>
        </w:rPr>
        <w:t>demonstrated</w:t>
      </w:r>
      <w:r w:rsidR="00603760">
        <w:rPr>
          <w:rFonts w:ascii="Times New Roman" w:eastAsia="Times New Roman" w:hAnsi="Times New Roman" w:cs="Times New Roman"/>
          <w:sz w:val="24"/>
          <w:szCs w:val="24"/>
        </w:rPr>
        <w:t xml:space="preserve"> that </w:t>
      </w:r>
      <w:r w:rsidR="000530B4">
        <w:rPr>
          <w:rFonts w:ascii="Times New Roman" w:eastAsia="Times New Roman" w:hAnsi="Times New Roman" w:cs="Times New Roman"/>
          <w:sz w:val="24"/>
          <w:szCs w:val="24"/>
        </w:rPr>
        <w:t xml:space="preserve">later eating was significantly associated with higher uncontrolled eating, but not with higher BMI. Compared with early eaters, late eaters consumed significantly less %protein and reported poorer dietary quality. </w:t>
      </w:r>
      <w:r w:rsidR="00603760">
        <w:rPr>
          <w:rFonts w:ascii="Times New Roman" w:eastAsia="Times New Roman" w:hAnsi="Times New Roman" w:cs="Times New Roman"/>
          <w:sz w:val="24"/>
          <w:szCs w:val="24"/>
        </w:rPr>
        <w:t xml:space="preserve">Chapter 6, using qualitative methods, </w:t>
      </w:r>
      <w:r w:rsidR="000530B4">
        <w:rPr>
          <w:rFonts w:ascii="Times New Roman" w:eastAsia="Times New Roman" w:hAnsi="Times New Roman" w:cs="Times New Roman"/>
          <w:sz w:val="24"/>
          <w:szCs w:val="24"/>
        </w:rPr>
        <w:t>identified four main contributors to late evening eating: internal signals; external and situational factors; social factors, and behavioural and emotional factors. Time</w:t>
      </w:r>
      <w:r w:rsidR="0033180B">
        <w:rPr>
          <w:rFonts w:ascii="Times New Roman" w:eastAsia="Times New Roman" w:hAnsi="Times New Roman" w:cs="Times New Roman"/>
          <w:sz w:val="24"/>
          <w:szCs w:val="24"/>
        </w:rPr>
        <w:t xml:space="preserve"> </w:t>
      </w:r>
      <w:r w:rsidR="000530B4">
        <w:rPr>
          <w:rFonts w:ascii="Times New Roman" w:eastAsia="Times New Roman" w:hAnsi="Times New Roman" w:cs="Times New Roman"/>
          <w:sz w:val="24"/>
          <w:szCs w:val="24"/>
        </w:rPr>
        <w:t>constraints and work schedules were identified as main barriers to changing late evening eating.</w:t>
      </w:r>
      <w:r w:rsidR="008559FA">
        <w:rPr>
          <w:rFonts w:ascii="Times New Roman" w:eastAsia="Times New Roman" w:hAnsi="Times New Roman" w:cs="Times New Roman"/>
          <w:sz w:val="24"/>
          <w:szCs w:val="24"/>
        </w:rPr>
        <w:t xml:space="preserve"> </w:t>
      </w:r>
      <w:r w:rsidR="00F93CA8">
        <w:rPr>
          <w:rFonts w:ascii="Times New Roman" w:eastAsia="Times New Roman" w:hAnsi="Times New Roman" w:cs="Times New Roman"/>
          <w:sz w:val="24"/>
          <w:szCs w:val="24"/>
        </w:rPr>
        <w:lastRenderedPageBreak/>
        <w:t xml:space="preserve">Recommendations are provided on </w:t>
      </w:r>
      <w:r w:rsidR="00F93CA8" w:rsidRPr="00F93CA8">
        <w:rPr>
          <w:rFonts w:ascii="Times New Roman" w:eastAsia="Times New Roman" w:hAnsi="Times New Roman" w:cs="Times New Roman"/>
          <w:sz w:val="24"/>
          <w:szCs w:val="24"/>
        </w:rPr>
        <w:t xml:space="preserve">interventions </w:t>
      </w:r>
      <w:r w:rsidR="00F93CA8">
        <w:rPr>
          <w:rFonts w:ascii="Times New Roman" w:eastAsia="Times New Roman" w:hAnsi="Times New Roman" w:cs="Times New Roman"/>
          <w:sz w:val="24"/>
          <w:szCs w:val="24"/>
        </w:rPr>
        <w:t>that may be effective for</w:t>
      </w:r>
      <w:r w:rsidR="00F93CA8" w:rsidRPr="00F93CA8">
        <w:rPr>
          <w:rFonts w:ascii="Times New Roman" w:eastAsia="Times New Roman" w:hAnsi="Times New Roman" w:cs="Times New Roman"/>
          <w:sz w:val="24"/>
          <w:szCs w:val="24"/>
        </w:rPr>
        <w:t xml:space="preserve"> individuals at risk of overweight and obesity. </w:t>
      </w:r>
    </w:p>
    <w:p w14:paraId="5081FC7C" w14:textId="77777777" w:rsidR="00F93CA8" w:rsidRDefault="00F93CA8">
      <w:pPr>
        <w:spacing w:line="480" w:lineRule="auto"/>
        <w:rPr>
          <w:rFonts w:ascii="Times New Roman" w:eastAsia="Times New Roman" w:hAnsi="Times New Roman" w:cs="Times New Roman"/>
          <w:sz w:val="24"/>
          <w:szCs w:val="24"/>
        </w:rPr>
      </w:pPr>
    </w:p>
    <w:p w14:paraId="00000036" w14:textId="5E2459F9" w:rsidR="00CB4215" w:rsidRDefault="00603760">
      <w:pPr>
        <w:spacing w:line="480" w:lineRule="auto"/>
        <w:rPr>
          <w:rFonts w:ascii="Times New Roman" w:eastAsia="Times New Roman" w:hAnsi="Times New Roman" w:cs="Times New Roman"/>
          <w:sz w:val="24"/>
          <w:szCs w:val="24"/>
        </w:rPr>
      </w:pPr>
      <w:r w:rsidRPr="00603760">
        <w:rPr>
          <w:rFonts w:ascii="Times New Roman" w:eastAsia="Times New Roman" w:hAnsi="Times New Roman" w:cs="Times New Roman"/>
          <w:sz w:val="24"/>
          <w:szCs w:val="24"/>
        </w:rPr>
        <w:t>Using quantitative and qualitative methods</w:t>
      </w:r>
      <w:r w:rsidR="00034DBD">
        <w:rPr>
          <w:rFonts w:ascii="Times New Roman" w:eastAsia="Times New Roman" w:hAnsi="Times New Roman" w:cs="Times New Roman"/>
          <w:sz w:val="24"/>
          <w:szCs w:val="24"/>
        </w:rPr>
        <w:t xml:space="preserve">, this </w:t>
      </w:r>
      <w:r w:rsidR="000530B4">
        <w:rPr>
          <w:rFonts w:ascii="Times New Roman" w:eastAsia="Times New Roman" w:hAnsi="Times New Roman" w:cs="Times New Roman"/>
          <w:sz w:val="24"/>
          <w:szCs w:val="24"/>
        </w:rPr>
        <w:t xml:space="preserve">thesis </w:t>
      </w:r>
      <w:r w:rsidR="0033180B">
        <w:rPr>
          <w:rFonts w:ascii="Times New Roman" w:eastAsia="Times New Roman" w:hAnsi="Times New Roman" w:cs="Times New Roman"/>
          <w:sz w:val="24"/>
          <w:szCs w:val="24"/>
        </w:rPr>
        <w:t xml:space="preserve">identified the eating behaviour </w:t>
      </w:r>
      <w:r w:rsidR="0033180B" w:rsidRPr="00381A05">
        <w:rPr>
          <w:rFonts w:ascii="Times New Roman" w:eastAsia="Times New Roman" w:hAnsi="Times New Roman" w:cs="Times New Roman"/>
          <w:sz w:val="24"/>
          <w:szCs w:val="24"/>
        </w:rPr>
        <w:t>traits</w:t>
      </w:r>
      <w:r w:rsidR="00F85096">
        <w:rPr>
          <w:rFonts w:ascii="Times New Roman" w:hAnsi="Times New Roman" w:cs="Times New Roman"/>
          <w:sz w:val="24"/>
          <w:szCs w:val="24"/>
        </w:rPr>
        <w:t xml:space="preserve"> </w:t>
      </w:r>
      <w:r w:rsidR="0033180B" w:rsidRPr="00381A05">
        <w:rPr>
          <w:rFonts w:ascii="Times New Roman" w:eastAsia="Times New Roman" w:hAnsi="Times New Roman" w:cs="Times New Roman"/>
          <w:sz w:val="24"/>
          <w:szCs w:val="24"/>
        </w:rPr>
        <w:t>linked</w:t>
      </w:r>
      <w:r w:rsidR="0033180B">
        <w:rPr>
          <w:rFonts w:ascii="Times New Roman" w:eastAsia="Times New Roman" w:hAnsi="Times New Roman" w:cs="Times New Roman"/>
          <w:sz w:val="24"/>
          <w:szCs w:val="24"/>
        </w:rPr>
        <w:t xml:space="preserve"> with overconsumption and health behaviours related to late eating</w:t>
      </w:r>
      <w:r w:rsidR="00034DBD">
        <w:rPr>
          <w:rFonts w:ascii="Times New Roman" w:eastAsia="Times New Roman" w:hAnsi="Times New Roman" w:cs="Times New Roman"/>
          <w:sz w:val="24"/>
          <w:szCs w:val="24"/>
        </w:rPr>
        <w:t>. P</w:t>
      </w:r>
      <w:r w:rsidR="000530B4">
        <w:rPr>
          <w:rFonts w:ascii="Times New Roman" w:eastAsia="Times New Roman" w:hAnsi="Times New Roman" w:cs="Times New Roman"/>
          <w:sz w:val="24"/>
          <w:szCs w:val="24"/>
        </w:rPr>
        <w:t>ractical strategies to address barriers to changing late evening eating</w:t>
      </w:r>
      <w:r w:rsidR="00034DBD">
        <w:rPr>
          <w:rFonts w:ascii="Times New Roman" w:eastAsia="Times New Roman" w:hAnsi="Times New Roman" w:cs="Times New Roman"/>
          <w:sz w:val="24"/>
          <w:szCs w:val="24"/>
        </w:rPr>
        <w:t xml:space="preserve"> </w:t>
      </w:r>
      <w:r w:rsidR="00034DBD" w:rsidRPr="00034DBD">
        <w:rPr>
          <w:rFonts w:ascii="Times New Roman" w:eastAsia="Times New Roman" w:hAnsi="Times New Roman" w:cs="Times New Roman"/>
          <w:sz w:val="24"/>
          <w:szCs w:val="24"/>
        </w:rPr>
        <w:t>are also provided</w:t>
      </w:r>
      <w:r w:rsidR="000530B4">
        <w:rPr>
          <w:rFonts w:ascii="Times New Roman" w:eastAsia="Times New Roman" w:hAnsi="Times New Roman" w:cs="Times New Roman"/>
          <w:sz w:val="24"/>
          <w:szCs w:val="24"/>
        </w:rPr>
        <w:t>.</w:t>
      </w:r>
      <w:sdt>
        <w:sdtPr>
          <w:tag w:val="goog_rdk_15"/>
          <w:id w:val="773829987"/>
        </w:sdtPr>
        <w:sdtEndPr/>
        <w:sdtContent/>
      </w:sdt>
      <w:r w:rsidR="000530B4">
        <w:rPr>
          <w:rFonts w:ascii="Times New Roman" w:eastAsia="Times New Roman" w:hAnsi="Times New Roman" w:cs="Times New Roman"/>
          <w:sz w:val="24"/>
          <w:szCs w:val="24"/>
        </w:rPr>
        <w:t xml:space="preserve"> </w:t>
      </w:r>
    </w:p>
    <w:p w14:paraId="00000037" w14:textId="77777777" w:rsidR="00CB4215" w:rsidRDefault="000530B4">
      <w:pPr>
        <w:spacing w:line="259" w:lineRule="auto"/>
        <w:rPr>
          <w:rFonts w:ascii="Times New Roman" w:eastAsia="Times New Roman" w:hAnsi="Times New Roman" w:cs="Times New Roman"/>
          <w:sz w:val="24"/>
          <w:szCs w:val="24"/>
        </w:rPr>
      </w:pPr>
      <w:r>
        <w:br w:type="page"/>
      </w:r>
    </w:p>
    <w:p w14:paraId="00000038" w14:textId="77777777" w:rsidR="00CB4215" w:rsidRDefault="000530B4">
      <w:pPr>
        <w:pStyle w:val="Heading2"/>
        <w:rPr>
          <w:rFonts w:ascii="Times New Roman" w:eastAsia="Times New Roman" w:hAnsi="Times New Roman" w:cs="Times New Roman"/>
          <w:b/>
          <w:sz w:val="28"/>
          <w:szCs w:val="28"/>
        </w:rPr>
      </w:pPr>
      <w:bookmarkStart w:id="3" w:name="_Toc172984763"/>
      <w:r>
        <w:rPr>
          <w:rFonts w:ascii="Times New Roman" w:eastAsia="Times New Roman" w:hAnsi="Times New Roman" w:cs="Times New Roman"/>
          <w:b/>
          <w:sz w:val="28"/>
          <w:szCs w:val="28"/>
        </w:rPr>
        <w:lastRenderedPageBreak/>
        <w:t>Dissemination</w:t>
      </w:r>
      <w:bookmarkEnd w:id="3"/>
    </w:p>
    <w:p w14:paraId="00000039" w14:textId="77777777" w:rsidR="00CB4215" w:rsidRDefault="00CB4215">
      <w:pPr>
        <w:spacing w:line="480" w:lineRule="auto"/>
        <w:rPr>
          <w:rFonts w:ascii="Times New Roman" w:eastAsia="Times New Roman" w:hAnsi="Times New Roman" w:cs="Times New Roman"/>
          <w:sz w:val="24"/>
          <w:szCs w:val="24"/>
        </w:rPr>
      </w:pPr>
    </w:p>
    <w:p w14:paraId="0000003A" w14:textId="435E49F3" w:rsidR="00CB4215" w:rsidRDefault="00606A72">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Publication</w:t>
      </w:r>
      <w:r w:rsidR="000530B4">
        <w:rPr>
          <w:rFonts w:ascii="Times New Roman" w:eastAsia="Times New Roman" w:hAnsi="Times New Roman" w:cs="Times New Roman"/>
          <w:b/>
          <w:sz w:val="28"/>
          <w:szCs w:val="28"/>
        </w:rPr>
        <w:t>:</w:t>
      </w:r>
    </w:p>
    <w:p w14:paraId="0000003C" w14:textId="2D14EAB4" w:rsidR="00CB4215" w:rsidRDefault="00606A72">
      <w:pPr>
        <w:spacing w:line="480" w:lineRule="auto"/>
        <w:rPr>
          <w:rFonts w:ascii="Times New Roman" w:eastAsia="Times New Roman" w:hAnsi="Times New Roman" w:cs="Times New Roman"/>
          <w:sz w:val="24"/>
          <w:szCs w:val="24"/>
        </w:rPr>
      </w:pPr>
      <w:r w:rsidRPr="00AE7F93">
        <w:rPr>
          <w:rFonts w:ascii="Times New Roman" w:eastAsia="Times New Roman" w:hAnsi="Times New Roman" w:cs="Times New Roman"/>
          <w:b/>
          <w:bCs/>
          <w:sz w:val="24"/>
          <w:szCs w:val="24"/>
        </w:rPr>
        <w:t>Yan, B</w:t>
      </w:r>
      <w:r w:rsidRPr="00606A72">
        <w:rPr>
          <w:rFonts w:ascii="Times New Roman" w:eastAsia="Times New Roman" w:hAnsi="Times New Roman" w:cs="Times New Roman"/>
          <w:sz w:val="24"/>
          <w:szCs w:val="24"/>
        </w:rPr>
        <w:t xml:space="preserve">., Caton, S. J., and Buckland, N. J. (2024). Exploring factors influencing late evening eating and barriers and enablers to changing to earlier eating patterns in adults with overweight and obesity. </w:t>
      </w:r>
      <w:r w:rsidRPr="00AE7F93">
        <w:rPr>
          <w:rFonts w:ascii="Times New Roman" w:eastAsia="Times New Roman" w:hAnsi="Times New Roman" w:cs="Times New Roman"/>
          <w:i/>
          <w:iCs/>
          <w:sz w:val="24"/>
          <w:szCs w:val="24"/>
        </w:rPr>
        <w:t>Appetite</w:t>
      </w:r>
      <w:r w:rsidRPr="00606A72">
        <w:rPr>
          <w:rFonts w:ascii="Times New Roman" w:eastAsia="Times New Roman" w:hAnsi="Times New Roman" w:cs="Times New Roman"/>
          <w:sz w:val="24"/>
          <w:szCs w:val="24"/>
        </w:rPr>
        <w:t xml:space="preserve">, 202, 107646. </w:t>
      </w:r>
    </w:p>
    <w:p w14:paraId="148FA606" w14:textId="77777777" w:rsidR="00606A72" w:rsidRDefault="00606A72">
      <w:pPr>
        <w:spacing w:line="480" w:lineRule="auto"/>
        <w:rPr>
          <w:rFonts w:ascii="Times New Roman" w:eastAsia="Times New Roman" w:hAnsi="Times New Roman" w:cs="Times New Roman"/>
          <w:sz w:val="24"/>
          <w:szCs w:val="24"/>
        </w:rPr>
      </w:pPr>
    </w:p>
    <w:p w14:paraId="0000003D" w14:textId="77777777" w:rsidR="00CB4215" w:rsidRDefault="000530B4">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Oral and Poster Presentation</w:t>
      </w:r>
    </w:p>
    <w:p w14:paraId="0000003E" w14:textId="5E390BBF" w:rsidR="00CB4215" w:rsidRDefault="000530B4">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Oral presentation</w:t>
      </w:r>
      <w:r w:rsidR="00D53AA8">
        <w:rPr>
          <w:rFonts w:ascii="Times New Roman" w:eastAsia="Times New Roman" w:hAnsi="Times New Roman" w:cs="Times New Roman"/>
          <w:b/>
          <w:i/>
          <w:sz w:val="24"/>
          <w:szCs w:val="24"/>
        </w:rPr>
        <w:t>s</w:t>
      </w:r>
    </w:p>
    <w:p w14:paraId="0000003F" w14:textId="77777777" w:rsidR="00CB4215" w:rsidRDefault="000530B4">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meal timing for appetite control and weight management”. Presented at </w:t>
      </w:r>
      <w:r>
        <w:rPr>
          <w:rFonts w:ascii="Times New Roman" w:eastAsia="Times New Roman" w:hAnsi="Times New Roman" w:cs="Times New Roman"/>
          <w:i/>
          <w:sz w:val="24"/>
          <w:szCs w:val="24"/>
        </w:rPr>
        <w:t>Postgraduate Research Conference</w:t>
      </w:r>
      <w:r>
        <w:rPr>
          <w:rFonts w:ascii="Times New Roman" w:eastAsia="Times New Roman" w:hAnsi="Times New Roman" w:cs="Times New Roman"/>
          <w:sz w:val="24"/>
          <w:szCs w:val="24"/>
        </w:rPr>
        <w:t>, University of Sheffield, UK, June 2021.</w:t>
      </w:r>
    </w:p>
    <w:p w14:paraId="00000040" w14:textId="77777777" w:rsidR="00CB4215" w:rsidRDefault="000530B4">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“Relationship between meal timing and body mass index (BMI) in UK adults”. Presented at </w:t>
      </w:r>
      <w:r>
        <w:rPr>
          <w:rFonts w:ascii="Times New Roman" w:eastAsia="Times New Roman" w:hAnsi="Times New Roman" w:cs="Times New Roman"/>
          <w:i/>
          <w:sz w:val="24"/>
          <w:szCs w:val="24"/>
        </w:rPr>
        <w:t>British Feeding and Drinking Group (Online)</w:t>
      </w:r>
      <w:r>
        <w:rPr>
          <w:rFonts w:ascii="Times New Roman" w:eastAsia="Times New Roman" w:hAnsi="Times New Roman" w:cs="Times New Roman"/>
          <w:sz w:val="24"/>
          <w:szCs w:val="24"/>
        </w:rPr>
        <w:t>, April 2022.</w:t>
      </w:r>
    </w:p>
    <w:p w14:paraId="00000041" w14:textId="77777777" w:rsidR="00CB4215" w:rsidRDefault="000530B4">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pilot study to explore the relationships between late eating, eating behaviour traits, health behaviours and body mass index (BMI) in adults with obesity”. Presented at </w:t>
      </w:r>
      <w:r>
        <w:rPr>
          <w:rFonts w:ascii="Times New Roman" w:eastAsia="Times New Roman" w:hAnsi="Times New Roman" w:cs="Times New Roman"/>
          <w:i/>
          <w:sz w:val="24"/>
          <w:szCs w:val="24"/>
        </w:rPr>
        <w:t>British Feeding and Drinking Group</w:t>
      </w:r>
      <w:r>
        <w:rPr>
          <w:rFonts w:ascii="Times New Roman" w:eastAsia="Times New Roman" w:hAnsi="Times New Roman" w:cs="Times New Roman"/>
          <w:sz w:val="24"/>
          <w:szCs w:val="24"/>
        </w:rPr>
        <w:t>, Leeds, UK, April 2023.</w:t>
      </w:r>
    </w:p>
    <w:p w14:paraId="00000042" w14:textId="77777777" w:rsidR="00CB4215" w:rsidRDefault="000530B4">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“Explore the reasons for late evening eating, and barriers and enablers to changing meal timing in UK adults with overweight or obesity: a qualitative study protocol”. Presented at </w:t>
      </w:r>
      <w:r>
        <w:rPr>
          <w:rFonts w:ascii="Times New Roman" w:eastAsia="Times New Roman" w:hAnsi="Times New Roman" w:cs="Times New Roman"/>
          <w:i/>
          <w:sz w:val="24"/>
          <w:szCs w:val="24"/>
        </w:rPr>
        <w:t>Postgraduate Research Conference</w:t>
      </w:r>
      <w:r>
        <w:rPr>
          <w:rFonts w:ascii="Times New Roman" w:eastAsia="Times New Roman" w:hAnsi="Times New Roman" w:cs="Times New Roman"/>
          <w:sz w:val="24"/>
          <w:szCs w:val="24"/>
        </w:rPr>
        <w:t>, University of Sheffield, UK, June 2023.</w:t>
      </w:r>
    </w:p>
    <w:p w14:paraId="00000043" w14:textId="63B9B0CD" w:rsidR="00CB4215" w:rsidRDefault="000530B4">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“Exploring reasons for late evening eating and barriers and enablers to changing to earlier eating patterns”. Presented at </w:t>
      </w:r>
      <w:r>
        <w:rPr>
          <w:rFonts w:ascii="Times New Roman" w:eastAsia="Times New Roman" w:hAnsi="Times New Roman" w:cs="Times New Roman"/>
          <w:i/>
          <w:sz w:val="24"/>
          <w:szCs w:val="24"/>
        </w:rPr>
        <w:t>ASO Yorkshire network event: Appetite and eating behaviours in children and adults - insights from the Yorkshire region</w:t>
      </w:r>
      <w:r>
        <w:rPr>
          <w:rFonts w:ascii="Times New Roman" w:eastAsia="Times New Roman" w:hAnsi="Times New Roman" w:cs="Times New Roman"/>
          <w:sz w:val="24"/>
          <w:szCs w:val="24"/>
        </w:rPr>
        <w:t>, Sheffield Hallam University, UK, December 2023.</w:t>
      </w:r>
      <w:r w:rsidR="00D53AA8">
        <w:rPr>
          <w:rFonts w:ascii="Times New Roman" w:eastAsia="Times New Roman" w:hAnsi="Times New Roman" w:cs="Times New Roman"/>
          <w:sz w:val="24"/>
          <w:szCs w:val="24"/>
        </w:rPr>
        <w:t xml:space="preserve"> </w:t>
      </w:r>
      <w:r w:rsidR="00D53AA8" w:rsidRPr="00D53AA8">
        <w:rPr>
          <w:rFonts w:ascii="Times New Roman" w:eastAsia="Times New Roman" w:hAnsi="Times New Roman" w:cs="Times New Roman"/>
          <w:sz w:val="24"/>
          <w:szCs w:val="24"/>
        </w:rPr>
        <w:t>Invited talk.</w:t>
      </w:r>
    </w:p>
    <w:p w14:paraId="00000044" w14:textId="77777777" w:rsidR="00CB4215" w:rsidRDefault="00CB4215">
      <w:pPr>
        <w:spacing w:line="480" w:lineRule="auto"/>
        <w:rPr>
          <w:rFonts w:ascii="Times New Roman" w:eastAsia="Times New Roman" w:hAnsi="Times New Roman" w:cs="Times New Roman"/>
          <w:sz w:val="24"/>
          <w:szCs w:val="24"/>
        </w:rPr>
      </w:pPr>
    </w:p>
    <w:p w14:paraId="00000045" w14:textId="26CC97CB" w:rsidR="00CB4215" w:rsidRDefault="000530B4">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Poster presentation</w:t>
      </w:r>
      <w:r w:rsidR="00D53AA8">
        <w:rPr>
          <w:rFonts w:ascii="Times New Roman" w:eastAsia="Times New Roman" w:hAnsi="Times New Roman" w:cs="Times New Roman"/>
          <w:b/>
          <w:i/>
          <w:sz w:val="24"/>
          <w:szCs w:val="24"/>
        </w:rPr>
        <w:t>s</w:t>
      </w:r>
    </w:p>
    <w:p w14:paraId="00000046" w14:textId="77777777" w:rsidR="00CB4215" w:rsidRDefault="000530B4">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eating later associated with an increased body mass index (BMI) in UK adults, and what are the characteristics of early versus late evening eaters?”. Poster presented at </w:t>
      </w:r>
      <w:r>
        <w:rPr>
          <w:rFonts w:ascii="Times New Roman" w:eastAsia="Times New Roman" w:hAnsi="Times New Roman" w:cs="Times New Roman"/>
          <w:i/>
          <w:sz w:val="24"/>
          <w:szCs w:val="24"/>
        </w:rPr>
        <w:t>Postgraduate Research Conference</w:t>
      </w:r>
      <w:r>
        <w:rPr>
          <w:rFonts w:ascii="Times New Roman" w:eastAsia="Times New Roman" w:hAnsi="Times New Roman" w:cs="Times New Roman"/>
          <w:sz w:val="24"/>
          <w:szCs w:val="24"/>
        </w:rPr>
        <w:t>, University of Sheffield, UK, June 2022</w:t>
      </w:r>
    </w:p>
    <w:p w14:paraId="00000047" w14:textId="77777777" w:rsidR="00CB4215" w:rsidRDefault="000530B4">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association between later evening meal consumption and body mass index (BMI), and psychological and behavioural characteristics of early versus late evening eaters in UK adults”. Poster presented at </w:t>
      </w:r>
      <w:r>
        <w:rPr>
          <w:rFonts w:ascii="Times New Roman" w:eastAsia="Times New Roman" w:hAnsi="Times New Roman" w:cs="Times New Roman"/>
          <w:i/>
          <w:sz w:val="24"/>
          <w:szCs w:val="24"/>
        </w:rPr>
        <w:t>UK Congress on Obesity (UKCO)</w:t>
      </w:r>
      <w:r>
        <w:rPr>
          <w:rFonts w:ascii="Times New Roman" w:eastAsia="Times New Roman" w:hAnsi="Times New Roman" w:cs="Times New Roman"/>
          <w:sz w:val="24"/>
          <w:szCs w:val="24"/>
        </w:rPr>
        <w:t>, Lancaster, September 2022.</w:t>
      </w:r>
    </w:p>
    <w:p w14:paraId="00000048" w14:textId="77777777" w:rsidR="00CB4215" w:rsidRDefault="000530B4">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pilot study to explore the relationships between late eating, eating behaviour traits, health behaviours and body mass index (BMI) in adults with obesity”. Poster presented at</w:t>
      </w:r>
      <w:r>
        <w:rPr>
          <w:rFonts w:ascii="Times New Roman" w:eastAsia="Times New Roman" w:hAnsi="Times New Roman" w:cs="Times New Roman"/>
          <w:i/>
          <w:sz w:val="24"/>
          <w:szCs w:val="24"/>
        </w:rPr>
        <w:t xml:space="preserve"> The Faculty of Science Showcase event</w:t>
      </w:r>
      <w:r>
        <w:rPr>
          <w:rFonts w:ascii="Times New Roman" w:eastAsia="Times New Roman" w:hAnsi="Times New Roman" w:cs="Times New Roman"/>
          <w:sz w:val="24"/>
          <w:szCs w:val="24"/>
        </w:rPr>
        <w:t>, University of Sheffield, UK, March 2023.</w:t>
      </w:r>
    </w:p>
    <w:p w14:paraId="00000049" w14:textId="77777777" w:rsidR="00CB4215" w:rsidRDefault="000530B4">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relationships between late eating, body mass index (BMI), eating behaviour traits and health behaviours in UK adults”. Poster presented at </w:t>
      </w:r>
      <w:r>
        <w:rPr>
          <w:rFonts w:ascii="Times New Roman" w:eastAsia="Times New Roman" w:hAnsi="Times New Roman" w:cs="Times New Roman"/>
          <w:i/>
          <w:sz w:val="24"/>
          <w:szCs w:val="24"/>
        </w:rPr>
        <w:t>Communicating your Research Beyond Academia University-Wide Postgraduate Research Networking Event &amp; Poster Competition</w:t>
      </w:r>
      <w:r>
        <w:rPr>
          <w:rFonts w:ascii="Times New Roman" w:eastAsia="Times New Roman" w:hAnsi="Times New Roman" w:cs="Times New Roman"/>
          <w:sz w:val="24"/>
          <w:szCs w:val="24"/>
        </w:rPr>
        <w:t>, University of Sheffield, UK, June 2023.</w:t>
      </w:r>
    </w:p>
    <w:p w14:paraId="0000004A" w14:textId="77777777" w:rsidR="00CB4215" w:rsidRDefault="00CB4215">
      <w:pPr>
        <w:spacing w:line="480" w:lineRule="auto"/>
        <w:rPr>
          <w:rFonts w:ascii="Times New Roman" w:eastAsia="Times New Roman" w:hAnsi="Times New Roman" w:cs="Times New Roman"/>
          <w:sz w:val="24"/>
          <w:szCs w:val="24"/>
        </w:rPr>
      </w:pPr>
    </w:p>
    <w:p w14:paraId="0000004B" w14:textId="77777777" w:rsidR="00CB4215" w:rsidRDefault="000530B4">
      <w:pPr>
        <w:spacing w:line="259" w:lineRule="auto"/>
      </w:pPr>
      <w:r>
        <w:br w:type="page"/>
      </w:r>
    </w:p>
    <w:p w14:paraId="0000004C" w14:textId="77777777" w:rsidR="00CB4215" w:rsidRDefault="000530B4">
      <w:pPr>
        <w:keepNext/>
        <w:keepLines/>
        <w:pBdr>
          <w:top w:val="nil"/>
          <w:left w:val="nil"/>
          <w:bottom w:val="nil"/>
          <w:right w:val="nil"/>
          <w:between w:val="nil"/>
        </w:pBdr>
        <w:spacing w:before="240" w:line="48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Contents</w:t>
      </w:r>
    </w:p>
    <w:sdt>
      <w:sdtPr>
        <w:id w:val="-998803362"/>
        <w:docPartObj>
          <w:docPartGallery w:val="Table of Contents"/>
          <w:docPartUnique/>
        </w:docPartObj>
      </w:sdtPr>
      <w:sdtEndPr>
        <w:rPr>
          <w:b/>
          <w:bCs/>
          <w:noProof/>
        </w:rPr>
      </w:sdtEndPr>
      <w:sdtContent>
        <w:p w14:paraId="1813D0D5" w14:textId="048FB147" w:rsidR="003C1554" w:rsidRPr="00FA3ED8" w:rsidRDefault="003C1554">
          <w:pPr>
            <w:pStyle w:val="TOC2"/>
            <w:tabs>
              <w:tab w:val="right" w:leader="dot" w:pos="9019"/>
            </w:tabs>
            <w:rPr>
              <w:rFonts w:ascii="Times New Roman" w:eastAsiaTheme="minorEastAsia" w:hAnsi="Times New Roman" w:cs="Times New Roman"/>
              <w:noProof/>
            </w:rPr>
          </w:pPr>
          <w:r w:rsidRPr="00FA3ED8">
            <w:rPr>
              <w:rFonts w:ascii="Times New Roman" w:hAnsi="Times New Roman" w:cs="Times New Roman"/>
            </w:rPr>
            <w:fldChar w:fldCharType="begin"/>
          </w:r>
          <w:r w:rsidRPr="00FA3ED8">
            <w:rPr>
              <w:rFonts w:ascii="Times New Roman" w:hAnsi="Times New Roman" w:cs="Times New Roman"/>
            </w:rPr>
            <w:instrText xml:space="preserve"> TOC \o "1-3" \h \z \u </w:instrText>
          </w:r>
          <w:r w:rsidRPr="00FA3ED8">
            <w:rPr>
              <w:rFonts w:ascii="Times New Roman" w:hAnsi="Times New Roman" w:cs="Times New Roman"/>
            </w:rPr>
            <w:fldChar w:fldCharType="separate"/>
          </w:r>
          <w:hyperlink w:anchor="_Toc172984761" w:history="1">
            <w:r w:rsidRPr="00FA3ED8">
              <w:rPr>
                <w:rStyle w:val="Hyperlink"/>
                <w:rFonts w:ascii="Times New Roman" w:eastAsia="Times New Roman" w:hAnsi="Times New Roman" w:cs="Times New Roman"/>
                <w:b/>
                <w:noProof/>
              </w:rPr>
              <w:t>Acknowledgement</w:t>
            </w:r>
            <w:r w:rsidRPr="00FA3ED8">
              <w:rPr>
                <w:rFonts w:ascii="Times New Roman" w:hAnsi="Times New Roman" w:cs="Times New Roman"/>
                <w:noProof/>
                <w:webHidden/>
              </w:rPr>
              <w:tab/>
            </w:r>
            <w:r w:rsidRPr="00FA3ED8">
              <w:rPr>
                <w:rFonts w:ascii="Times New Roman" w:hAnsi="Times New Roman" w:cs="Times New Roman"/>
                <w:noProof/>
                <w:webHidden/>
              </w:rPr>
              <w:fldChar w:fldCharType="begin"/>
            </w:r>
            <w:r w:rsidRPr="00FA3ED8">
              <w:rPr>
                <w:rFonts w:ascii="Times New Roman" w:hAnsi="Times New Roman" w:cs="Times New Roman"/>
                <w:noProof/>
                <w:webHidden/>
              </w:rPr>
              <w:instrText xml:space="preserve"> PAGEREF _Toc172984761 \h </w:instrText>
            </w:r>
            <w:r w:rsidRPr="00FA3ED8">
              <w:rPr>
                <w:rFonts w:ascii="Times New Roman" w:hAnsi="Times New Roman" w:cs="Times New Roman"/>
                <w:noProof/>
                <w:webHidden/>
              </w:rPr>
            </w:r>
            <w:r w:rsidRPr="00FA3ED8">
              <w:rPr>
                <w:rFonts w:ascii="Times New Roman" w:hAnsi="Times New Roman" w:cs="Times New Roman"/>
                <w:noProof/>
                <w:webHidden/>
              </w:rPr>
              <w:fldChar w:fldCharType="separate"/>
            </w:r>
            <w:r w:rsidR="00E81B0F">
              <w:rPr>
                <w:rFonts w:ascii="Times New Roman" w:hAnsi="Times New Roman" w:cs="Times New Roman"/>
                <w:noProof/>
                <w:webHidden/>
              </w:rPr>
              <w:t>i</w:t>
            </w:r>
            <w:r w:rsidRPr="00FA3ED8">
              <w:rPr>
                <w:rFonts w:ascii="Times New Roman" w:hAnsi="Times New Roman" w:cs="Times New Roman"/>
                <w:noProof/>
                <w:webHidden/>
              </w:rPr>
              <w:fldChar w:fldCharType="end"/>
            </w:r>
          </w:hyperlink>
        </w:p>
        <w:p w14:paraId="4B3F3227" w14:textId="2F494F4A" w:rsidR="003C1554" w:rsidRPr="00FA3ED8" w:rsidRDefault="007E2DD6">
          <w:pPr>
            <w:pStyle w:val="TOC2"/>
            <w:tabs>
              <w:tab w:val="right" w:leader="dot" w:pos="9019"/>
            </w:tabs>
            <w:rPr>
              <w:rFonts w:ascii="Times New Roman" w:eastAsiaTheme="minorEastAsia" w:hAnsi="Times New Roman" w:cs="Times New Roman"/>
              <w:noProof/>
            </w:rPr>
          </w:pPr>
          <w:hyperlink w:anchor="_Toc172984762" w:history="1">
            <w:r w:rsidR="003C1554" w:rsidRPr="00FA3ED8">
              <w:rPr>
                <w:rStyle w:val="Hyperlink"/>
                <w:rFonts w:ascii="Times New Roman" w:eastAsia="Times New Roman" w:hAnsi="Times New Roman" w:cs="Times New Roman"/>
                <w:b/>
                <w:noProof/>
              </w:rPr>
              <w:t>Thesis Abstract</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_Toc172984762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iii</w:t>
            </w:r>
            <w:r w:rsidR="003C1554" w:rsidRPr="00FA3ED8">
              <w:rPr>
                <w:rFonts w:ascii="Times New Roman" w:hAnsi="Times New Roman" w:cs="Times New Roman"/>
                <w:noProof/>
                <w:webHidden/>
              </w:rPr>
              <w:fldChar w:fldCharType="end"/>
            </w:r>
          </w:hyperlink>
        </w:p>
        <w:p w14:paraId="5273D38A" w14:textId="40B9FD41" w:rsidR="003C1554" w:rsidRPr="00FA3ED8" w:rsidRDefault="007E2DD6">
          <w:pPr>
            <w:pStyle w:val="TOC2"/>
            <w:tabs>
              <w:tab w:val="right" w:leader="dot" w:pos="9019"/>
            </w:tabs>
            <w:rPr>
              <w:rFonts w:ascii="Times New Roman" w:eastAsiaTheme="minorEastAsia" w:hAnsi="Times New Roman" w:cs="Times New Roman"/>
              <w:noProof/>
            </w:rPr>
          </w:pPr>
          <w:hyperlink w:anchor="_Toc172984763" w:history="1">
            <w:r w:rsidR="003C1554" w:rsidRPr="00FA3ED8">
              <w:rPr>
                <w:rStyle w:val="Hyperlink"/>
                <w:rFonts w:ascii="Times New Roman" w:eastAsia="Times New Roman" w:hAnsi="Times New Roman" w:cs="Times New Roman"/>
                <w:b/>
                <w:noProof/>
              </w:rPr>
              <w:t>Dissemination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_Toc172984763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v</w:t>
            </w:r>
            <w:r w:rsidR="003C1554" w:rsidRPr="00FA3ED8">
              <w:rPr>
                <w:rFonts w:ascii="Times New Roman" w:hAnsi="Times New Roman" w:cs="Times New Roman"/>
                <w:noProof/>
                <w:webHidden/>
              </w:rPr>
              <w:fldChar w:fldCharType="end"/>
            </w:r>
          </w:hyperlink>
        </w:p>
        <w:p w14:paraId="40873903" w14:textId="1A967A87" w:rsidR="003C1554" w:rsidRPr="00FA3ED8" w:rsidRDefault="007E2DD6">
          <w:pPr>
            <w:pStyle w:val="TOC2"/>
            <w:tabs>
              <w:tab w:val="right" w:leader="dot" w:pos="9019"/>
            </w:tabs>
            <w:rPr>
              <w:rFonts w:ascii="Times New Roman" w:eastAsiaTheme="minorEastAsia" w:hAnsi="Times New Roman" w:cs="Times New Roman"/>
              <w:noProof/>
            </w:rPr>
          </w:pPr>
          <w:hyperlink w:anchor="_Toc172984764" w:history="1">
            <w:r w:rsidR="003C1554" w:rsidRPr="00FA3ED8">
              <w:rPr>
                <w:rStyle w:val="Hyperlink"/>
                <w:rFonts w:ascii="Times New Roman" w:hAnsi="Times New Roman" w:cs="Times New Roman"/>
                <w:b/>
                <w:bCs/>
                <w:noProof/>
              </w:rPr>
              <w:t>Table of Figures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_Toc172984764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x</w:t>
            </w:r>
            <w:r w:rsidR="003C1554" w:rsidRPr="00FA3ED8">
              <w:rPr>
                <w:rFonts w:ascii="Times New Roman" w:hAnsi="Times New Roman" w:cs="Times New Roman"/>
                <w:noProof/>
                <w:webHidden/>
              </w:rPr>
              <w:fldChar w:fldCharType="end"/>
            </w:r>
          </w:hyperlink>
        </w:p>
        <w:p w14:paraId="1EA306CD" w14:textId="48210228" w:rsidR="003C1554" w:rsidRPr="00FA3ED8" w:rsidRDefault="007E2DD6">
          <w:pPr>
            <w:pStyle w:val="TOC2"/>
            <w:tabs>
              <w:tab w:val="right" w:leader="dot" w:pos="9019"/>
            </w:tabs>
            <w:rPr>
              <w:rFonts w:ascii="Times New Roman" w:eastAsiaTheme="minorEastAsia" w:hAnsi="Times New Roman" w:cs="Times New Roman"/>
              <w:noProof/>
            </w:rPr>
          </w:pPr>
          <w:hyperlink w:anchor="_Toc172984765" w:history="1">
            <w:r w:rsidR="003C1554" w:rsidRPr="00FA3ED8">
              <w:rPr>
                <w:rStyle w:val="Hyperlink"/>
                <w:rFonts w:ascii="Times New Roman" w:hAnsi="Times New Roman" w:cs="Times New Roman"/>
                <w:b/>
                <w:bCs/>
                <w:noProof/>
              </w:rPr>
              <w:t>Tables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_Toc172984765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xi</w:t>
            </w:r>
            <w:r w:rsidR="003C1554" w:rsidRPr="00FA3ED8">
              <w:rPr>
                <w:rFonts w:ascii="Times New Roman" w:hAnsi="Times New Roman" w:cs="Times New Roman"/>
                <w:noProof/>
                <w:webHidden/>
              </w:rPr>
              <w:fldChar w:fldCharType="end"/>
            </w:r>
          </w:hyperlink>
        </w:p>
        <w:p w14:paraId="6F48B0B9" w14:textId="70AB32A0" w:rsidR="003C1554" w:rsidRPr="00FA3ED8" w:rsidRDefault="007E2DD6">
          <w:pPr>
            <w:pStyle w:val="TOC2"/>
            <w:tabs>
              <w:tab w:val="right" w:leader="dot" w:pos="9019"/>
            </w:tabs>
            <w:rPr>
              <w:rFonts w:ascii="Times New Roman" w:eastAsiaTheme="minorEastAsia" w:hAnsi="Times New Roman" w:cs="Times New Roman"/>
              <w:noProof/>
            </w:rPr>
          </w:pPr>
          <w:hyperlink w:anchor="_Toc172984766" w:history="1">
            <w:r w:rsidR="003C1554" w:rsidRPr="00FA3ED8">
              <w:rPr>
                <w:rStyle w:val="Hyperlink"/>
                <w:rFonts w:ascii="Times New Roman" w:hAnsi="Times New Roman" w:cs="Times New Roman"/>
                <w:b/>
                <w:bCs/>
                <w:noProof/>
              </w:rPr>
              <w:t>List of abbreviations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_Toc172984766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xii</w:t>
            </w:r>
            <w:r w:rsidR="003C1554" w:rsidRPr="00FA3ED8">
              <w:rPr>
                <w:rFonts w:ascii="Times New Roman" w:hAnsi="Times New Roman" w:cs="Times New Roman"/>
                <w:noProof/>
                <w:webHidden/>
              </w:rPr>
              <w:fldChar w:fldCharType="end"/>
            </w:r>
          </w:hyperlink>
        </w:p>
        <w:p w14:paraId="52B0A9A2" w14:textId="5ADA5893" w:rsidR="003C1554" w:rsidRPr="00FA3ED8" w:rsidRDefault="007E2DD6">
          <w:pPr>
            <w:pStyle w:val="TOC1"/>
            <w:tabs>
              <w:tab w:val="right" w:leader="dot" w:pos="9019"/>
            </w:tabs>
            <w:rPr>
              <w:rFonts w:ascii="Times New Roman" w:eastAsiaTheme="minorEastAsia" w:hAnsi="Times New Roman" w:cs="Times New Roman"/>
              <w:noProof/>
            </w:rPr>
          </w:pPr>
          <w:hyperlink w:anchor="_Toc172984767" w:history="1">
            <w:r w:rsidR="003C1554" w:rsidRPr="00FA3ED8">
              <w:rPr>
                <w:rStyle w:val="Hyperlink"/>
                <w:rFonts w:ascii="Times New Roman" w:eastAsia="Times New Roman" w:hAnsi="Times New Roman" w:cs="Times New Roman"/>
                <w:b/>
                <w:noProof/>
              </w:rPr>
              <w:t>Chapter 1</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_Toc172984767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w:t>
            </w:r>
            <w:r w:rsidR="003C1554" w:rsidRPr="00FA3ED8">
              <w:rPr>
                <w:rFonts w:ascii="Times New Roman" w:hAnsi="Times New Roman" w:cs="Times New Roman"/>
                <w:noProof/>
                <w:webHidden/>
              </w:rPr>
              <w:fldChar w:fldCharType="end"/>
            </w:r>
          </w:hyperlink>
        </w:p>
        <w:p w14:paraId="5E689294" w14:textId="7E84C06B" w:rsidR="003C1554" w:rsidRPr="00FA3ED8" w:rsidRDefault="007E2DD6">
          <w:pPr>
            <w:pStyle w:val="TOC2"/>
            <w:tabs>
              <w:tab w:val="right" w:leader="dot" w:pos="9019"/>
            </w:tabs>
            <w:rPr>
              <w:rFonts w:ascii="Times New Roman" w:eastAsiaTheme="minorEastAsia" w:hAnsi="Times New Roman" w:cs="Times New Roman"/>
              <w:noProof/>
            </w:rPr>
          </w:pPr>
          <w:hyperlink w:anchor="_Toc172984768" w:history="1">
            <w:r w:rsidR="003C1554" w:rsidRPr="00FA3ED8">
              <w:rPr>
                <w:rStyle w:val="Hyperlink"/>
                <w:rFonts w:ascii="Times New Roman" w:eastAsia="Times New Roman" w:hAnsi="Times New Roman" w:cs="Times New Roman"/>
                <w:b/>
                <w:noProof/>
              </w:rPr>
              <w:t>General Introduction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_Toc172984768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w:t>
            </w:r>
            <w:r w:rsidR="003C1554" w:rsidRPr="00FA3ED8">
              <w:rPr>
                <w:rFonts w:ascii="Times New Roman" w:hAnsi="Times New Roman" w:cs="Times New Roman"/>
                <w:noProof/>
                <w:webHidden/>
              </w:rPr>
              <w:fldChar w:fldCharType="end"/>
            </w:r>
          </w:hyperlink>
        </w:p>
        <w:p w14:paraId="6CCC12BA" w14:textId="0681F1EB" w:rsidR="003C1554" w:rsidRPr="00FA3ED8" w:rsidRDefault="007E2DD6">
          <w:pPr>
            <w:pStyle w:val="TOC3"/>
            <w:tabs>
              <w:tab w:val="right" w:leader="dot" w:pos="9019"/>
            </w:tabs>
            <w:rPr>
              <w:rFonts w:ascii="Times New Roman" w:eastAsiaTheme="minorEastAsia" w:hAnsi="Times New Roman" w:cs="Times New Roman"/>
              <w:noProof/>
            </w:rPr>
          </w:pPr>
          <w:hyperlink w:anchor="_Toc172984769" w:history="1">
            <w:r w:rsidR="003C1554" w:rsidRPr="00FA3ED8">
              <w:rPr>
                <w:rStyle w:val="Hyperlink"/>
                <w:rFonts w:ascii="Times New Roman" w:eastAsia="Times New Roman" w:hAnsi="Times New Roman" w:cs="Times New Roman"/>
                <w:b/>
                <w:noProof/>
              </w:rPr>
              <w:t>1.1 Overweight and obesity: trends and implications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_Toc172984769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w:t>
            </w:r>
            <w:r w:rsidR="003C1554" w:rsidRPr="00FA3ED8">
              <w:rPr>
                <w:rFonts w:ascii="Times New Roman" w:hAnsi="Times New Roman" w:cs="Times New Roman"/>
                <w:noProof/>
                <w:webHidden/>
              </w:rPr>
              <w:fldChar w:fldCharType="end"/>
            </w:r>
          </w:hyperlink>
        </w:p>
        <w:p w14:paraId="6BF7570A" w14:textId="4BCD1577" w:rsidR="003C1554" w:rsidRPr="00FA3ED8" w:rsidRDefault="007E2DD6">
          <w:pPr>
            <w:pStyle w:val="TOC3"/>
            <w:tabs>
              <w:tab w:val="right" w:leader="dot" w:pos="9019"/>
            </w:tabs>
            <w:rPr>
              <w:rFonts w:ascii="Times New Roman" w:eastAsiaTheme="minorEastAsia" w:hAnsi="Times New Roman" w:cs="Times New Roman"/>
              <w:noProof/>
            </w:rPr>
          </w:pPr>
          <w:hyperlink w:anchor="_Toc172984770" w:history="1">
            <w:r w:rsidR="003C1554" w:rsidRPr="00FA3ED8">
              <w:rPr>
                <w:rStyle w:val="Hyperlink"/>
                <w:rFonts w:ascii="Times New Roman" w:eastAsia="Times New Roman" w:hAnsi="Times New Roman" w:cs="Times New Roman"/>
                <w:b/>
                <w:noProof/>
              </w:rPr>
              <w:t>1.2 Weight management</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_Toc172984770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2</w:t>
            </w:r>
            <w:r w:rsidR="003C1554" w:rsidRPr="00FA3ED8">
              <w:rPr>
                <w:rFonts w:ascii="Times New Roman" w:hAnsi="Times New Roman" w:cs="Times New Roman"/>
                <w:noProof/>
                <w:webHidden/>
              </w:rPr>
              <w:fldChar w:fldCharType="end"/>
            </w:r>
          </w:hyperlink>
        </w:p>
        <w:p w14:paraId="0AD30303" w14:textId="0786B4F5" w:rsidR="003C1554" w:rsidRPr="00FA3ED8" w:rsidRDefault="007E2DD6">
          <w:pPr>
            <w:pStyle w:val="TOC3"/>
            <w:tabs>
              <w:tab w:val="right" w:leader="dot" w:pos="9019"/>
            </w:tabs>
            <w:rPr>
              <w:rFonts w:ascii="Times New Roman" w:eastAsiaTheme="minorEastAsia" w:hAnsi="Times New Roman" w:cs="Times New Roman"/>
              <w:noProof/>
            </w:rPr>
          </w:pPr>
          <w:hyperlink w:anchor="_Toc172984771" w:history="1">
            <w:r w:rsidR="003C1554" w:rsidRPr="00FA3ED8">
              <w:rPr>
                <w:rStyle w:val="Hyperlink"/>
                <w:rFonts w:ascii="Times New Roman" w:eastAsia="Times New Roman" w:hAnsi="Times New Roman" w:cs="Times New Roman"/>
                <w:b/>
                <w:noProof/>
              </w:rPr>
              <w:t>1.3 Cause of obesity</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_Toc172984771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w:t>
            </w:r>
            <w:r w:rsidR="003C1554" w:rsidRPr="00FA3ED8">
              <w:rPr>
                <w:rFonts w:ascii="Times New Roman" w:hAnsi="Times New Roman" w:cs="Times New Roman"/>
                <w:noProof/>
                <w:webHidden/>
              </w:rPr>
              <w:fldChar w:fldCharType="end"/>
            </w:r>
          </w:hyperlink>
        </w:p>
        <w:p w14:paraId="5C273E9D" w14:textId="3A89CD16" w:rsidR="003C1554" w:rsidRPr="00FA3ED8" w:rsidRDefault="007E2DD6">
          <w:pPr>
            <w:pStyle w:val="TOC3"/>
            <w:tabs>
              <w:tab w:val="right" w:leader="dot" w:pos="9019"/>
            </w:tabs>
            <w:rPr>
              <w:rFonts w:ascii="Times New Roman" w:eastAsiaTheme="minorEastAsia" w:hAnsi="Times New Roman" w:cs="Times New Roman"/>
              <w:noProof/>
            </w:rPr>
          </w:pPr>
          <w:hyperlink w:anchor="_Toc172984772" w:history="1">
            <w:r w:rsidR="003C1554" w:rsidRPr="00FA3ED8">
              <w:rPr>
                <w:rStyle w:val="Hyperlink"/>
                <w:rFonts w:ascii="Times New Roman" w:eastAsia="Times New Roman" w:hAnsi="Times New Roman" w:cs="Times New Roman"/>
                <w:b/>
                <w:noProof/>
              </w:rPr>
              <w:t>1.4 Energy balance</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_Toc172984772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8</w:t>
            </w:r>
            <w:r w:rsidR="003C1554" w:rsidRPr="00FA3ED8">
              <w:rPr>
                <w:rFonts w:ascii="Times New Roman" w:hAnsi="Times New Roman" w:cs="Times New Roman"/>
                <w:noProof/>
                <w:webHidden/>
              </w:rPr>
              <w:fldChar w:fldCharType="end"/>
            </w:r>
          </w:hyperlink>
        </w:p>
        <w:p w14:paraId="6899F389" w14:textId="264D9F0D" w:rsidR="003C1554" w:rsidRPr="00FA3ED8" w:rsidRDefault="007E2DD6">
          <w:pPr>
            <w:pStyle w:val="TOC3"/>
            <w:tabs>
              <w:tab w:val="right" w:leader="dot" w:pos="9019"/>
            </w:tabs>
            <w:rPr>
              <w:rFonts w:ascii="Times New Roman" w:eastAsiaTheme="minorEastAsia" w:hAnsi="Times New Roman" w:cs="Times New Roman"/>
              <w:noProof/>
            </w:rPr>
          </w:pPr>
          <w:hyperlink w:anchor="_Toc172984773" w:history="1">
            <w:r w:rsidR="003C1554" w:rsidRPr="00FA3ED8">
              <w:rPr>
                <w:rStyle w:val="Hyperlink"/>
                <w:rFonts w:ascii="Times New Roman" w:eastAsia="Times New Roman" w:hAnsi="Times New Roman" w:cs="Times New Roman"/>
                <w:b/>
                <w:noProof/>
              </w:rPr>
              <w:t>1.5 Drivers of eating behaviour</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_Toc172984773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10</w:t>
            </w:r>
            <w:r w:rsidR="003C1554" w:rsidRPr="00FA3ED8">
              <w:rPr>
                <w:rFonts w:ascii="Times New Roman" w:hAnsi="Times New Roman" w:cs="Times New Roman"/>
                <w:noProof/>
                <w:webHidden/>
              </w:rPr>
              <w:fldChar w:fldCharType="end"/>
            </w:r>
          </w:hyperlink>
        </w:p>
        <w:p w14:paraId="7520BB30" w14:textId="01C76D75" w:rsidR="003C1554" w:rsidRPr="00FA3ED8" w:rsidRDefault="007E2DD6">
          <w:pPr>
            <w:pStyle w:val="TOC3"/>
            <w:tabs>
              <w:tab w:val="right" w:leader="dot" w:pos="9019"/>
            </w:tabs>
            <w:rPr>
              <w:rFonts w:ascii="Times New Roman" w:eastAsiaTheme="minorEastAsia" w:hAnsi="Times New Roman" w:cs="Times New Roman"/>
              <w:noProof/>
            </w:rPr>
          </w:pPr>
          <w:hyperlink w:anchor="_Toc172984774" w:history="1">
            <w:r w:rsidR="003C1554" w:rsidRPr="00FA3ED8">
              <w:rPr>
                <w:rStyle w:val="Hyperlink"/>
                <w:rFonts w:ascii="Times New Roman" w:eastAsia="Times New Roman" w:hAnsi="Times New Roman" w:cs="Times New Roman"/>
                <w:b/>
                <w:noProof/>
              </w:rPr>
              <w:t>1.6 Appetite control</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_Toc172984774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16</w:t>
            </w:r>
            <w:r w:rsidR="003C1554" w:rsidRPr="00FA3ED8">
              <w:rPr>
                <w:rFonts w:ascii="Times New Roman" w:hAnsi="Times New Roman" w:cs="Times New Roman"/>
                <w:noProof/>
                <w:webHidden/>
              </w:rPr>
              <w:fldChar w:fldCharType="end"/>
            </w:r>
          </w:hyperlink>
        </w:p>
        <w:p w14:paraId="03BA1A46" w14:textId="56826991" w:rsidR="003C1554" w:rsidRPr="00FA3ED8" w:rsidRDefault="007E2DD6">
          <w:pPr>
            <w:pStyle w:val="TOC3"/>
            <w:tabs>
              <w:tab w:val="right" w:leader="dot" w:pos="9019"/>
            </w:tabs>
            <w:rPr>
              <w:rFonts w:ascii="Times New Roman" w:eastAsiaTheme="minorEastAsia" w:hAnsi="Times New Roman" w:cs="Times New Roman"/>
              <w:noProof/>
            </w:rPr>
          </w:pPr>
          <w:hyperlink w:anchor="_Toc172984775" w:history="1">
            <w:r w:rsidR="003C1554" w:rsidRPr="00FA3ED8">
              <w:rPr>
                <w:rStyle w:val="Hyperlink"/>
                <w:rFonts w:ascii="Times New Roman" w:eastAsia="Times New Roman" w:hAnsi="Times New Roman" w:cs="Times New Roman"/>
                <w:b/>
                <w:noProof/>
              </w:rPr>
              <w:t>1.7 Eating behaviour and eating patterns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_Toc172984775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19</w:t>
            </w:r>
            <w:r w:rsidR="003C1554" w:rsidRPr="00FA3ED8">
              <w:rPr>
                <w:rFonts w:ascii="Times New Roman" w:hAnsi="Times New Roman" w:cs="Times New Roman"/>
                <w:noProof/>
                <w:webHidden/>
              </w:rPr>
              <w:fldChar w:fldCharType="end"/>
            </w:r>
          </w:hyperlink>
        </w:p>
        <w:p w14:paraId="158EB065" w14:textId="07A1EBC4" w:rsidR="003C1554" w:rsidRPr="00FA3ED8" w:rsidRDefault="007E2DD6">
          <w:pPr>
            <w:pStyle w:val="TOC3"/>
            <w:tabs>
              <w:tab w:val="right" w:leader="dot" w:pos="9019"/>
            </w:tabs>
            <w:rPr>
              <w:rFonts w:ascii="Times New Roman" w:eastAsiaTheme="minorEastAsia" w:hAnsi="Times New Roman" w:cs="Times New Roman"/>
              <w:noProof/>
            </w:rPr>
          </w:pPr>
          <w:hyperlink w:anchor="_Toc172984776" w:history="1">
            <w:r w:rsidR="003C1554" w:rsidRPr="00FA3ED8">
              <w:rPr>
                <w:rStyle w:val="Hyperlink"/>
                <w:rFonts w:ascii="Times New Roman" w:eastAsia="Times New Roman" w:hAnsi="Times New Roman" w:cs="Times New Roman"/>
                <w:b/>
                <w:noProof/>
              </w:rPr>
              <w:t>1.8 Psychological theory</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_Toc172984776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25</w:t>
            </w:r>
            <w:r w:rsidR="003C1554" w:rsidRPr="00FA3ED8">
              <w:rPr>
                <w:rFonts w:ascii="Times New Roman" w:hAnsi="Times New Roman" w:cs="Times New Roman"/>
                <w:noProof/>
                <w:webHidden/>
              </w:rPr>
              <w:fldChar w:fldCharType="end"/>
            </w:r>
          </w:hyperlink>
        </w:p>
        <w:p w14:paraId="1E11D8AD" w14:textId="46D41A9D" w:rsidR="003C1554" w:rsidRPr="00FA3ED8" w:rsidRDefault="007E2DD6">
          <w:pPr>
            <w:pStyle w:val="TOC3"/>
            <w:tabs>
              <w:tab w:val="right" w:leader="dot" w:pos="9019"/>
            </w:tabs>
            <w:rPr>
              <w:rFonts w:ascii="Times New Roman" w:eastAsiaTheme="minorEastAsia" w:hAnsi="Times New Roman" w:cs="Times New Roman"/>
              <w:noProof/>
            </w:rPr>
          </w:pPr>
          <w:hyperlink w:anchor="_Toc172984777" w:history="1">
            <w:r w:rsidR="003C1554" w:rsidRPr="00FA3ED8">
              <w:rPr>
                <w:rStyle w:val="Hyperlink"/>
                <w:rFonts w:ascii="Times New Roman" w:eastAsia="Times New Roman" w:hAnsi="Times New Roman" w:cs="Times New Roman"/>
                <w:b/>
                <w:noProof/>
              </w:rPr>
              <w:t>1.9 Eating behaviour traits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_Toc172984777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26</w:t>
            </w:r>
            <w:r w:rsidR="003C1554" w:rsidRPr="00FA3ED8">
              <w:rPr>
                <w:rFonts w:ascii="Times New Roman" w:hAnsi="Times New Roman" w:cs="Times New Roman"/>
                <w:noProof/>
                <w:webHidden/>
              </w:rPr>
              <w:fldChar w:fldCharType="end"/>
            </w:r>
          </w:hyperlink>
        </w:p>
        <w:p w14:paraId="2DB2315A" w14:textId="57AC5854" w:rsidR="003C1554" w:rsidRPr="00FA3ED8" w:rsidRDefault="007E2DD6">
          <w:pPr>
            <w:pStyle w:val="TOC3"/>
            <w:tabs>
              <w:tab w:val="right" w:leader="dot" w:pos="9019"/>
            </w:tabs>
            <w:rPr>
              <w:rFonts w:ascii="Times New Roman" w:eastAsiaTheme="minorEastAsia" w:hAnsi="Times New Roman" w:cs="Times New Roman"/>
              <w:noProof/>
            </w:rPr>
          </w:pPr>
          <w:hyperlink w:anchor="_Toc172984778" w:history="1">
            <w:r w:rsidR="003C1554" w:rsidRPr="00FA3ED8">
              <w:rPr>
                <w:rStyle w:val="Hyperlink"/>
                <w:rFonts w:ascii="Times New Roman" w:eastAsia="Times New Roman" w:hAnsi="Times New Roman" w:cs="Times New Roman"/>
                <w:b/>
                <w:noProof/>
              </w:rPr>
              <w:t>1.10 Eating behaviour traits, meal patterns and weight loss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_Toc172984778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32</w:t>
            </w:r>
            <w:r w:rsidR="003C1554" w:rsidRPr="00FA3ED8">
              <w:rPr>
                <w:rFonts w:ascii="Times New Roman" w:hAnsi="Times New Roman" w:cs="Times New Roman"/>
                <w:noProof/>
                <w:webHidden/>
              </w:rPr>
              <w:fldChar w:fldCharType="end"/>
            </w:r>
          </w:hyperlink>
        </w:p>
        <w:p w14:paraId="281C0EA2" w14:textId="5293A1F5" w:rsidR="003C1554" w:rsidRPr="00FA3ED8" w:rsidRDefault="007E2DD6">
          <w:pPr>
            <w:pStyle w:val="TOC3"/>
            <w:tabs>
              <w:tab w:val="right" w:leader="dot" w:pos="9019"/>
            </w:tabs>
            <w:rPr>
              <w:rFonts w:ascii="Times New Roman" w:eastAsiaTheme="minorEastAsia" w:hAnsi="Times New Roman" w:cs="Times New Roman"/>
              <w:noProof/>
            </w:rPr>
          </w:pPr>
          <w:hyperlink w:anchor="_Toc172984779" w:history="1">
            <w:r w:rsidR="003C1554" w:rsidRPr="00FA3ED8">
              <w:rPr>
                <w:rStyle w:val="Hyperlink"/>
                <w:rFonts w:ascii="Times New Roman" w:eastAsia="Times New Roman" w:hAnsi="Times New Roman" w:cs="Times New Roman"/>
                <w:b/>
                <w:noProof/>
              </w:rPr>
              <w:t>1.11 Aims and objectives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_Toc172984779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36</w:t>
            </w:r>
            <w:r w:rsidR="003C1554" w:rsidRPr="00FA3ED8">
              <w:rPr>
                <w:rFonts w:ascii="Times New Roman" w:hAnsi="Times New Roman" w:cs="Times New Roman"/>
                <w:noProof/>
                <w:webHidden/>
              </w:rPr>
              <w:fldChar w:fldCharType="end"/>
            </w:r>
          </w:hyperlink>
        </w:p>
        <w:p w14:paraId="576A1486" w14:textId="758D716F" w:rsidR="003C1554" w:rsidRPr="00FA3ED8" w:rsidRDefault="007E2DD6">
          <w:pPr>
            <w:pStyle w:val="TOC1"/>
            <w:tabs>
              <w:tab w:val="right" w:leader="dot" w:pos="9019"/>
            </w:tabs>
            <w:rPr>
              <w:rFonts w:ascii="Times New Roman" w:eastAsiaTheme="minorEastAsia" w:hAnsi="Times New Roman" w:cs="Times New Roman"/>
              <w:noProof/>
            </w:rPr>
          </w:pPr>
          <w:hyperlink w:anchor="_Toc172984780" w:history="1">
            <w:r w:rsidR="003C1554" w:rsidRPr="00FA3ED8">
              <w:rPr>
                <w:rStyle w:val="Hyperlink"/>
                <w:rFonts w:ascii="Times New Roman" w:eastAsia="Times New Roman" w:hAnsi="Times New Roman" w:cs="Times New Roman"/>
                <w:b/>
                <w:noProof/>
              </w:rPr>
              <w:t>Chapter 2</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_Toc172984780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38</w:t>
            </w:r>
            <w:r w:rsidR="003C1554" w:rsidRPr="00FA3ED8">
              <w:rPr>
                <w:rFonts w:ascii="Times New Roman" w:hAnsi="Times New Roman" w:cs="Times New Roman"/>
                <w:noProof/>
                <w:webHidden/>
              </w:rPr>
              <w:fldChar w:fldCharType="end"/>
            </w:r>
          </w:hyperlink>
        </w:p>
        <w:p w14:paraId="1BA230F3" w14:textId="4C7D7166" w:rsidR="003C1554" w:rsidRPr="00FA3ED8" w:rsidRDefault="007E2DD6">
          <w:pPr>
            <w:pStyle w:val="TOC2"/>
            <w:tabs>
              <w:tab w:val="right" w:leader="dot" w:pos="9019"/>
            </w:tabs>
            <w:rPr>
              <w:rFonts w:ascii="Times New Roman" w:eastAsiaTheme="minorEastAsia" w:hAnsi="Times New Roman" w:cs="Times New Roman"/>
              <w:noProof/>
            </w:rPr>
          </w:pPr>
          <w:hyperlink w:anchor="_Toc172984781" w:history="1">
            <w:r w:rsidR="003C1554" w:rsidRPr="00FA3ED8">
              <w:rPr>
                <w:rStyle w:val="Hyperlink"/>
                <w:rFonts w:ascii="Times New Roman" w:eastAsia="Times New Roman" w:hAnsi="Times New Roman" w:cs="Times New Roman"/>
                <w:b/>
                <w:noProof/>
              </w:rPr>
              <w:t>A narrative review exploring the influence of meal timing on body weight</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_Toc172984781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38</w:t>
            </w:r>
            <w:r w:rsidR="003C1554" w:rsidRPr="00FA3ED8">
              <w:rPr>
                <w:rFonts w:ascii="Times New Roman" w:hAnsi="Times New Roman" w:cs="Times New Roman"/>
                <w:noProof/>
                <w:webHidden/>
              </w:rPr>
              <w:fldChar w:fldCharType="end"/>
            </w:r>
          </w:hyperlink>
        </w:p>
        <w:p w14:paraId="383C8CB4" w14:textId="58EC3FA5" w:rsidR="003C1554" w:rsidRPr="00FA3ED8" w:rsidRDefault="007E2DD6">
          <w:pPr>
            <w:pStyle w:val="TOC3"/>
            <w:tabs>
              <w:tab w:val="right" w:leader="dot" w:pos="9019"/>
            </w:tabs>
            <w:rPr>
              <w:rFonts w:ascii="Times New Roman" w:eastAsiaTheme="minorEastAsia" w:hAnsi="Times New Roman" w:cs="Times New Roman"/>
              <w:noProof/>
            </w:rPr>
          </w:pPr>
          <w:hyperlink w:anchor="_Toc172984782" w:history="1">
            <w:r w:rsidR="003C1554" w:rsidRPr="00FA3ED8">
              <w:rPr>
                <w:rStyle w:val="Hyperlink"/>
                <w:rFonts w:ascii="Times New Roman" w:eastAsia="Times New Roman" w:hAnsi="Times New Roman" w:cs="Times New Roman"/>
                <w:b/>
                <w:noProof/>
              </w:rPr>
              <w:t>2.1 Introduction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_Toc172984782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38</w:t>
            </w:r>
            <w:r w:rsidR="003C1554" w:rsidRPr="00FA3ED8">
              <w:rPr>
                <w:rFonts w:ascii="Times New Roman" w:hAnsi="Times New Roman" w:cs="Times New Roman"/>
                <w:noProof/>
                <w:webHidden/>
              </w:rPr>
              <w:fldChar w:fldCharType="end"/>
            </w:r>
          </w:hyperlink>
        </w:p>
        <w:p w14:paraId="05EEB899" w14:textId="181E7DC8" w:rsidR="003C1554" w:rsidRPr="00FA3ED8" w:rsidRDefault="007E2DD6">
          <w:pPr>
            <w:pStyle w:val="TOC3"/>
            <w:tabs>
              <w:tab w:val="right" w:leader="dot" w:pos="9019"/>
            </w:tabs>
            <w:rPr>
              <w:rFonts w:ascii="Times New Roman" w:eastAsiaTheme="minorEastAsia" w:hAnsi="Times New Roman" w:cs="Times New Roman"/>
              <w:noProof/>
            </w:rPr>
          </w:pPr>
          <w:hyperlink w:anchor="_Toc172984783" w:history="1">
            <w:r w:rsidR="003C1554" w:rsidRPr="00FA3ED8">
              <w:rPr>
                <w:rStyle w:val="Hyperlink"/>
                <w:rFonts w:ascii="Times New Roman" w:eastAsia="Times New Roman" w:hAnsi="Times New Roman" w:cs="Times New Roman"/>
                <w:b/>
                <w:noProof/>
              </w:rPr>
              <w:t>2.2 Methods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_Toc172984783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42</w:t>
            </w:r>
            <w:r w:rsidR="003C1554" w:rsidRPr="00FA3ED8">
              <w:rPr>
                <w:rFonts w:ascii="Times New Roman" w:hAnsi="Times New Roman" w:cs="Times New Roman"/>
                <w:noProof/>
                <w:webHidden/>
              </w:rPr>
              <w:fldChar w:fldCharType="end"/>
            </w:r>
          </w:hyperlink>
        </w:p>
        <w:p w14:paraId="322C8BF1" w14:textId="6820B658" w:rsidR="003C1554" w:rsidRPr="00FA3ED8" w:rsidRDefault="007E2DD6">
          <w:pPr>
            <w:pStyle w:val="TOC3"/>
            <w:tabs>
              <w:tab w:val="right" w:leader="dot" w:pos="9019"/>
            </w:tabs>
            <w:rPr>
              <w:rFonts w:ascii="Times New Roman" w:eastAsiaTheme="minorEastAsia" w:hAnsi="Times New Roman" w:cs="Times New Roman"/>
              <w:noProof/>
            </w:rPr>
          </w:pPr>
          <w:hyperlink w:anchor="_Toc172984784" w:history="1">
            <w:r w:rsidR="003C1554" w:rsidRPr="00FA3ED8">
              <w:rPr>
                <w:rStyle w:val="Hyperlink"/>
                <w:rFonts w:ascii="Times New Roman" w:eastAsia="Times New Roman" w:hAnsi="Times New Roman" w:cs="Times New Roman"/>
                <w:b/>
                <w:noProof/>
              </w:rPr>
              <w:t>2.3 Results and Discussion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_Toc172984784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43</w:t>
            </w:r>
            <w:r w:rsidR="003C1554" w:rsidRPr="00FA3ED8">
              <w:rPr>
                <w:rFonts w:ascii="Times New Roman" w:hAnsi="Times New Roman" w:cs="Times New Roman"/>
                <w:noProof/>
                <w:webHidden/>
              </w:rPr>
              <w:fldChar w:fldCharType="end"/>
            </w:r>
          </w:hyperlink>
        </w:p>
        <w:p w14:paraId="72016587" w14:textId="11F44B33" w:rsidR="003C1554" w:rsidRPr="00FA3ED8" w:rsidRDefault="007E2DD6">
          <w:pPr>
            <w:pStyle w:val="TOC3"/>
            <w:tabs>
              <w:tab w:val="right" w:leader="dot" w:pos="9019"/>
            </w:tabs>
            <w:rPr>
              <w:rFonts w:ascii="Times New Roman" w:eastAsiaTheme="minorEastAsia" w:hAnsi="Times New Roman" w:cs="Times New Roman"/>
              <w:noProof/>
            </w:rPr>
          </w:pPr>
          <w:hyperlink w:anchor="_Toc172984785" w:history="1">
            <w:r w:rsidR="003C1554" w:rsidRPr="00FA3ED8">
              <w:rPr>
                <w:rStyle w:val="Hyperlink"/>
                <w:rFonts w:ascii="Times New Roman" w:eastAsia="Times New Roman" w:hAnsi="Times New Roman" w:cs="Times New Roman"/>
                <w:b/>
                <w:noProof/>
              </w:rPr>
              <w:t>2.4 Conclusion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_Toc172984785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59</w:t>
            </w:r>
            <w:r w:rsidR="003C1554" w:rsidRPr="00FA3ED8">
              <w:rPr>
                <w:rFonts w:ascii="Times New Roman" w:hAnsi="Times New Roman" w:cs="Times New Roman"/>
                <w:noProof/>
                <w:webHidden/>
              </w:rPr>
              <w:fldChar w:fldCharType="end"/>
            </w:r>
          </w:hyperlink>
        </w:p>
        <w:p w14:paraId="3AA0E919" w14:textId="449FB587" w:rsidR="003C1554" w:rsidRPr="00FA3ED8" w:rsidRDefault="007E2DD6">
          <w:pPr>
            <w:pStyle w:val="TOC1"/>
            <w:tabs>
              <w:tab w:val="right" w:leader="dot" w:pos="9019"/>
            </w:tabs>
            <w:rPr>
              <w:rFonts w:ascii="Times New Roman" w:eastAsiaTheme="minorEastAsia" w:hAnsi="Times New Roman" w:cs="Times New Roman"/>
              <w:noProof/>
            </w:rPr>
          </w:pPr>
          <w:hyperlink w:anchor="_Toc172984786" w:history="1">
            <w:r w:rsidR="003C1554" w:rsidRPr="00FA3ED8">
              <w:rPr>
                <w:rStyle w:val="Hyperlink"/>
                <w:rFonts w:ascii="Times New Roman" w:eastAsia="Times New Roman" w:hAnsi="Times New Roman" w:cs="Times New Roman"/>
                <w:b/>
                <w:noProof/>
              </w:rPr>
              <w:t>Chapter 3</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_Toc172984786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61</w:t>
            </w:r>
            <w:r w:rsidR="003C1554" w:rsidRPr="00FA3ED8">
              <w:rPr>
                <w:rFonts w:ascii="Times New Roman" w:hAnsi="Times New Roman" w:cs="Times New Roman"/>
                <w:noProof/>
                <w:webHidden/>
              </w:rPr>
              <w:fldChar w:fldCharType="end"/>
            </w:r>
          </w:hyperlink>
        </w:p>
        <w:p w14:paraId="4A1B4411" w14:textId="3DC3F392" w:rsidR="003C1554" w:rsidRPr="00FA3ED8" w:rsidRDefault="007E2DD6">
          <w:pPr>
            <w:pStyle w:val="TOC2"/>
            <w:tabs>
              <w:tab w:val="right" w:leader="dot" w:pos="9019"/>
            </w:tabs>
            <w:rPr>
              <w:rFonts w:ascii="Times New Roman" w:eastAsiaTheme="minorEastAsia" w:hAnsi="Times New Roman" w:cs="Times New Roman"/>
              <w:noProof/>
            </w:rPr>
          </w:pPr>
          <w:hyperlink w:anchor="_Toc172984787" w:history="1">
            <w:r w:rsidR="003C1554" w:rsidRPr="00FA3ED8">
              <w:rPr>
                <w:rStyle w:val="Hyperlink"/>
                <w:rFonts w:ascii="Times New Roman" w:eastAsia="Times New Roman" w:hAnsi="Times New Roman" w:cs="Times New Roman"/>
                <w:b/>
                <w:noProof/>
              </w:rPr>
              <w:t>General Methodology</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_Toc172984787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61</w:t>
            </w:r>
            <w:r w:rsidR="003C1554" w:rsidRPr="00FA3ED8">
              <w:rPr>
                <w:rFonts w:ascii="Times New Roman" w:hAnsi="Times New Roman" w:cs="Times New Roman"/>
                <w:noProof/>
                <w:webHidden/>
              </w:rPr>
              <w:fldChar w:fldCharType="end"/>
            </w:r>
          </w:hyperlink>
        </w:p>
        <w:p w14:paraId="130F0DCE" w14:textId="5FFB1DBC" w:rsidR="003C1554" w:rsidRPr="00FA3ED8" w:rsidRDefault="007E2DD6">
          <w:pPr>
            <w:pStyle w:val="TOC3"/>
            <w:tabs>
              <w:tab w:val="right" w:leader="dot" w:pos="9019"/>
            </w:tabs>
            <w:rPr>
              <w:rFonts w:ascii="Times New Roman" w:eastAsiaTheme="minorEastAsia" w:hAnsi="Times New Roman" w:cs="Times New Roman"/>
              <w:noProof/>
            </w:rPr>
          </w:pPr>
          <w:hyperlink w:anchor="_Toc172984788" w:history="1">
            <w:r w:rsidR="003C1554" w:rsidRPr="00FA3ED8">
              <w:rPr>
                <w:rStyle w:val="Hyperlink"/>
                <w:rFonts w:ascii="Times New Roman" w:eastAsia="Times New Roman" w:hAnsi="Times New Roman" w:cs="Times New Roman"/>
                <w:b/>
                <w:noProof/>
              </w:rPr>
              <w:t>3.1 Ethical consideration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_Toc172984788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62</w:t>
            </w:r>
            <w:r w:rsidR="003C1554" w:rsidRPr="00FA3ED8">
              <w:rPr>
                <w:rFonts w:ascii="Times New Roman" w:hAnsi="Times New Roman" w:cs="Times New Roman"/>
                <w:noProof/>
                <w:webHidden/>
              </w:rPr>
              <w:fldChar w:fldCharType="end"/>
            </w:r>
          </w:hyperlink>
        </w:p>
        <w:p w14:paraId="43915235" w14:textId="6A4B5452" w:rsidR="003C1554" w:rsidRPr="00FA3ED8" w:rsidRDefault="007E2DD6">
          <w:pPr>
            <w:pStyle w:val="TOC3"/>
            <w:tabs>
              <w:tab w:val="right" w:leader="dot" w:pos="9019"/>
            </w:tabs>
            <w:rPr>
              <w:rFonts w:ascii="Times New Roman" w:eastAsiaTheme="minorEastAsia" w:hAnsi="Times New Roman" w:cs="Times New Roman"/>
              <w:noProof/>
            </w:rPr>
          </w:pPr>
          <w:hyperlink w:anchor="_Toc172984789" w:history="1">
            <w:r w:rsidR="003C1554" w:rsidRPr="00FA3ED8">
              <w:rPr>
                <w:rStyle w:val="Hyperlink"/>
                <w:rFonts w:ascii="Times New Roman" w:eastAsia="Times New Roman" w:hAnsi="Times New Roman" w:cs="Times New Roman"/>
                <w:b/>
                <w:noProof/>
              </w:rPr>
              <w:t>3.2 Research methods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_Toc172984789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62</w:t>
            </w:r>
            <w:r w:rsidR="003C1554" w:rsidRPr="00FA3ED8">
              <w:rPr>
                <w:rFonts w:ascii="Times New Roman" w:hAnsi="Times New Roman" w:cs="Times New Roman"/>
                <w:noProof/>
                <w:webHidden/>
              </w:rPr>
              <w:fldChar w:fldCharType="end"/>
            </w:r>
          </w:hyperlink>
        </w:p>
        <w:p w14:paraId="390B81D6" w14:textId="00CDE1FC" w:rsidR="003C1554" w:rsidRPr="00FA3ED8" w:rsidRDefault="007E2DD6">
          <w:pPr>
            <w:pStyle w:val="TOC3"/>
            <w:tabs>
              <w:tab w:val="right" w:leader="dot" w:pos="9019"/>
            </w:tabs>
            <w:rPr>
              <w:rFonts w:ascii="Times New Roman" w:eastAsiaTheme="minorEastAsia" w:hAnsi="Times New Roman" w:cs="Times New Roman"/>
              <w:noProof/>
            </w:rPr>
          </w:pPr>
          <w:hyperlink w:anchor="_Toc172984790" w:history="1">
            <w:r w:rsidR="003C1554" w:rsidRPr="00FA3ED8">
              <w:rPr>
                <w:rStyle w:val="Hyperlink"/>
                <w:rFonts w:ascii="Times New Roman" w:eastAsia="Times New Roman" w:hAnsi="Times New Roman" w:cs="Times New Roman"/>
                <w:b/>
                <w:noProof/>
                <w:highlight w:val="white"/>
              </w:rPr>
              <w:t>3.3 Open Science Practices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_Toc172984790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64</w:t>
            </w:r>
            <w:r w:rsidR="003C1554" w:rsidRPr="00FA3ED8">
              <w:rPr>
                <w:rFonts w:ascii="Times New Roman" w:hAnsi="Times New Roman" w:cs="Times New Roman"/>
                <w:noProof/>
                <w:webHidden/>
              </w:rPr>
              <w:fldChar w:fldCharType="end"/>
            </w:r>
          </w:hyperlink>
        </w:p>
        <w:p w14:paraId="0980CCA2" w14:textId="7529E169" w:rsidR="003C1554" w:rsidRPr="00FA3ED8" w:rsidRDefault="007E2DD6">
          <w:pPr>
            <w:pStyle w:val="TOC3"/>
            <w:tabs>
              <w:tab w:val="right" w:leader="dot" w:pos="9019"/>
            </w:tabs>
            <w:rPr>
              <w:rFonts w:ascii="Times New Roman" w:eastAsiaTheme="minorEastAsia" w:hAnsi="Times New Roman" w:cs="Times New Roman"/>
              <w:noProof/>
            </w:rPr>
          </w:pPr>
          <w:hyperlink w:anchor="_Toc172984791" w:history="1">
            <w:r w:rsidR="003C1554" w:rsidRPr="00FA3ED8">
              <w:rPr>
                <w:rStyle w:val="Hyperlink"/>
                <w:rFonts w:ascii="Times New Roman" w:eastAsia="Times New Roman" w:hAnsi="Times New Roman" w:cs="Times New Roman"/>
                <w:b/>
                <w:noProof/>
              </w:rPr>
              <w:t>3.4 Participants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_Toc172984791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65</w:t>
            </w:r>
            <w:r w:rsidR="003C1554" w:rsidRPr="00FA3ED8">
              <w:rPr>
                <w:rFonts w:ascii="Times New Roman" w:hAnsi="Times New Roman" w:cs="Times New Roman"/>
                <w:noProof/>
                <w:webHidden/>
              </w:rPr>
              <w:fldChar w:fldCharType="end"/>
            </w:r>
          </w:hyperlink>
        </w:p>
        <w:p w14:paraId="2D3706D2" w14:textId="01636665" w:rsidR="003C1554" w:rsidRPr="00FA3ED8" w:rsidRDefault="007E2DD6">
          <w:pPr>
            <w:pStyle w:val="TOC3"/>
            <w:tabs>
              <w:tab w:val="right" w:leader="dot" w:pos="9019"/>
            </w:tabs>
            <w:rPr>
              <w:rFonts w:ascii="Times New Roman" w:eastAsiaTheme="minorEastAsia" w:hAnsi="Times New Roman" w:cs="Times New Roman"/>
              <w:noProof/>
            </w:rPr>
          </w:pPr>
          <w:hyperlink w:anchor="_Toc172984792" w:history="1">
            <w:r w:rsidR="003C1554" w:rsidRPr="00FA3ED8">
              <w:rPr>
                <w:rStyle w:val="Hyperlink"/>
                <w:rFonts w:ascii="Times New Roman" w:eastAsia="Times New Roman" w:hAnsi="Times New Roman" w:cs="Times New Roman"/>
                <w:b/>
                <w:noProof/>
              </w:rPr>
              <w:t>3.5 Recruitment</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_Toc172984792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67</w:t>
            </w:r>
            <w:r w:rsidR="003C1554" w:rsidRPr="00FA3ED8">
              <w:rPr>
                <w:rFonts w:ascii="Times New Roman" w:hAnsi="Times New Roman" w:cs="Times New Roman"/>
                <w:noProof/>
                <w:webHidden/>
              </w:rPr>
              <w:fldChar w:fldCharType="end"/>
            </w:r>
          </w:hyperlink>
        </w:p>
        <w:p w14:paraId="330D60F6" w14:textId="09B5B4FA" w:rsidR="003C1554" w:rsidRPr="00FA3ED8" w:rsidRDefault="007E2DD6">
          <w:pPr>
            <w:pStyle w:val="TOC3"/>
            <w:tabs>
              <w:tab w:val="right" w:leader="dot" w:pos="9019"/>
            </w:tabs>
            <w:rPr>
              <w:rFonts w:ascii="Times New Roman" w:eastAsiaTheme="minorEastAsia" w:hAnsi="Times New Roman" w:cs="Times New Roman"/>
              <w:noProof/>
            </w:rPr>
          </w:pPr>
          <w:hyperlink w:anchor="_Toc172984793" w:history="1">
            <w:r w:rsidR="003C1554" w:rsidRPr="00FA3ED8">
              <w:rPr>
                <w:rStyle w:val="Hyperlink"/>
                <w:rFonts w:ascii="Times New Roman" w:eastAsia="Times New Roman" w:hAnsi="Times New Roman" w:cs="Times New Roman"/>
                <w:b/>
                <w:noProof/>
                <w:highlight w:val="white"/>
              </w:rPr>
              <w:t>3.6 Study purpose</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_Toc172984793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67</w:t>
            </w:r>
            <w:r w:rsidR="003C1554" w:rsidRPr="00FA3ED8">
              <w:rPr>
                <w:rFonts w:ascii="Times New Roman" w:hAnsi="Times New Roman" w:cs="Times New Roman"/>
                <w:noProof/>
                <w:webHidden/>
              </w:rPr>
              <w:fldChar w:fldCharType="end"/>
            </w:r>
          </w:hyperlink>
        </w:p>
        <w:p w14:paraId="234D7976" w14:textId="6310E292" w:rsidR="003C1554" w:rsidRPr="00FA3ED8" w:rsidRDefault="007E2DD6">
          <w:pPr>
            <w:pStyle w:val="TOC3"/>
            <w:tabs>
              <w:tab w:val="right" w:leader="dot" w:pos="9019"/>
            </w:tabs>
            <w:rPr>
              <w:rFonts w:ascii="Times New Roman" w:eastAsiaTheme="minorEastAsia" w:hAnsi="Times New Roman" w:cs="Times New Roman"/>
              <w:noProof/>
            </w:rPr>
          </w:pPr>
          <w:hyperlink w:anchor="_Toc172984794" w:history="1">
            <w:r w:rsidR="003C1554" w:rsidRPr="00FA3ED8">
              <w:rPr>
                <w:rStyle w:val="Hyperlink"/>
                <w:rFonts w:ascii="Times New Roman" w:eastAsia="Times New Roman" w:hAnsi="Times New Roman" w:cs="Times New Roman"/>
                <w:b/>
                <w:noProof/>
              </w:rPr>
              <w:t>3.7 Measures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_Toc172984794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69</w:t>
            </w:r>
            <w:r w:rsidR="003C1554" w:rsidRPr="00FA3ED8">
              <w:rPr>
                <w:rFonts w:ascii="Times New Roman" w:hAnsi="Times New Roman" w:cs="Times New Roman"/>
                <w:noProof/>
                <w:webHidden/>
              </w:rPr>
              <w:fldChar w:fldCharType="end"/>
            </w:r>
          </w:hyperlink>
        </w:p>
        <w:p w14:paraId="6E397144" w14:textId="58D92B8C" w:rsidR="003C1554" w:rsidRPr="00FA3ED8" w:rsidRDefault="007E2DD6">
          <w:pPr>
            <w:pStyle w:val="TOC3"/>
            <w:tabs>
              <w:tab w:val="right" w:leader="dot" w:pos="9019"/>
            </w:tabs>
            <w:rPr>
              <w:rFonts w:ascii="Times New Roman" w:eastAsiaTheme="minorEastAsia" w:hAnsi="Times New Roman" w:cs="Times New Roman"/>
              <w:noProof/>
            </w:rPr>
          </w:pPr>
          <w:hyperlink w:anchor="_Toc172984795" w:history="1">
            <w:r w:rsidR="003C1554" w:rsidRPr="00FA3ED8">
              <w:rPr>
                <w:rStyle w:val="Hyperlink"/>
                <w:rFonts w:ascii="Times New Roman" w:eastAsia="Times New Roman" w:hAnsi="Times New Roman" w:cs="Times New Roman"/>
                <w:b/>
                <w:noProof/>
                <w:highlight w:val="white"/>
              </w:rPr>
              <w:t>3.8 Height, weight and BMI</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_Toc172984795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79</w:t>
            </w:r>
            <w:r w:rsidR="003C1554" w:rsidRPr="00FA3ED8">
              <w:rPr>
                <w:rFonts w:ascii="Times New Roman" w:hAnsi="Times New Roman" w:cs="Times New Roman"/>
                <w:noProof/>
                <w:webHidden/>
              </w:rPr>
              <w:fldChar w:fldCharType="end"/>
            </w:r>
          </w:hyperlink>
        </w:p>
        <w:p w14:paraId="2CBB2FE5" w14:textId="600E5141" w:rsidR="003C1554" w:rsidRPr="00FA3ED8" w:rsidRDefault="007E2DD6">
          <w:pPr>
            <w:pStyle w:val="TOC3"/>
            <w:tabs>
              <w:tab w:val="right" w:leader="dot" w:pos="9019"/>
            </w:tabs>
            <w:rPr>
              <w:rFonts w:ascii="Times New Roman" w:eastAsiaTheme="minorEastAsia" w:hAnsi="Times New Roman" w:cs="Times New Roman"/>
              <w:noProof/>
            </w:rPr>
          </w:pPr>
          <w:hyperlink w:anchor="_Toc172984796" w:history="1">
            <w:r w:rsidR="003C1554" w:rsidRPr="00FA3ED8">
              <w:rPr>
                <w:rStyle w:val="Hyperlink"/>
                <w:rFonts w:ascii="Times New Roman" w:eastAsia="Times New Roman" w:hAnsi="Times New Roman" w:cs="Times New Roman"/>
                <w:b/>
                <w:noProof/>
                <w:highlight w:val="white"/>
              </w:rPr>
              <w:t>3.9 Online surveys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_Toc172984796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80</w:t>
            </w:r>
            <w:r w:rsidR="003C1554" w:rsidRPr="00FA3ED8">
              <w:rPr>
                <w:rFonts w:ascii="Times New Roman" w:hAnsi="Times New Roman" w:cs="Times New Roman"/>
                <w:noProof/>
                <w:webHidden/>
              </w:rPr>
              <w:fldChar w:fldCharType="end"/>
            </w:r>
          </w:hyperlink>
        </w:p>
        <w:p w14:paraId="24293724" w14:textId="5BBD0023" w:rsidR="003C1554" w:rsidRPr="00FA3ED8" w:rsidRDefault="007E2DD6">
          <w:pPr>
            <w:pStyle w:val="TOC3"/>
            <w:tabs>
              <w:tab w:val="right" w:leader="dot" w:pos="9019"/>
            </w:tabs>
            <w:rPr>
              <w:rFonts w:ascii="Times New Roman" w:eastAsiaTheme="minorEastAsia" w:hAnsi="Times New Roman" w:cs="Times New Roman"/>
              <w:noProof/>
            </w:rPr>
          </w:pPr>
          <w:hyperlink w:anchor="_Toc172984797" w:history="1">
            <w:r w:rsidR="003C1554" w:rsidRPr="00FA3ED8">
              <w:rPr>
                <w:rStyle w:val="Hyperlink"/>
                <w:rFonts w:ascii="Times New Roman" w:eastAsia="Times New Roman" w:hAnsi="Times New Roman" w:cs="Times New Roman"/>
                <w:b/>
                <w:noProof/>
                <w:highlight w:val="white"/>
              </w:rPr>
              <w:t>3.10 Strategy for data analysis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_Toc172984797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81</w:t>
            </w:r>
            <w:r w:rsidR="003C1554" w:rsidRPr="00FA3ED8">
              <w:rPr>
                <w:rFonts w:ascii="Times New Roman" w:hAnsi="Times New Roman" w:cs="Times New Roman"/>
                <w:noProof/>
                <w:webHidden/>
              </w:rPr>
              <w:fldChar w:fldCharType="end"/>
            </w:r>
          </w:hyperlink>
        </w:p>
        <w:p w14:paraId="5C35167A" w14:textId="04ECC659" w:rsidR="003C1554" w:rsidRPr="00FA3ED8" w:rsidRDefault="007E2DD6">
          <w:pPr>
            <w:pStyle w:val="TOC1"/>
            <w:tabs>
              <w:tab w:val="right" w:leader="dot" w:pos="9019"/>
            </w:tabs>
            <w:rPr>
              <w:rFonts w:ascii="Times New Roman" w:eastAsiaTheme="minorEastAsia" w:hAnsi="Times New Roman" w:cs="Times New Roman"/>
              <w:noProof/>
            </w:rPr>
          </w:pPr>
          <w:hyperlink w:anchor="_Toc172984798" w:history="1">
            <w:r w:rsidR="003C1554" w:rsidRPr="00FA3ED8">
              <w:rPr>
                <w:rStyle w:val="Hyperlink"/>
                <w:rFonts w:ascii="Times New Roman" w:eastAsia="Times New Roman" w:hAnsi="Times New Roman" w:cs="Times New Roman"/>
                <w:b/>
                <w:noProof/>
              </w:rPr>
              <w:t>Chapter 4</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_Toc172984798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83</w:t>
            </w:r>
            <w:r w:rsidR="003C1554" w:rsidRPr="00FA3ED8">
              <w:rPr>
                <w:rFonts w:ascii="Times New Roman" w:hAnsi="Times New Roman" w:cs="Times New Roman"/>
                <w:noProof/>
                <w:webHidden/>
              </w:rPr>
              <w:fldChar w:fldCharType="end"/>
            </w:r>
          </w:hyperlink>
        </w:p>
        <w:p w14:paraId="7BAC1B36" w14:textId="43182F13" w:rsidR="003C1554" w:rsidRPr="00FA3ED8" w:rsidRDefault="007E2DD6">
          <w:pPr>
            <w:pStyle w:val="TOC2"/>
            <w:tabs>
              <w:tab w:val="right" w:leader="dot" w:pos="9019"/>
            </w:tabs>
            <w:rPr>
              <w:rFonts w:ascii="Times New Roman" w:eastAsiaTheme="minorEastAsia" w:hAnsi="Times New Roman" w:cs="Times New Roman"/>
              <w:noProof/>
            </w:rPr>
          </w:pPr>
          <w:hyperlink w:anchor="_Toc172984799" w:history="1">
            <w:r w:rsidR="003C1554" w:rsidRPr="00FA3ED8">
              <w:rPr>
                <w:rStyle w:val="Hyperlink"/>
                <w:rFonts w:ascii="Times New Roman" w:eastAsia="Times New Roman" w:hAnsi="Times New Roman" w:cs="Times New Roman"/>
                <w:b/>
                <w:noProof/>
              </w:rPr>
              <w:t>Study 1: The relationship between meal timing and body mass index (BMI) in UK adults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_Toc172984799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83</w:t>
            </w:r>
            <w:r w:rsidR="003C1554" w:rsidRPr="00FA3ED8">
              <w:rPr>
                <w:rFonts w:ascii="Times New Roman" w:hAnsi="Times New Roman" w:cs="Times New Roman"/>
                <w:noProof/>
                <w:webHidden/>
              </w:rPr>
              <w:fldChar w:fldCharType="end"/>
            </w:r>
          </w:hyperlink>
        </w:p>
        <w:p w14:paraId="149CDF1B" w14:textId="608F2C5C" w:rsidR="003C1554" w:rsidRPr="00FA3ED8" w:rsidRDefault="007E2DD6">
          <w:pPr>
            <w:pStyle w:val="TOC3"/>
            <w:tabs>
              <w:tab w:val="right" w:leader="dot" w:pos="9019"/>
            </w:tabs>
            <w:rPr>
              <w:rFonts w:ascii="Times New Roman" w:eastAsiaTheme="minorEastAsia" w:hAnsi="Times New Roman" w:cs="Times New Roman"/>
              <w:noProof/>
            </w:rPr>
          </w:pPr>
          <w:hyperlink w:anchor="_Toc172984800" w:history="1">
            <w:r w:rsidR="003C1554" w:rsidRPr="00FA3ED8">
              <w:rPr>
                <w:rStyle w:val="Hyperlink"/>
                <w:rFonts w:ascii="Times New Roman" w:eastAsia="Times New Roman" w:hAnsi="Times New Roman" w:cs="Times New Roman"/>
                <w:b/>
                <w:noProof/>
              </w:rPr>
              <w:t>4.1 Abstract</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_Toc172984800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83</w:t>
            </w:r>
            <w:r w:rsidR="003C1554" w:rsidRPr="00FA3ED8">
              <w:rPr>
                <w:rFonts w:ascii="Times New Roman" w:hAnsi="Times New Roman" w:cs="Times New Roman"/>
                <w:noProof/>
                <w:webHidden/>
              </w:rPr>
              <w:fldChar w:fldCharType="end"/>
            </w:r>
          </w:hyperlink>
        </w:p>
        <w:p w14:paraId="6127C548" w14:textId="33EBF714" w:rsidR="003C1554" w:rsidRPr="00FA3ED8" w:rsidRDefault="007E2DD6">
          <w:pPr>
            <w:pStyle w:val="TOC3"/>
            <w:tabs>
              <w:tab w:val="right" w:leader="dot" w:pos="9019"/>
            </w:tabs>
            <w:rPr>
              <w:rFonts w:ascii="Times New Roman" w:eastAsiaTheme="minorEastAsia" w:hAnsi="Times New Roman" w:cs="Times New Roman"/>
              <w:noProof/>
            </w:rPr>
          </w:pPr>
          <w:hyperlink w:anchor="_Toc172984801" w:history="1">
            <w:r w:rsidR="003C1554" w:rsidRPr="00FA3ED8">
              <w:rPr>
                <w:rStyle w:val="Hyperlink"/>
                <w:rFonts w:ascii="Times New Roman" w:eastAsia="Times New Roman" w:hAnsi="Times New Roman" w:cs="Times New Roman"/>
                <w:b/>
                <w:noProof/>
              </w:rPr>
              <w:t>4.2 Introduction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_Toc172984801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84</w:t>
            </w:r>
            <w:r w:rsidR="003C1554" w:rsidRPr="00FA3ED8">
              <w:rPr>
                <w:rFonts w:ascii="Times New Roman" w:hAnsi="Times New Roman" w:cs="Times New Roman"/>
                <w:noProof/>
                <w:webHidden/>
              </w:rPr>
              <w:fldChar w:fldCharType="end"/>
            </w:r>
          </w:hyperlink>
        </w:p>
        <w:p w14:paraId="4DC83705" w14:textId="6BFE157F" w:rsidR="003C1554" w:rsidRPr="00FA3ED8" w:rsidRDefault="007E2DD6">
          <w:pPr>
            <w:pStyle w:val="TOC3"/>
            <w:tabs>
              <w:tab w:val="right" w:leader="dot" w:pos="9019"/>
            </w:tabs>
            <w:rPr>
              <w:rFonts w:ascii="Times New Roman" w:eastAsiaTheme="minorEastAsia" w:hAnsi="Times New Roman" w:cs="Times New Roman"/>
              <w:noProof/>
            </w:rPr>
          </w:pPr>
          <w:hyperlink w:anchor="_Toc172984802" w:history="1">
            <w:r w:rsidR="003C1554" w:rsidRPr="00FA3ED8">
              <w:rPr>
                <w:rStyle w:val="Hyperlink"/>
                <w:rFonts w:ascii="Times New Roman" w:eastAsia="Times New Roman" w:hAnsi="Times New Roman" w:cs="Times New Roman"/>
                <w:b/>
                <w:noProof/>
              </w:rPr>
              <w:t>4.3 Method</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_Toc172984802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92</w:t>
            </w:r>
            <w:r w:rsidR="003C1554" w:rsidRPr="00FA3ED8">
              <w:rPr>
                <w:rFonts w:ascii="Times New Roman" w:hAnsi="Times New Roman" w:cs="Times New Roman"/>
                <w:noProof/>
                <w:webHidden/>
              </w:rPr>
              <w:fldChar w:fldCharType="end"/>
            </w:r>
          </w:hyperlink>
        </w:p>
        <w:p w14:paraId="14F388D2" w14:textId="729439C0" w:rsidR="003C1554" w:rsidRPr="00FA3ED8" w:rsidRDefault="007E2DD6">
          <w:pPr>
            <w:pStyle w:val="TOC3"/>
            <w:tabs>
              <w:tab w:val="right" w:leader="dot" w:pos="9019"/>
            </w:tabs>
            <w:rPr>
              <w:rFonts w:ascii="Times New Roman" w:eastAsiaTheme="minorEastAsia" w:hAnsi="Times New Roman" w:cs="Times New Roman"/>
              <w:noProof/>
            </w:rPr>
          </w:pPr>
          <w:hyperlink w:anchor="_Toc172984803" w:history="1">
            <w:r w:rsidR="003C1554" w:rsidRPr="00FA3ED8">
              <w:rPr>
                <w:rStyle w:val="Hyperlink"/>
                <w:rFonts w:ascii="Times New Roman" w:eastAsia="Times New Roman" w:hAnsi="Times New Roman" w:cs="Times New Roman"/>
                <w:b/>
                <w:noProof/>
              </w:rPr>
              <w:t>4.4 Results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_Toc172984803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96</w:t>
            </w:r>
            <w:r w:rsidR="003C1554" w:rsidRPr="00FA3ED8">
              <w:rPr>
                <w:rFonts w:ascii="Times New Roman" w:hAnsi="Times New Roman" w:cs="Times New Roman"/>
                <w:noProof/>
                <w:webHidden/>
              </w:rPr>
              <w:fldChar w:fldCharType="end"/>
            </w:r>
          </w:hyperlink>
        </w:p>
        <w:p w14:paraId="5DD49723" w14:textId="6F16FC27" w:rsidR="003C1554" w:rsidRPr="00FA3ED8" w:rsidRDefault="007E2DD6">
          <w:pPr>
            <w:pStyle w:val="TOC3"/>
            <w:tabs>
              <w:tab w:val="right" w:leader="dot" w:pos="9019"/>
            </w:tabs>
            <w:rPr>
              <w:rFonts w:ascii="Times New Roman" w:eastAsiaTheme="minorEastAsia" w:hAnsi="Times New Roman" w:cs="Times New Roman"/>
              <w:noProof/>
            </w:rPr>
          </w:pPr>
          <w:hyperlink w:anchor="_Toc172984804" w:history="1">
            <w:r w:rsidR="003C1554" w:rsidRPr="00FA3ED8">
              <w:rPr>
                <w:rStyle w:val="Hyperlink"/>
                <w:rFonts w:ascii="Times New Roman" w:eastAsia="Times New Roman" w:hAnsi="Times New Roman" w:cs="Times New Roman"/>
                <w:b/>
                <w:noProof/>
              </w:rPr>
              <w:t>4.5 Discussion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_Toc172984804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105</w:t>
            </w:r>
            <w:r w:rsidR="003C1554" w:rsidRPr="00FA3ED8">
              <w:rPr>
                <w:rFonts w:ascii="Times New Roman" w:hAnsi="Times New Roman" w:cs="Times New Roman"/>
                <w:noProof/>
                <w:webHidden/>
              </w:rPr>
              <w:fldChar w:fldCharType="end"/>
            </w:r>
          </w:hyperlink>
        </w:p>
        <w:p w14:paraId="3FB6F20E" w14:textId="18764282" w:rsidR="003C1554" w:rsidRPr="00FA3ED8" w:rsidRDefault="007E2DD6">
          <w:pPr>
            <w:pStyle w:val="TOC3"/>
            <w:tabs>
              <w:tab w:val="right" w:leader="dot" w:pos="9019"/>
            </w:tabs>
            <w:rPr>
              <w:rFonts w:ascii="Times New Roman" w:eastAsiaTheme="minorEastAsia" w:hAnsi="Times New Roman" w:cs="Times New Roman"/>
              <w:noProof/>
            </w:rPr>
          </w:pPr>
          <w:hyperlink w:anchor="_Toc172984805" w:history="1">
            <w:r w:rsidR="003C1554" w:rsidRPr="00FA3ED8">
              <w:rPr>
                <w:rStyle w:val="Hyperlink"/>
                <w:rFonts w:ascii="Times New Roman" w:eastAsia="Times New Roman" w:hAnsi="Times New Roman" w:cs="Times New Roman"/>
                <w:b/>
                <w:noProof/>
              </w:rPr>
              <w:t>4.6 Conclusion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_Toc172984805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114</w:t>
            </w:r>
            <w:r w:rsidR="003C1554" w:rsidRPr="00FA3ED8">
              <w:rPr>
                <w:rFonts w:ascii="Times New Roman" w:hAnsi="Times New Roman" w:cs="Times New Roman"/>
                <w:noProof/>
                <w:webHidden/>
              </w:rPr>
              <w:fldChar w:fldCharType="end"/>
            </w:r>
          </w:hyperlink>
        </w:p>
        <w:p w14:paraId="6870E2D8" w14:textId="0810B9E8" w:rsidR="003C1554" w:rsidRPr="00FA3ED8" w:rsidRDefault="007E2DD6">
          <w:pPr>
            <w:pStyle w:val="TOC3"/>
            <w:tabs>
              <w:tab w:val="right" w:leader="dot" w:pos="9019"/>
            </w:tabs>
            <w:rPr>
              <w:rFonts w:ascii="Times New Roman" w:eastAsiaTheme="minorEastAsia" w:hAnsi="Times New Roman" w:cs="Times New Roman"/>
              <w:noProof/>
            </w:rPr>
          </w:pPr>
          <w:hyperlink w:anchor="_Toc172984806" w:history="1">
            <w:r w:rsidR="003C1554" w:rsidRPr="00FA3ED8">
              <w:rPr>
                <w:rStyle w:val="Hyperlink"/>
                <w:rFonts w:ascii="Times New Roman" w:eastAsia="Times New Roman" w:hAnsi="Times New Roman" w:cs="Times New Roman"/>
                <w:b/>
                <w:noProof/>
              </w:rPr>
              <w:t>4.7 Key findings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_Toc172984806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114</w:t>
            </w:r>
            <w:r w:rsidR="003C1554" w:rsidRPr="00FA3ED8">
              <w:rPr>
                <w:rFonts w:ascii="Times New Roman" w:hAnsi="Times New Roman" w:cs="Times New Roman"/>
                <w:noProof/>
                <w:webHidden/>
              </w:rPr>
              <w:fldChar w:fldCharType="end"/>
            </w:r>
          </w:hyperlink>
        </w:p>
        <w:p w14:paraId="4DBB578D" w14:textId="3A08B4E6" w:rsidR="003C1554" w:rsidRPr="00FA3ED8" w:rsidRDefault="007E2DD6">
          <w:pPr>
            <w:pStyle w:val="TOC1"/>
            <w:tabs>
              <w:tab w:val="right" w:leader="dot" w:pos="9019"/>
            </w:tabs>
            <w:rPr>
              <w:rFonts w:ascii="Times New Roman" w:eastAsiaTheme="minorEastAsia" w:hAnsi="Times New Roman" w:cs="Times New Roman"/>
              <w:noProof/>
            </w:rPr>
          </w:pPr>
          <w:hyperlink w:anchor="_Toc172984807" w:history="1">
            <w:r w:rsidR="003C1554" w:rsidRPr="00FA3ED8">
              <w:rPr>
                <w:rStyle w:val="Hyperlink"/>
                <w:rFonts w:ascii="Times New Roman" w:eastAsia="Times New Roman" w:hAnsi="Times New Roman" w:cs="Times New Roman"/>
                <w:b/>
                <w:noProof/>
              </w:rPr>
              <w:t>Chapter 5</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_Toc172984807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116</w:t>
            </w:r>
            <w:r w:rsidR="003C1554" w:rsidRPr="00FA3ED8">
              <w:rPr>
                <w:rFonts w:ascii="Times New Roman" w:hAnsi="Times New Roman" w:cs="Times New Roman"/>
                <w:noProof/>
                <w:webHidden/>
              </w:rPr>
              <w:fldChar w:fldCharType="end"/>
            </w:r>
          </w:hyperlink>
        </w:p>
        <w:p w14:paraId="271AA952" w14:textId="64833B40" w:rsidR="003C1554" w:rsidRPr="00FA3ED8" w:rsidRDefault="007E2DD6">
          <w:pPr>
            <w:pStyle w:val="TOC2"/>
            <w:tabs>
              <w:tab w:val="right" w:leader="dot" w:pos="9019"/>
            </w:tabs>
            <w:rPr>
              <w:rFonts w:ascii="Times New Roman" w:eastAsiaTheme="minorEastAsia" w:hAnsi="Times New Roman" w:cs="Times New Roman"/>
              <w:noProof/>
            </w:rPr>
          </w:pPr>
          <w:hyperlink w:anchor="_Toc172984808" w:history="1">
            <w:r w:rsidR="003C1554" w:rsidRPr="00FA3ED8">
              <w:rPr>
                <w:rStyle w:val="Hyperlink"/>
                <w:rFonts w:ascii="Times New Roman" w:eastAsia="Times New Roman" w:hAnsi="Times New Roman" w:cs="Times New Roman"/>
                <w:b/>
                <w:noProof/>
              </w:rPr>
              <w:t>Study 2: A pilot study to explore the relationships between body mass index (BMI), meal timing, eating behaviour traits and health behaviours in adults with obesity</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_Toc172984808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116</w:t>
            </w:r>
            <w:r w:rsidR="003C1554" w:rsidRPr="00FA3ED8">
              <w:rPr>
                <w:rFonts w:ascii="Times New Roman" w:hAnsi="Times New Roman" w:cs="Times New Roman"/>
                <w:noProof/>
                <w:webHidden/>
              </w:rPr>
              <w:fldChar w:fldCharType="end"/>
            </w:r>
          </w:hyperlink>
        </w:p>
        <w:p w14:paraId="44DE743F" w14:textId="0C351940" w:rsidR="003C1554" w:rsidRPr="00FA3ED8" w:rsidRDefault="007E2DD6">
          <w:pPr>
            <w:pStyle w:val="TOC3"/>
            <w:tabs>
              <w:tab w:val="right" w:leader="dot" w:pos="9019"/>
            </w:tabs>
            <w:rPr>
              <w:rFonts w:ascii="Times New Roman" w:eastAsiaTheme="minorEastAsia" w:hAnsi="Times New Roman" w:cs="Times New Roman"/>
              <w:noProof/>
            </w:rPr>
          </w:pPr>
          <w:hyperlink w:anchor="_Toc172984809" w:history="1">
            <w:r w:rsidR="003C1554" w:rsidRPr="00FA3ED8">
              <w:rPr>
                <w:rStyle w:val="Hyperlink"/>
                <w:rFonts w:ascii="Times New Roman" w:eastAsia="Times New Roman" w:hAnsi="Times New Roman" w:cs="Times New Roman"/>
                <w:b/>
                <w:noProof/>
              </w:rPr>
              <w:t>5.1 Abstract</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_Toc172984809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116</w:t>
            </w:r>
            <w:r w:rsidR="003C1554" w:rsidRPr="00FA3ED8">
              <w:rPr>
                <w:rFonts w:ascii="Times New Roman" w:hAnsi="Times New Roman" w:cs="Times New Roman"/>
                <w:noProof/>
                <w:webHidden/>
              </w:rPr>
              <w:fldChar w:fldCharType="end"/>
            </w:r>
          </w:hyperlink>
        </w:p>
        <w:p w14:paraId="251E7D57" w14:textId="7B23E77F" w:rsidR="003C1554" w:rsidRPr="00FA3ED8" w:rsidRDefault="007E2DD6">
          <w:pPr>
            <w:pStyle w:val="TOC3"/>
            <w:tabs>
              <w:tab w:val="right" w:leader="dot" w:pos="9019"/>
            </w:tabs>
            <w:rPr>
              <w:rFonts w:ascii="Times New Roman" w:eastAsiaTheme="minorEastAsia" w:hAnsi="Times New Roman" w:cs="Times New Roman"/>
              <w:noProof/>
            </w:rPr>
          </w:pPr>
          <w:hyperlink w:anchor="_Toc172984810" w:history="1">
            <w:r w:rsidR="003C1554" w:rsidRPr="00FA3ED8">
              <w:rPr>
                <w:rStyle w:val="Hyperlink"/>
                <w:rFonts w:ascii="Times New Roman" w:eastAsia="Times New Roman" w:hAnsi="Times New Roman" w:cs="Times New Roman"/>
                <w:b/>
                <w:noProof/>
              </w:rPr>
              <w:t>5.2 Introduction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_Toc172984810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117</w:t>
            </w:r>
            <w:r w:rsidR="003C1554" w:rsidRPr="00FA3ED8">
              <w:rPr>
                <w:rFonts w:ascii="Times New Roman" w:hAnsi="Times New Roman" w:cs="Times New Roman"/>
                <w:noProof/>
                <w:webHidden/>
              </w:rPr>
              <w:fldChar w:fldCharType="end"/>
            </w:r>
          </w:hyperlink>
        </w:p>
        <w:p w14:paraId="1DBB2E07" w14:textId="723FC6B5" w:rsidR="003C1554" w:rsidRPr="00FA3ED8" w:rsidRDefault="007E2DD6">
          <w:pPr>
            <w:pStyle w:val="TOC3"/>
            <w:tabs>
              <w:tab w:val="right" w:leader="dot" w:pos="9019"/>
            </w:tabs>
            <w:rPr>
              <w:rFonts w:ascii="Times New Roman" w:eastAsiaTheme="minorEastAsia" w:hAnsi="Times New Roman" w:cs="Times New Roman"/>
              <w:noProof/>
            </w:rPr>
          </w:pPr>
          <w:hyperlink w:anchor="_Toc172984811" w:history="1">
            <w:r w:rsidR="003C1554" w:rsidRPr="00FA3ED8">
              <w:rPr>
                <w:rStyle w:val="Hyperlink"/>
                <w:rFonts w:ascii="Times New Roman" w:eastAsia="Times New Roman" w:hAnsi="Times New Roman" w:cs="Times New Roman"/>
                <w:b/>
                <w:noProof/>
              </w:rPr>
              <w:t>5.3 Method</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_Toc172984811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123</w:t>
            </w:r>
            <w:r w:rsidR="003C1554" w:rsidRPr="00FA3ED8">
              <w:rPr>
                <w:rFonts w:ascii="Times New Roman" w:hAnsi="Times New Roman" w:cs="Times New Roman"/>
                <w:noProof/>
                <w:webHidden/>
              </w:rPr>
              <w:fldChar w:fldCharType="end"/>
            </w:r>
          </w:hyperlink>
        </w:p>
        <w:p w14:paraId="30E17798" w14:textId="214CED11" w:rsidR="003C1554" w:rsidRPr="00FA3ED8" w:rsidRDefault="007E2DD6">
          <w:pPr>
            <w:pStyle w:val="TOC3"/>
            <w:tabs>
              <w:tab w:val="right" w:leader="dot" w:pos="9019"/>
            </w:tabs>
            <w:rPr>
              <w:rFonts w:ascii="Times New Roman" w:eastAsiaTheme="minorEastAsia" w:hAnsi="Times New Roman" w:cs="Times New Roman"/>
              <w:noProof/>
            </w:rPr>
          </w:pPr>
          <w:hyperlink w:anchor="_Toc172984812" w:history="1">
            <w:r w:rsidR="003C1554" w:rsidRPr="00FA3ED8">
              <w:rPr>
                <w:rStyle w:val="Hyperlink"/>
                <w:rFonts w:ascii="Times New Roman" w:eastAsia="Times New Roman" w:hAnsi="Times New Roman" w:cs="Times New Roman"/>
                <w:b/>
                <w:noProof/>
              </w:rPr>
              <w:t>5.4 Results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_Toc172984812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131</w:t>
            </w:r>
            <w:r w:rsidR="003C1554" w:rsidRPr="00FA3ED8">
              <w:rPr>
                <w:rFonts w:ascii="Times New Roman" w:hAnsi="Times New Roman" w:cs="Times New Roman"/>
                <w:noProof/>
                <w:webHidden/>
              </w:rPr>
              <w:fldChar w:fldCharType="end"/>
            </w:r>
          </w:hyperlink>
        </w:p>
        <w:p w14:paraId="54B5CCC5" w14:textId="46C707D3" w:rsidR="003C1554" w:rsidRPr="00FA3ED8" w:rsidRDefault="007E2DD6">
          <w:pPr>
            <w:pStyle w:val="TOC3"/>
            <w:tabs>
              <w:tab w:val="right" w:leader="dot" w:pos="9019"/>
            </w:tabs>
            <w:rPr>
              <w:rFonts w:ascii="Times New Roman" w:eastAsiaTheme="minorEastAsia" w:hAnsi="Times New Roman" w:cs="Times New Roman"/>
              <w:noProof/>
            </w:rPr>
          </w:pPr>
          <w:hyperlink w:anchor="_Toc172984813" w:history="1">
            <w:r w:rsidR="003C1554" w:rsidRPr="00FA3ED8">
              <w:rPr>
                <w:rStyle w:val="Hyperlink"/>
                <w:rFonts w:ascii="Times New Roman" w:eastAsia="Times New Roman" w:hAnsi="Times New Roman" w:cs="Times New Roman"/>
                <w:b/>
                <w:noProof/>
              </w:rPr>
              <w:t>5.5 Discussion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_Toc172984813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140</w:t>
            </w:r>
            <w:r w:rsidR="003C1554" w:rsidRPr="00FA3ED8">
              <w:rPr>
                <w:rFonts w:ascii="Times New Roman" w:hAnsi="Times New Roman" w:cs="Times New Roman"/>
                <w:noProof/>
                <w:webHidden/>
              </w:rPr>
              <w:fldChar w:fldCharType="end"/>
            </w:r>
          </w:hyperlink>
        </w:p>
        <w:p w14:paraId="5D7D9781" w14:textId="730665B6" w:rsidR="003C1554" w:rsidRPr="00FA3ED8" w:rsidRDefault="007E2DD6">
          <w:pPr>
            <w:pStyle w:val="TOC3"/>
            <w:tabs>
              <w:tab w:val="right" w:leader="dot" w:pos="9019"/>
            </w:tabs>
            <w:rPr>
              <w:rFonts w:ascii="Times New Roman" w:eastAsiaTheme="minorEastAsia" w:hAnsi="Times New Roman" w:cs="Times New Roman"/>
              <w:noProof/>
            </w:rPr>
          </w:pPr>
          <w:hyperlink w:anchor="_Toc172984814" w:history="1">
            <w:r w:rsidR="003C1554" w:rsidRPr="00FA3ED8">
              <w:rPr>
                <w:rStyle w:val="Hyperlink"/>
                <w:rFonts w:ascii="Times New Roman" w:eastAsia="Times New Roman" w:hAnsi="Times New Roman" w:cs="Times New Roman"/>
                <w:b/>
                <w:noProof/>
              </w:rPr>
              <w:t>5.6 Conclusion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_Toc172984814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145</w:t>
            </w:r>
            <w:r w:rsidR="003C1554" w:rsidRPr="00FA3ED8">
              <w:rPr>
                <w:rFonts w:ascii="Times New Roman" w:hAnsi="Times New Roman" w:cs="Times New Roman"/>
                <w:noProof/>
                <w:webHidden/>
              </w:rPr>
              <w:fldChar w:fldCharType="end"/>
            </w:r>
          </w:hyperlink>
        </w:p>
        <w:p w14:paraId="362A05F5" w14:textId="5AED897B" w:rsidR="003C1554" w:rsidRPr="00FA3ED8" w:rsidRDefault="007E2DD6">
          <w:pPr>
            <w:pStyle w:val="TOC3"/>
            <w:tabs>
              <w:tab w:val="right" w:leader="dot" w:pos="9019"/>
            </w:tabs>
            <w:rPr>
              <w:rFonts w:ascii="Times New Roman" w:eastAsiaTheme="minorEastAsia" w:hAnsi="Times New Roman" w:cs="Times New Roman"/>
              <w:noProof/>
            </w:rPr>
          </w:pPr>
          <w:hyperlink w:anchor="_Toc172984815" w:history="1">
            <w:r w:rsidR="003C1554" w:rsidRPr="00FA3ED8">
              <w:rPr>
                <w:rStyle w:val="Hyperlink"/>
                <w:rFonts w:ascii="Times New Roman" w:eastAsia="Times New Roman" w:hAnsi="Times New Roman" w:cs="Times New Roman"/>
                <w:b/>
                <w:noProof/>
              </w:rPr>
              <w:t>5.7 Key findings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_Toc172984815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146</w:t>
            </w:r>
            <w:r w:rsidR="003C1554" w:rsidRPr="00FA3ED8">
              <w:rPr>
                <w:rFonts w:ascii="Times New Roman" w:hAnsi="Times New Roman" w:cs="Times New Roman"/>
                <w:noProof/>
                <w:webHidden/>
              </w:rPr>
              <w:fldChar w:fldCharType="end"/>
            </w:r>
          </w:hyperlink>
        </w:p>
        <w:p w14:paraId="05335688" w14:textId="2826D582" w:rsidR="003C1554" w:rsidRPr="00FA3ED8" w:rsidRDefault="007E2DD6">
          <w:pPr>
            <w:pStyle w:val="TOC1"/>
            <w:tabs>
              <w:tab w:val="right" w:leader="dot" w:pos="9019"/>
            </w:tabs>
            <w:rPr>
              <w:rFonts w:ascii="Times New Roman" w:eastAsiaTheme="minorEastAsia" w:hAnsi="Times New Roman" w:cs="Times New Roman"/>
              <w:noProof/>
            </w:rPr>
          </w:pPr>
          <w:hyperlink w:anchor="_Toc172984816" w:history="1">
            <w:r w:rsidR="003C1554" w:rsidRPr="00FA3ED8">
              <w:rPr>
                <w:rStyle w:val="Hyperlink"/>
                <w:rFonts w:ascii="Times New Roman" w:eastAsia="Times New Roman" w:hAnsi="Times New Roman" w:cs="Times New Roman"/>
                <w:b/>
                <w:noProof/>
              </w:rPr>
              <w:t>Chapter 6</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_Toc172984816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148</w:t>
            </w:r>
            <w:r w:rsidR="003C1554" w:rsidRPr="00FA3ED8">
              <w:rPr>
                <w:rFonts w:ascii="Times New Roman" w:hAnsi="Times New Roman" w:cs="Times New Roman"/>
                <w:noProof/>
                <w:webHidden/>
              </w:rPr>
              <w:fldChar w:fldCharType="end"/>
            </w:r>
          </w:hyperlink>
        </w:p>
        <w:p w14:paraId="1D8B60AC" w14:textId="31C57E44" w:rsidR="003C1554" w:rsidRPr="00FA3ED8" w:rsidRDefault="007E2DD6">
          <w:pPr>
            <w:pStyle w:val="TOC2"/>
            <w:tabs>
              <w:tab w:val="right" w:leader="dot" w:pos="9019"/>
            </w:tabs>
            <w:rPr>
              <w:rFonts w:ascii="Times New Roman" w:eastAsiaTheme="minorEastAsia" w:hAnsi="Times New Roman" w:cs="Times New Roman"/>
              <w:noProof/>
            </w:rPr>
          </w:pPr>
          <w:hyperlink w:anchor="_Toc172984817" w:history="1">
            <w:r w:rsidR="003C1554" w:rsidRPr="00FA3ED8">
              <w:rPr>
                <w:rStyle w:val="Hyperlink"/>
                <w:rFonts w:ascii="Times New Roman" w:eastAsia="Times New Roman" w:hAnsi="Times New Roman" w:cs="Times New Roman"/>
                <w:b/>
                <w:noProof/>
              </w:rPr>
              <w:t>Study 3: Exploring factors influencing late evening eating and barriers and enablers to changing to earlier eating patterns in adults with overweight and obesity</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_Toc172984817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148</w:t>
            </w:r>
            <w:r w:rsidR="003C1554" w:rsidRPr="00FA3ED8">
              <w:rPr>
                <w:rFonts w:ascii="Times New Roman" w:hAnsi="Times New Roman" w:cs="Times New Roman"/>
                <w:noProof/>
                <w:webHidden/>
              </w:rPr>
              <w:fldChar w:fldCharType="end"/>
            </w:r>
          </w:hyperlink>
        </w:p>
        <w:p w14:paraId="070861FB" w14:textId="5B7B98B7" w:rsidR="003C1554" w:rsidRPr="00FA3ED8" w:rsidRDefault="007E2DD6">
          <w:pPr>
            <w:pStyle w:val="TOC3"/>
            <w:tabs>
              <w:tab w:val="right" w:leader="dot" w:pos="9019"/>
            </w:tabs>
            <w:rPr>
              <w:rFonts w:ascii="Times New Roman" w:eastAsiaTheme="minorEastAsia" w:hAnsi="Times New Roman" w:cs="Times New Roman"/>
              <w:noProof/>
            </w:rPr>
          </w:pPr>
          <w:hyperlink w:anchor="_Toc172984818" w:history="1">
            <w:r w:rsidR="003C1554" w:rsidRPr="00FA3ED8">
              <w:rPr>
                <w:rStyle w:val="Hyperlink"/>
                <w:rFonts w:ascii="Times New Roman" w:eastAsia="Times New Roman" w:hAnsi="Times New Roman" w:cs="Times New Roman"/>
                <w:b/>
                <w:noProof/>
              </w:rPr>
              <w:t>6.1 Abstract</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_Toc172984818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148</w:t>
            </w:r>
            <w:r w:rsidR="003C1554" w:rsidRPr="00FA3ED8">
              <w:rPr>
                <w:rFonts w:ascii="Times New Roman" w:hAnsi="Times New Roman" w:cs="Times New Roman"/>
                <w:noProof/>
                <w:webHidden/>
              </w:rPr>
              <w:fldChar w:fldCharType="end"/>
            </w:r>
          </w:hyperlink>
        </w:p>
        <w:p w14:paraId="67A39633" w14:textId="740ADFFE" w:rsidR="003C1554" w:rsidRPr="00FA3ED8" w:rsidRDefault="007E2DD6">
          <w:pPr>
            <w:pStyle w:val="TOC3"/>
            <w:tabs>
              <w:tab w:val="right" w:leader="dot" w:pos="9019"/>
            </w:tabs>
            <w:rPr>
              <w:rFonts w:ascii="Times New Roman" w:eastAsiaTheme="minorEastAsia" w:hAnsi="Times New Roman" w:cs="Times New Roman"/>
              <w:noProof/>
            </w:rPr>
          </w:pPr>
          <w:hyperlink w:anchor="_Toc172984819" w:history="1">
            <w:r w:rsidR="003C1554" w:rsidRPr="00FA3ED8">
              <w:rPr>
                <w:rStyle w:val="Hyperlink"/>
                <w:rFonts w:ascii="Times New Roman" w:eastAsia="Times New Roman" w:hAnsi="Times New Roman" w:cs="Times New Roman"/>
                <w:b/>
                <w:noProof/>
              </w:rPr>
              <w:t>6.2 Introduction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_Toc172984819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149</w:t>
            </w:r>
            <w:r w:rsidR="003C1554" w:rsidRPr="00FA3ED8">
              <w:rPr>
                <w:rFonts w:ascii="Times New Roman" w:hAnsi="Times New Roman" w:cs="Times New Roman"/>
                <w:noProof/>
                <w:webHidden/>
              </w:rPr>
              <w:fldChar w:fldCharType="end"/>
            </w:r>
          </w:hyperlink>
        </w:p>
        <w:p w14:paraId="09C60F54" w14:textId="26BEEA28" w:rsidR="003C1554" w:rsidRPr="00FA3ED8" w:rsidRDefault="007E2DD6">
          <w:pPr>
            <w:pStyle w:val="TOC3"/>
            <w:tabs>
              <w:tab w:val="right" w:leader="dot" w:pos="9019"/>
            </w:tabs>
            <w:rPr>
              <w:rFonts w:ascii="Times New Roman" w:eastAsiaTheme="minorEastAsia" w:hAnsi="Times New Roman" w:cs="Times New Roman"/>
              <w:noProof/>
            </w:rPr>
          </w:pPr>
          <w:hyperlink w:anchor="_Toc172984820" w:history="1">
            <w:r w:rsidR="003C1554" w:rsidRPr="00FA3ED8">
              <w:rPr>
                <w:rStyle w:val="Hyperlink"/>
                <w:rFonts w:ascii="Times New Roman" w:eastAsia="Times New Roman" w:hAnsi="Times New Roman" w:cs="Times New Roman"/>
                <w:b/>
                <w:noProof/>
              </w:rPr>
              <w:t>6.3 Methods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_Toc172984820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154</w:t>
            </w:r>
            <w:r w:rsidR="003C1554" w:rsidRPr="00FA3ED8">
              <w:rPr>
                <w:rFonts w:ascii="Times New Roman" w:hAnsi="Times New Roman" w:cs="Times New Roman"/>
                <w:noProof/>
                <w:webHidden/>
              </w:rPr>
              <w:fldChar w:fldCharType="end"/>
            </w:r>
          </w:hyperlink>
        </w:p>
        <w:p w14:paraId="0E46B31B" w14:textId="47D0B28A" w:rsidR="003C1554" w:rsidRPr="00FA3ED8" w:rsidRDefault="007E2DD6">
          <w:pPr>
            <w:pStyle w:val="TOC3"/>
            <w:tabs>
              <w:tab w:val="right" w:leader="dot" w:pos="9019"/>
            </w:tabs>
            <w:rPr>
              <w:rFonts w:ascii="Times New Roman" w:eastAsiaTheme="minorEastAsia" w:hAnsi="Times New Roman" w:cs="Times New Roman"/>
              <w:noProof/>
            </w:rPr>
          </w:pPr>
          <w:hyperlink w:anchor="_Toc172984821" w:history="1">
            <w:r w:rsidR="003C1554" w:rsidRPr="00FA3ED8">
              <w:rPr>
                <w:rStyle w:val="Hyperlink"/>
                <w:rFonts w:ascii="Times New Roman" w:eastAsia="Times New Roman" w:hAnsi="Times New Roman" w:cs="Times New Roman"/>
                <w:b/>
                <w:noProof/>
                <w:highlight w:val="white"/>
              </w:rPr>
              <w:t>6.4 Data collection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_Toc172984821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155</w:t>
            </w:r>
            <w:r w:rsidR="003C1554" w:rsidRPr="00FA3ED8">
              <w:rPr>
                <w:rFonts w:ascii="Times New Roman" w:hAnsi="Times New Roman" w:cs="Times New Roman"/>
                <w:noProof/>
                <w:webHidden/>
              </w:rPr>
              <w:fldChar w:fldCharType="end"/>
            </w:r>
          </w:hyperlink>
        </w:p>
        <w:p w14:paraId="4951BF04" w14:textId="66172FCD" w:rsidR="003C1554" w:rsidRPr="00FA3ED8" w:rsidRDefault="007E2DD6">
          <w:pPr>
            <w:pStyle w:val="TOC3"/>
            <w:tabs>
              <w:tab w:val="right" w:leader="dot" w:pos="9019"/>
            </w:tabs>
            <w:rPr>
              <w:rFonts w:ascii="Times New Roman" w:eastAsiaTheme="minorEastAsia" w:hAnsi="Times New Roman" w:cs="Times New Roman"/>
              <w:noProof/>
            </w:rPr>
          </w:pPr>
          <w:hyperlink w:anchor="_Toc172984822" w:history="1">
            <w:r w:rsidR="003C1554" w:rsidRPr="00FA3ED8">
              <w:rPr>
                <w:rStyle w:val="Hyperlink"/>
                <w:rFonts w:ascii="Times New Roman" w:eastAsia="Times New Roman" w:hAnsi="Times New Roman" w:cs="Times New Roman"/>
                <w:b/>
                <w:noProof/>
              </w:rPr>
              <w:t>6.5 Data Analysis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_Toc172984822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156</w:t>
            </w:r>
            <w:r w:rsidR="003C1554" w:rsidRPr="00FA3ED8">
              <w:rPr>
                <w:rFonts w:ascii="Times New Roman" w:hAnsi="Times New Roman" w:cs="Times New Roman"/>
                <w:noProof/>
                <w:webHidden/>
              </w:rPr>
              <w:fldChar w:fldCharType="end"/>
            </w:r>
          </w:hyperlink>
        </w:p>
        <w:p w14:paraId="6019DCBC" w14:textId="537122C4" w:rsidR="003C1554" w:rsidRPr="00FA3ED8" w:rsidRDefault="007E2DD6">
          <w:pPr>
            <w:pStyle w:val="TOC3"/>
            <w:tabs>
              <w:tab w:val="right" w:leader="dot" w:pos="9019"/>
            </w:tabs>
            <w:rPr>
              <w:rFonts w:ascii="Times New Roman" w:eastAsiaTheme="minorEastAsia" w:hAnsi="Times New Roman" w:cs="Times New Roman"/>
              <w:noProof/>
            </w:rPr>
          </w:pPr>
          <w:hyperlink w:anchor="_Toc172984823" w:history="1">
            <w:r w:rsidR="003C1554" w:rsidRPr="00FA3ED8">
              <w:rPr>
                <w:rStyle w:val="Hyperlink"/>
                <w:rFonts w:ascii="Times New Roman" w:eastAsia="Times New Roman" w:hAnsi="Times New Roman" w:cs="Times New Roman"/>
                <w:b/>
                <w:noProof/>
              </w:rPr>
              <w:t>6.6. Results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_Toc172984823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157</w:t>
            </w:r>
            <w:r w:rsidR="003C1554" w:rsidRPr="00FA3ED8">
              <w:rPr>
                <w:rFonts w:ascii="Times New Roman" w:hAnsi="Times New Roman" w:cs="Times New Roman"/>
                <w:noProof/>
                <w:webHidden/>
              </w:rPr>
              <w:fldChar w:fldCharType="end"/>
            </w:r>
          </w:hyperlink>
        </w:p>
        <w:p w14:paraId="5B3601CB" w14:textId="47BE84C6" w:rsidR="003C1554" w:rsidRPr="00FA3ED8" w:rsidRDefault="007E2DD6">
          <w:pPr>
            <w:pStyle w:val="TOC3"/>
            <w:tabs>
              <w:tab w:val="right" w:leader="dot" w:pos="9019"/>
            </w:tabs>
            <w:rPr>
              <w:rFonts w:ascii="Times New Roman" w:eastAsiaTheme="minorEastAsia" w:hAnsi="Times New Roman" w:cs="Times New Roman"/>
              <w:noProof/>
            </w:rPr>
          </w:pPr>
          <w:hyperlink w:anchor="_Toc172984824" w:history="1">
            <w:r w:rsidR="003C1554" w:rsidRPr="00FA3ED8">
              <w:rPr>
                <w:rStyle w:val="Hyperlink"/>
                <w:rFonts w:ascii="Times New Roman" w:eastAsia="Times New Roman" w:hAnsi="Times New Roman" w:cs="Times New Roman"/>
                <w:b/>
                <w:noProof/>
              </w:rPr>
              <w:t>6.7 Discussion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_Toc172984824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180</w:t>
            </w:r>
            <w:r w:rsidR="003C1554" w:rsidRPr="00FA3ED8">
              <w:rPr>
                <w:rFonts w:ascii="Times New Roman" w:hAnsi="Times New Roman" w:cs="Times New Roman"/>
                <w:noProof/>
                <w:webHidden/>
              </w:rPr>
              <w:fldChar w:fldCharType="end"/>
            </w:r>
          </w:hyperlink>
        </w:p>
        <w:p w14:paraId="41EFBF5C" w14:textId="30583ED3" w:rsidR="003C1554" w:rsidRPr="00FA3ED8" w:rsidRDefault="007E2DD6">
          <w:pPr>
            <w:pStyle w:val="TOC3"/>
            <w:tabs>
              <w:tab w:val="right" w:leader="dot" w:pos="9019"/>
            </w:tabs>
            <w:rPr>
              <w:rFonts w:ascii="Times New Roman" w:eastAsiaTheme="minorEastAsia" w:hAnsi="Times New Roman" w:cs="Times New Roman"/>
              <w:noProof/>
            </w:rPr>
          </w:pPr>
          <w:hyperlink w:anchor="_Toc172984825" w:history="1">
            <w:r w:rsidR="003C1554" w:rsidRPr="00FA3ED8">
              <w:rPr>
                <w:rStyle w:val="Hyperlink"/>
                <w:rFonts w:ascii="Times New Roman" w:eastAsia="Times New Roman" w:hAnsi="Times New Roman" w:cs="Times New Roman"/>
                <w:b/>
                <w:noProof/>
              </w:rPr>
              <w:t>6.8 Conclusion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_Toc172984825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186</w:t>
            </w:r>
            <w:r w:rsidR="003C1554" w:rsidRPr="00FA3ED8">
              <w:rPr>
                <w:rFonts w:ascii="Times New Roman" w:hAnsi="Times New Roman" w:cs="Times New Roman"/>
                <w:noProof/>
                <w:webHidden/>
              </w:rPr>
              <w:fldChar w:fldCharType="end"/>
            </w:r>
          </w:hyperlink>
        </w:p>
        <w:p w14:paraId="258CF481" w14:textId="609A112A" w:rsidR="003C1554" w:rsidRPr="00FA3ED8" w:rsidRDefault="007E2DD6">
          <w:pPr>
            <w:pStyle w:val="TOC1"/>
            <w:tabs>
              <w:tab w:val="right" w:leader="dot" w:pos="9019"/>
            </w:tabs>
            <w:rPr>
              <w:rFonts w:ascii="Times New Roman" w:eastAsiaTheme="minorEastAsia" w:hAnsi="Times New Roman" w:cs="Times New Roman"/>
              <w:noProof/>
            </w:rPr>
          </w:pPr>
          <w:hyperlink w:anchor="_Toc172984826" w:history="1">
            <w:r w:rsidR="003C1554" w:rsidRPr="00FA3ED8">
              <w:rPr>
                <w:rStyle w:val="Hyperlink"/>
                <w:rFonts w:ascii="Times New Roman" w:eastAsia="Times New Roman" w:hAnsi="Times New Roman" w:cs="Times New Roman"/>
                <w:b/>
                <w:noProof/>
              </w:rPr>
              <w:t>Chapter</w:t>
            </w:r>
            <w:r w:rsidR="003C1554" w:rsidRPr="00FA3ED8">
              <w:rPr>
                <w:rStyle w:val="Hyperlink"/>
                <w:rFonts w:ascii="Times New Roman" w:eastAsia="Times New Roman" w:hAnsi="Times New Roman" w:cs="Times New Roman"/>
                <w:noProof/>
              </w:rPr>
              <w:t xml:space="preserve"> 7</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_Toc172984826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188</w:t>
            </w:r>
            <w:r w:rsidR="003C1554" w:rsidRPr="00FA3ED8">
              <w:rPr>
                <w:rFonts w:ascii="Times New Roman" w:hAnsi="Times New Roman" w:cs="Times New Roman"/>
                <w:noProof/>
                <w:webHidden/>
              </w:rPr>
              <w:fldChar w:fldCharType="end"/>
            </w:r>
          </w:hyperlink>
        </w:p>
        <w:p w14:paraId="2B8CC8AA" w14:textId="0A34BD44" w:rsidR="003C1554" w:rsidRPr="00FA3ED8" w:rsidRDefault="007E2DD6">
          <w:pPr>
            <w:pStyle w:val="TOC2"/>
            <w:tabs>
              <w:tab w:val="right" w:leader="dot" w:pos="9019"/>
            </w:tabs>
            <w:rPr>
              <w:rFonts w:ascii="Times New Roman" w:eastAsiaTheme="minorEastAsia" w:hAnsi="Times New Roman" w:cs="Times New Roman"/>
              <w:noProof/>
            </w:rPr>
          </w:pPr>
          <w:hyperlink w:anchor="_Toc172984827" w:history="1">
            <w:r w:rsidR="003C1554" w:rsidRPr="00FA3ED8">
              <w:rPr>
                <w:rStyle w:val="Hyperlink"/>
                <w:rFonts w:ascii="Times New Roman" w:eastAsia="Times New Roman" w:hAnsi="Times New Roman" w:cs="Times New Roman"/>
                <w:b/>
                <w:noProof/>
              </w:rPr>
              <w:t>General discussion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_Toc172984827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188</w:t>
            </w:r>
            <w:r w:rsidR="003C1554" w:rsidRPr="00FA3ED8">
              <w:rPr>
                <w:rFonts w:ascii="Times New Roman" w:hAnsi="Times New Roman" w:cs="Times New Roman"/>
                <w:noProof/>
                <w:webHidden/>
              </w:rPr>
              <w:fldChar w:fldCharType="end"/>
            </w:r>
          </w:hyperlink>
        </w:p>
        <w:p w14:paraId="52FAE664" w14:textId="5F0C0BB2" w:rsidR="003C1554" w:rsidRPr="00FA3ED8" w:rsidRDefault="007E2DD6">
          <w:pPr>
            <w:pStyle w:val="TOC3"/>
            <w:tabs>
              <w:tab w:val="right" w:leader="dot" w:pos="9019"/>
            </w:tabs>
            <w:rPr>
              <w:rFonts w:ascii="Times New Roman" w:eastAsiaTheme="minorEastAsia" w:hAnsi="Times New Roman" w:cs="Times New Roman"/>
              <w:noProof/>
            </w:rPr>
          </w:pPr>
          <w:hyperlink w:anchor="_Toc172984828" w:history="1">
            <w:r w:rsidR="003C1554" w:rsidRPr="00FA3ED8">
              <w:rPr>
                <w:rStyle w:val="Hyperlink"/>
                <w:rFonts w:ascii="Times New Roman" w:eastAsia="Times New Roman" w:hAnsi="Times New Roman" w:cs="Times New Roman"/>
                <w:b/>
                <w:noProof/>
              </w:rPr>
              <w:t>7.1 Thesis aims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_Toc172984828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188</w:t>
            </w:r>
            <w:r w:rsidR="003C1554" w:rsidRPr="00FA3ED8">
              <w:rPr>
                <w:rFonts w:ascii="Times New Roman" w:hAnsi="Times New Roman" w:cs="Times New Roman"/>
                <w:noProof/>
                <w:webHidden/>
              </w:rPr>
              <w:fldChar w:fldCharType="end"/>
            </w:r>
          </w:hyperlink>
        </w:p>
        <w:p w14:paraId="7E6572D9" w14:textId="007CEDA1" w:rsidR="003C1554" w:rsidRPr="00FA3ED8" w:rsidRDefault="007E2DD6">
          <w:pPr>
            <w:pStyle w:val="TOC3"/>
            <w:tabs>
              <w:tab w:val="right" w:leader="dot" w:pos="9019"/>
            </w:tabs>
            <w:rPr>
              <w:rFonts w:ascii="Times New Roman" w:eastAsiaTheme="minorEastAsia" w:hAnsi="Times New Roman" w:cs="Times New Roman"/>
              <w:noProof/>
            </w:rPr>
          </w:pPr>
          <w:hyperlink w:anchor="_Toc172984829" w:history="1">
            <w:r w:rsidR="003C1554" w:rsidRPr="00FA3ED8">
              <w:rPr>
                <w:rStyle w:val="Hyperlink"/>
                <w:rFonts w:ascii="Times New Roman" w:eastAsia="Times New Roman" w:hAnsi="Times New Roman" w:cs="Times New Roman"/>
                <w:b/>
                <w:noProof/>
              </w:rPr>
              <w:t>7.2 Implication of findings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_Toc172984829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194</w:t>
            </w:r>
            <w:r w:rsidR="003C1554" w:rsidRPr="00FA3ED8">
              <w:rPr>
                <w:rFonts w:ascii="Times New Roman" w:hAnsi="Times New Roman" w:cs="Times New Roman"/>
                <w:noProof/>
                <w:webHidden/>
              </w:rPr>
              <w:fldChar w:fldCharType="end"/>
            </w:r>
          </w:hyperlink>
        </w:p>
        <w:p w14:paraId="14F3FDF3" w14:textId="588C4392" w:rsidR="003C1554" w:rsidRPr="00FA3ED8" w:rsidRDefault="007E2DD6">
          <w:pPr>
            <w:pStyle w:val="TOC3"/>
            <w:tabs>
              <w:tab w:val="right" w:leader="dot" w:pos="9019"/>
            </w:tabs>
            <w:rPr>
              <w:rFonts w:ascii="Times New Roman" w:eastAsiaTheme="minorEastAsia" w:hAnsi="Times New Roman" w:cs="Times New Roman"/>
              <w:noProof/>
            </w:rPr>
          </w:pPr>
          <w:hyperlink w:anchor="_Toc172984830" w:history="1">
            <w:r w:rsidR="003C1554" w:rsidRPr="00FA3ED8">
              <w:rPr>
                <w:rStyle w:val="Hyperlink"/>
                <w:rFonts w:ascii="Times New Roman" w:eastAsia="Times New Roman" w:hAnsi="Times New Roman" w:cs="Times New Roman"/>
                <w:b/>
                <w:noProof/>
              </w:rPr>
              <w:t>7.3 Novel contributions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_Toc172984830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204</w:t>
            </w:r>
            <w:r w:rsidR="003C1554" w:rsidRPr="00FA3ED8">
              <w:rPr>
                <w:rFonts w:ascii="Times New Roman" w:hAnsi="Times New Roman" w:cs="Times New Roman"/>
                <w:noProof/>
                <w:webHidden/>
              </w:rPr>
              <w:fldChar w:fldCharType="end"/>
            </w:r>
          </w:hyperlink>
        </w:p>
        <w:p w14:paraId="6F62045A" w14:textId="3C1C9FB0" w:rsidR="003C1554" w:rsidRPr="00FA3ED8" w:rsidRDefault="007E2DD6">
          <w:pPr>
            <w:pStyle w:val="TOC3"/>
            <w:tabs>
              <w:tab w:val="right" w:leader="dot" w:pos="9019"/>
            </w:tabs>
            <w:rPr>
              <w:rFonts w:ascii="Times New Roman" w:eastAsiaTheme="minorEastAsia" w:hAnsi="Times New Roman" w:cs="Times New Roman"/>
              <w:noProof/>
            </w:rPr>
          </w:pPr>
          <w:hyperlink w:anchor="_Toc172984831" w:history="1">
            <w:r w:rsidR="003C1554" w:rsidRPr="00FA3ED8">
              <w:rPr>
                <w:rStyle w:val="Hyperlink"/>
                <w:rFonts w:ascii="Times New Roman" w:eastAsia="Times New Roman" w:hAnsi="Times New Roman" w:cs="Times New Roman"/>
                <w:b/>
                <w:noProof/>
              </w:rPr>
              <w:t>7.4 Implications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_Toc172984831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207</w:t>
            </w:r>
            <w:r w:rsidR="003C1554" w:rsidRPr="00FA3ED8">
              <w:rPr>
                <w:rFonts w:ascii="Times New Roman" w:hAnsi="Times New Roman" w:cs="Times New Roman"/>
                <w:noProof/>
                <w:webHidden/>
              </w:rPr>
              <w:fldChar w:fldCharType="end"/>
            </w:r>
          </w:hyperlink>
        </w:p>
        <w:p w14:paraId="1E4DEFED" w14:textId="43DE17C4" w:rsidR="003C1554" w:rsidRPr="00FA3ED8" w:rsidRDefault="007E2DD6">
          <w:pPr>
            <w:pStyle w:val="TOC3"/>
            <w:tabs>
              <w:tab w:val="right" w:leader="dot" w:pos="9019"/>
            </w:tabs>
            <w:rPr>
              <w:rFonts w:ascii="Times New Roman" w:eastAsiaTheme="minorEastAsia" w:hAnsi="Times New Roman" w:cs="Times New Roman"/>
              <w:noProof/>
            </w:rPr>
          </w:pPr>
          <w:hyperlink w:anchor="_Toc172984832" w:history="1">
            <w:r w:rsidR="003C1554" w:rsidRPr="00FA3ED8">
              <w:rPr>
                <w:rStyle w:val="Hyperlink"/>
                <w:rFonts w:ascii="Times New Roman" w:eastAsia="Times New Roman" w:hAnsi="Times New Roman" w:cs="Times New Roman"/>
                <w:b/>
                <w:noProof/>
              </w:rPr>
              <w:t>7.5 Limitations and Future Direction</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_Toc172984832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209</w:t>
            </w:r>
            <w:r w:rsidR="003C1554" w:rsidRPr="00FA3ED8">
              <w:rPr>
                <w:rFonts w:ascii="Times New Roman" w:hAnsi="Times New Roman" w:cs="Times New Roman"/>
                <w:noProof/>
                <w:webHidden/>
              </w:rPr>
              <w:fldChar w:fldCharType="end"/>
            </w:r>
          </w:hyperlink>
        </w:p>
        <w:p w14:paraId="2EFA1B0F" w14:textId="241EE9BD" w:rsidR="003C1554" w:rsidRPr="00FA3ED8" w:rsidRDefault="007E2DD6">
          <w:pPr>
            <w:pStyle w:val="TOC3"/>
            <w:tabs>
              <w:tab w:val="right" w:leader="dot" w:pos="9019"/>
            </w:tabs>
            <w:rPr>
              <w:rFonts w:ascii="Times New Roman" w:eastAsiaTheme="minorEastAsia" w:hAnsi="Times New Roman" w:cs="Times New Roman"/>
              <w:noProof/>
            </w:rPr>
          </w:pPr>
          <w:hyperlink w:anchor="_Toc172984833" w:history="1">
            <w:r w:rsidR="003C1554" w:rsidRPr="00FA3ED8">
              <w:rPr>
                <w:rStyle w:val="Hyperlink"/>
                <w:rFonts w:ascii="Times New Roman" w:eastAsia="Times New Roman" w:hAnsi="Times New Roman" w:cs="Times New Roman"/>
                <w:b/>
                <w:noProof/>
              </w:rPr>
              <w:t>7.6 Conclusions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_Toc172984833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212</w:t>
            </w:r>
            <w:r w:rsidR="003C1554" w:rsidRPr="00FA3ED8">
              <w:rPr>
                <w:rFonts w:ascii="Times New Roman" w:hAnsi="Times New Roman" w:cs="Times New Roman"/>
                <w:noProof/>
                <w:webHidden/>
              </w:rPr>
              <w:fldChar w:fldCharType="end"/>
            </w:r>
          </w:hyperlink>
        </w:p>
        <w:p w14:paraId="4BECDE9F" w14:textId="30BA037C" w:rsidR="003C1554" w:rsidRPr="00FA3ED8" w:rsidRDefault="007E2DD6">
          <w:pPr>
            <w:pStyle w:val="TOC1"/>
            <w:tabs>
              <w:tab w:val="right" w:leader="dot" w:pos="9019"/>
            </w:tabs>
            <w:rPr>
              <w:rFonts w:ascii="Times New Roman" w:eastAsiaTheme="minorEastAsia" w:hAnsi="Times New Roman" w:cs="Times New Roman"/>
              <w:noProof/>
            </w:rPr>
          </w:pPr>
          <w:hyperlink w:anchor="_Toc172984834" w:history="1">
            <w:r w:rsidR="003C1554" w:rsidRPr="00FA3ED8">
              <w:rPr>
                <w:rStyle w:val="Hyperlink"/>
                <w:rFonts w:ascii="Times New Roman" w:eastAsia="Times New Roman" w:hAnsi="Times New Roman" w:cs="Times New Roman"/>
                <w:b/>
                <w:noProof/>
              </w:rPr>
              <w:t>References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_Toc172984834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214</w:t>
            </w:r>
            <w:r w:rsidR="003C1554" w:rsidRPr="00FA3ED8">
              <w:rPr>
                <w:rFonts w:ascii="Times New Roman" w:hAnsi="Times New Roman" w:cs="Times New Roman"/>
                <w:noProof/>
                <w:webHidden/>
              </w:rPr>
              <w:fldChar w:fldCharType="end"/>
            </w:r>
          </w:hyperlink>
        </w:p>
        <w:p w14:paraId="5925613D" w14:textId="594AA3C2" w:rsidR="003C1554" w:rsidRPr="00FA3ED8" w:rsidRDefault="007E2DD6">
          <w:pPr>
            <w:pStyle w:val="TOC1"/>
            <w:tabs>
              <w:tab w:val="right" w:leader="dot" w:pos="9019"/>
            </w:tabs>
            <w:rPr>
              <w:rFonts w:ascii="Times New Roman" w:eastAsiaTheme="minorEastAsia" w:hAnsi="Times New Roman" w:cs="Times New Roman"/>
              <w:noProof/>
            </w:rPr>
          </w:pPr>
          <w:hyperlink w:anchor="_Toc172984835" w:history="1">
            <w:r w:rsidR="003C1554" w:rsidRPr="00FA3ED8">
              <w:rPr>
                <w:rStyle w:val="Hyperlink"/>
                <w:rFonts w:ascii="Times New Roman" w:eastAsia="Times New Roman" w:hAnsi="Times New Roman" w:cs="Times New Roman"/>
                <w:b/>
                <w:noProof/>
              </w:rPr>
              <w:t>Appendices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_Toc172984835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324</w:t>
            </w:r>
            <w:r w:rsidR="003C1554" w:rsidRPr="00FA3ED8">
              <w:rPr>
                <w:rFonts w:ascii="Times New Roman" w:hAnsi="Times New Roman" w:cs="Times New Roman"/>
                <w:noProof/>
                <w:webHidden/>
              </w:rPr>
              <w:fldChar w:fldCharType="end"/>
            </w:r>
          </w:hyperlink>
        </w:p>
        <w:p w14:paraId="0A103515" w14:textId="228CBC09" w:rsidR="003C1554" w:rsidRPr="00FA3ED8" w:rsidRDefault="007E2DD6">
          <w:pPr>
            <w:pStyle w:val="TOC1"/>
            <w:tabs>
              <w:tab w:val="right" w:leader="dot" w:pos="9019"/>
            </w:tabs>
            <w:rPr>
              <w:rFonts w:ascii="Times New Roman" w:eastAsiaTheme="minorEastAsia" w:hAnsi="Times New Roman" w:cs="Times New Roman"/>
              <w:noProof/>
            </w:rPr>
          </w:pPr>
          <w:hyperlink w:anchor="_Toc172984836" w:history="1">
            <w:r w:rsidR="003C1554" w:rsidRPr="00FA3ED8">
              <w:rPr>
                <w:rStyle w:val="Hyperlink"/>
                <w:rFonts w:ascii="Times New Roman" w:eastAsia="Times New Roman" w:hAnsi="Times New Roman" w:cs="Times New Roman"/>
                <w:b/>
                <w:noProof/>
              </w:rPr>
              <w:t>Appendix A: Survey questionnaires</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_Toc172984836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324</w:t>
            </w:r>
            <w:r w:rsidR="003C1554" w:rsidRPr="00FA3ED8">
              <w:rPr>
                <w:rFonts w:ascii="Times New Roman" w:hAnsi="Times New Roman" w:cs="Times New Roman"/>
                <w:noProof/>
                <w:webHidden/>
              </w:rPr>
              <w:fldChar w:fldCharType="end"/>
            </w:r>
          </w:hyperlink>
        </w:p>
        <w:p w14:paraId="725CF565" w14:textId="2A182E9F" w:rsidR="003C1554" w:rsidRPr="00FA3ED8" w:rsidRDefault="007E2DD6">
          <w:pPr>
            <w:pStyle w:val="TOC1"/>
            <w:tabs>
              <w:tab w:val="right" w:leader="dot" w:pos="9019"/>
            </w:tabs>
            <w:rPr>
              <w:rFonts w:ascii="Times New Roman" w:eastAsiaTheme="minorEastAsia" w:hAnsi="Times New Roman" w:cs="Times New Roman"/>
              <w:noProof/>
            </w:rPr>
          </w:pPr>
          <w:hyperlink w:anchor="_Toc172984844" w:history="1">
            <w:r w:rsidR="003C1554" w:rsidRPr="00FA3ED8">
              <w:rPr>
                <w:rStyle w:val="Hyperlink"/>
                <w:rFonts w:ascii="Times New Roman" w:eastAsia="Times New Roman" w:hAnsi="Times New Roman" w:cs="Times New Roman"/>
                <w:b/>
                <w:noProof/>
              </w:rPr>
              <w:t>Appendix B Supplementary material for Study 1 (Chapter 4)</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_Toc172984844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333</w:t>
            </w:r>
            <w:r w:rsidR="003C1554" w:rsidRPr="00FA3ED8">
              <w:rPr>
                <w:rFonts w:ascii="Times New Roman" w:hAnsi="Times New Roman" w:cs="Times New Roman"/>
                <w:noProof/>
                <w:webHidden/>
              </w:rPr>
              <w:fldChar w:fldCharType="end"/>
            </w:r>
          </w:hyperlink>
        </w:p>
        <w:p w14:paraId="733F211C" w14:textId="66A2E98E" w:rsidR="003C1554" w:rsidRPr="00FA3ED8" w:rsidRDefault="007E2DD6">
          <w:pPr>
            <w:pStyle w:val="TOC1"/>
            <w:tabs>
              <w:tab w:val="right" w:leader="dot" w:pos="9019"/>
            </w:tabs>
            <w:rPr>
              <w:rFonts w:ascii="Times New Roman" w:eastAsiaTheme="minorEastAsia" w:hAnsi="Times New Roman" w:cs="Times New Roman"/>
              <w:noProof/>
            </w:rPr>
          </w:pPr>
          <w:hyperlink w:anchor="_Toc172984845" w:history="1">
            <w:r w:rsidR="003C1554" w:rsidRPr="00FA3ED8">
              <w:rPr>
                <w:rStyle w:val="Hyperlink"/>
                <w:rFonts w:ascii="Times New Roman" w:eastAsia="Times New Roman" w:hAnsi="Times New Roman" w:cs="Times New Roman"/>
                <w:b/>
                <w:noProof/>
              </w:rPr>
              <w:t>Appendix C Supplementary materials for Study 2 (Chapter 5)</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_Toc172984845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339</w:t>
            </w:r>
            <w:r w:rsidR="003C1554" w:rsidRPr="00FA3ED8">
              <w:rPr>
                <w:rFonts w:ascii="Times New Roman" w:hAnsi="Times New Roman" w:cs="Times New Roman"/>
                <w:noProof/>
                <w:webHidden/>
              </w:rPr>
              <w:fldChar w:fldCharType="end"/>
            </w:r>
          </w:hyperlink>
        </w:p>
        <w:p w14:paraId="57E622C9" w14:textId="3F2F2654" w:rsidR="003C1554" w:rsidRPr="00FA3ED8" w:rsidRDefault="007E2DD6">
          <w:pPr>
            <w:pStyle w:val="TOC1"/>
            <w:tabs>
              <w:tab w:val="right" w:leader="dot" w:pos="9019"/>
            </w:tabs>
            <w:rPr>
              <w:rFonts w:ascii="Times New Roman" w:eastAsiaTheme="minorEastAsia" w:hAnsi="Times New Roman" w:cs="Times New Roman"/>
              <w:noProof/>
            </w:rPr>
          </w:pPr>
          <w:hyperlink w:anchor="_Toc172984846" w:history="1">
            <w:r w:rsidR="003C1554" w:rsidRPr="00FA3ED8">
              <w:rPr>
                <w:rStyle w:val="Hyperlink"/>
                <w:rFonts w:ascii="Times New Roman" w:eastAsia="Times New Roman" w:hAnsi="Times New Roman" w:cs="Times New Roman"/>
                <w:b/>
                <w:noProof/>
              </w:rPr>
              <w:t>Appendix D. Supplementary material for Study 3 (Chapter 6)</w:t>
            </w:r>
            <w:r w:rsidR="003C1554" w:rsidRPr="00FA3ED8">
              <w:rPr>
                <w:rFonts w:ascii="Times New Roman" w:hAnsi="Times New Roman" w:cs="Times New Roman"/>
                <w:noProof/>
                <w:webHidden/>
              </w:rPr>
              <w:tab/>
            </w:r>
            <w:r w:rsidR="003C1554" w:rsidRPr="00FA3ED8">
              <w:rPr>
                <w:rFonts w:ascii="Times New Roman" w:hAnsi="Times New Roman" w:cs="Times New Roman"/>
                <w:noProof/>
                <w:webHidden/>
              </w:rPr>
              <w:fldChar w:fldCharType="begin"/>
            </w:r>
            <w:r w:rsidR="003C1554" w:rsidRPr="00FA3ED8">
              <w:rPr>
                <w:rFonts w:ascii="Times New Roman" w:hAnsi="Times New Roman" w:cs="Times New Roman"/>
                <w:noProof/>
                <w:webHidden/>
              </w:rPr>
              <w:instrText xml:space="preserve"> PAGEREF _Toc172984846 \h </w:instrText>
            </w:r>
            <w:r w:rsidR="003C1554" w:rsidRPr="00FA3ED8">
              <w:rPr>
                <w:rFonts w:ascii="Times New Roman" w:hAnsi="Times New Roman" w:cs="Times New Roman"/>
                <w:noProof/>
                <w:webHidden/>
              </w:rPr>
            </w:r>
            <w:r w:rsidR="003C1554" w:rsidRPr="00FA3ED8">
              <w:rPr>
                <w:rFonts w:ascii="Times New Roman" w:hAnsi="Times New Roman" w:cs="Times New Roman"/>
                <w:noProof/>
                <w:webHidden/>
              </w:rPr>
              <w:fldChar w:fldCharType="separate"/>
            </w:r>
            <w:r w:rsidR="00E81B0F">
              <w:rPr>
                <w:rFonts w:ascii="Times New Roman" w:hAnsi="Times New Roman" w:cs="Times New Roman"/>
                <w:noProof/>
                <w:webHidden/>
              </w:rPr>
              <w:t>343</w:t>
            </w:r>
            <w:r w:rsidR="003C1554" w:rsidRPr="00FA3ED8">
              <w:rPr>
                <w:rFonts w:ascii="Times New Roman" w:hAnsi="Times New Roman" w:cs="Times New Roman"/>
                <w:noProof/>
                <w:webHidden/>
              </w:rPr>
              <w:fldChar w:fldCharType="end"/>
            </w:r>
          </w:hyperlink>
        </w:p>
        <w:p w14:paraId="76CC6B76" w14:textId="05D6A61D" w:rsidR="003C1554" w:rsidRDefault="003C1554">
          <w:r w:rsidRPr="00FA3ED8">
            <w:rPr>
              <w:rFonts w:ascii="Times New Roman" w:hAnsi="Times New Roman" w:cs="Times New Roman"/>
              <w:b/>
              <w:bCs/>
              <w:noProof/>
            </w:rPr>
            <w:fldChar w:fldCharType="end"/>
          </w:r>
        </w:p>
      </w:sdtContent>
    </w:sdt>
    <w:p w14:paraId="0000009D" w14:textId="77777777" w:rsidR="00CB4215" w:rsidRDefault="00CB4215">
      <w:pPr>
        <w:spacing w:line="259" w:lineRule="auto"/>
        <w:rPr>
          <w:rFonts w:ascii="Times New Roman" w:eastAsia="Times New Roman" w:hAnsi="Times New Roman" w:cs="Times New Roman"/>
          <w:sz w:val="24"/>
          <w:szCs w:val="24"/>
        </w:rPr>
      </w:pPr>
    </w:p>
    <w:p w14:paraId="0000009E" w14:textId="77777777" w:rsidR="00CB4215" w:rsidRDefault="00CB4215">
      <w:pPr>
        <w:spacing w:line="259" w:lineRule="auto"/>
        <w:rPr>
          <w:rFonts w:ascii="Times New Roman" w:eastAsia="Times New Roman" w:hAnsi="Times New Roman" w:cs="Times New Roman"/>
          <w:sz w:val="24"/>
          <w:szCs w:val="24"/>
        </w:rPr>
      </w:pPr>
    </w:p>
    <w:p w14:paraId="0000009F" w14:textId="5B8C3959" w:rsidR="00CB4215" w:rsidRDefault="00CB4215">
      <w:pPr>
        <w:spacing w:line="259" w:lineRule="auto"/>
        <w:rPr>
          <w:rFonts w:ascii="Times New Roman" w:eastAsia="Times New Roman" w:hAnsi="Times New Roman" w:cs="Times New Roman"/>
          <w:sz w:val="24"/>
          <w:szCs w:val="24"/>
        </w:rPr>
      </w:pPr>
    </w:p>
    <w:p w14:paraId="2D80FC8D" w14:textId="4865724E" w:rsidR="003C1554" w:rsidRDefault="003C1554">
      <w:pPr>
        <w:spacing w:line="259" w:lineRule="auto"/>
        <w:rPr>
          <w:rFonts w:ascii="Times New Roman" w:eastAsia="Times New Roman" w:hAnsi="Times New Roman" w:cs="Times New Roman"/>
          <w:sz w:val="24"/>
          <w:szCs w:val="24"/>
        </w:rPr>
      </w:pPr>
    </w:p>
    <w:p w14:paraId="76DF064E" w14:textId="6501D4B8" w:rsidR="003C1554" w:rsidRDefault="003C1554">
      <w:pPr>
        <w:spacing w:line="259" w:lineRule="auto"/>
        <w:rPr>
          <w:rFonts w:ascii="Times New Roman" w:eastAsia="Times New Roman" w:hAnsi="Times New Roman" w:cs="Times New Roman"/>
          <w:sz w:val="24"/>
          <w:szCs w:val="24"/>
        </w:rPr>
      </w:pPr>
    </w:p>
    <w:p w14:paraId="124A96C0" w14:textId="77777777" w:rsidR="003C1554" w:rsidRDefault="003C1554">
      <w:pPr>
        <w:spacing w:line="259" w:lineRule="auto"/>
        <w:rPr>
          <w:rFonts w:ascii="Times New Roman" w:eastAsia="Times New Roman" w:hAnsi="Times New Roman" w:cs="Times New Roman"/>
          <w:sz w:val="24"/>
          <w:szCs w:val="24"/>
        </w:rPr>
      </w:pPr>
    </w:p>
    <w:p w14:paraId="000000A0" w14:textId="77777777" w:rsidR="00CB4215" w:rsidRDefault="00CB4215">
      <w:pPr>
        <w:spacing w:line="259" w:lineRule="auto"/>
        <w:rPr>
          <w:rFonts w:ascii="Times New Roman" w:eastAsia="Times New Roman" w:hAnsi="Times New Roman" w:cs="Times New Roman"/>
          <w:sz w:val="24"/>
          <w:szCs w:val="24"/>
        </w:rPr>
      </w:pPr>
    </w:p>
    <w:p w14:paraId="000000A1" w14:textId="77777777" w:rsidR="00CB4215" w:rsidRDefault="00CB4215">
      <w:pPr>
        <w:spacing w:line="259" w:lineRule="auto"/>
        <w:rPr>
          <w:rFonts w:ascii="Times New Roman" w:eastAsia="Times New Roman" w:hAnsi="Times New Roman" w:cs="Times New Roman"/>
          <w:sz w:val="24"/>
          <w:szCs w:val="24"/>
        </w:rPr>
      </w:pPr>
    </w:p>
    <w:p w14:paraId="000000A2" w14:textId="77777777" w:rsidR="00CB4215" w:rsidRDefault="00CB4215">
      <w:pPr>
        <w:spacing w:line="259" w:lineRule="auto"/>
        <w:rPr>
          <w:rFonts w:ascii="Times New Roman" w:eastAsia="Times New Roman" w:hAnsi="Times New Roman" w:cs="Times New Roman"/>
          <w:sz w:val="24"/>
          <w:szCs w:val="24"/>
        </w:rPr>
      </w:pPr>
    </w:p>
    <w:p w14:paraId="000000A3" w14:textId="77777777" w:rsidR="00CB4215" w:rsidRDefault="00CB4215">
      <w:pPr>
        <w:spacing w:line="259" w:lineRule="auto"/>
        <w:rPr>
          <w:rFonts w:ascii="Times New Roman" w:eastAsia="Times New Roman" w:hAnsi="Times New Roman" w:cs="Times New Roman"/>
          <w:sz w:val="24"/>
          <w:szCs w:val="24"/>
        </w:rPr>
      </w:pPr>
    </w:p>
    <w:p w14:paraId="000000A4" w14:textId="77777777" w:rsidR="00CB4215" w:rsidRDefault="00CB4215">
      <w:pPr>
        <w:spacing w:line="259" w:lineRule="auto"/>
        <w:rPr>
          <w:rFonts w:ascii="Times New Roman" w:eastAsia="Times New Roman" w:hAnsi="Times New Roman" w:cs="Times New Roman"/>
          <w:sz w:val="24"/>
          <w:szCs w:val="24"/>
        </w:rPr>
      </w:pPr>
    </w:p>
    <w:p w14:paraId="000000A5" w14:textId="77777777" w:rsidR="00CB4215" w:rsidRDefault="00CB4215">
      <w:pPr>
        <w:spacing w:line="259" w:lineRule="auto"/>
        <w:rPr>
          <w:rFonts w:ascii="Times New Roman" w:eastAsia="Times New Roman" w:hAnsi="Times New Roman" w:cs="Times New Roman"/>
          <w:sz w:val="24"/>
          <w:szCs w:val="24"/>
        </w:rPr>
      </w:pPr>
    </w:p>
    <w:p w14:paraId="000000A6" w14:textId="77777777" w:rsidR="00CB4215" w:rsidRDefault="00CB4215">
      <w:pPr>
        <w:spacing w:line="259" w:lineRule="auto"/>
        <w:rPr>
          <w:rFonts w:ascii="Times New Roman" w:eastAsia="Times New Roman" w:hAnsi="Times New Roman" w:cs="Times New Roman"/>
          <w:sz w:val="24"/>
          <w:szCs w:val="24"/>
        </w:rPr>
      </w:pPr>
    </w:p>
    <w:p w14:paraId="000000A7" w14:textId="77777777" w:rsidR="00CB4215" w:rsidRDefault="00CB4215">
      <w:pPr>
        <w:spacing w:line="259" w:lineRule="auto"/>
        <w:rPr>
          <w:rFonts w:ascii="Times New Roman" w:eastAsia="Times New Roman" w:hAnsi="Times New Roman" w:cs="Times New Roman"/>
          <w:sz w:val="24"/>
          <w:szCs w:val="24"/>
        </w:rPr>
      </w:pPr>
    </w:p>
    <w:p w14:paraId="000000A8" w14:textId="77777777" w:rsidR="00CB4215" w:rsidRDefault="00CB4215">
      <w:pPr>
        <w:spacing w:line="259" w:lineRule="auto"/>
        <w:rPr>
          <w:rFonts w:ascii="Times New Roman" w:eastAsia="Times New Roman" w:hAnsi="Times New Roman" w:cs="Times New Roman"/>
          <w:sz w:val="24"/>
          <w:szCs w:val="24"/>
        </w:rPr>
      </w:pPr>
    </w:p>
    <w:p w14:paraId="000000A9" w14:textId="77777777" w:rsidR="00CB4215" w:rsidRDefault="00CB4215">
      <w:pPr>
        <w:spacing w:line="259" w:lineRule="auto"/>
        <w:rPr>
          <w:rFonts w:ascii="Times New Roman" w:eastAsia="Times New Roman" w:hAnsi="Times New Roman" w:cs="Times New Roman"/>
          <w:sz w:val="24"/>
          <w:szCs w:val="24"/>
        </w:rPr>
      </w:pPr>
    </w:p>
    <w:p w14:paraId="000000AA" w14:textId="77777777" w:rsidR="00CB4215" w:rsidRDefault="00CB4215">
      <w:pPr>
        <w:spacing w:line="259" w:lineRule="auto"/>
        <w:rPr>
          <w:rFonts w:ascii="Times New Roman" w:eastAsia="Times New Roman" w:hAnsi="Times New Roman" w:cs="Times New Roman"/>
          <w:sz w:val="24"/>
          <w:szCs w:val="24"/>
        </w:rPr>
      </w:pPr>
    </w:p>
    <w:p w14:paraId="000000AB" w14:textId="77777777" w:rsidR="00CB4215" w:rsidRDefault="00CB4215">
      <w:pPr>
        <w:spacing w:line="259" w:lineRule="auto"/>
        <w:rPr>
          <w:rFonts w:ascii="Times New Roman" w:eastAsia="Times New Roman" w:hAnsi="Times New Roman" w:cs="Times New Roman"/>
          <w:sz w:val="24"/>
          <w:szCs w:val="24"/>
        </w:rPr>
      </w:pPr>
    </w:p>
    <w:p w14:paraId="000000AC" w14:textId="026A4D44" w:rsidR="00CB4215" w:rsidRDefault="00CB4215">
      <w:pPr>
        <w:spacing w:line="259" w:lineRule="auto"/>
        <w:rPr>
          <w:rFonts w:ascii="Times New Roman" w:eastAsia="Times New Roman" w:hAnsi="Times New Roman" w:cs="Times New Roman"/>
          <w:sz w:val="24"/>
          <w:szCs w:val="24"/>
        </w:rPr>
      </w:pPr>
    </w:p>
    <w:p w14:paraId="4322D3F6" w14:textId="2A2A6F4B" w:rsidR="00FA3ED8" w:rsidRDefault="00FA3ED8">
      <w:pPr>
        <w:spacing w:line="259" w:lineRule="auto"/>
        <w:rPr>
          <w:rFonts w:ascii="Times New Roman" w:eastAsia="Times New Roman" w:hAnsi="Times New Roman" w:cs="Times New Roman"/>
          <w:sz w:val="24"/>
          <w:szCs w:val="24"/>
        </w:rPr>
      </w:pPr>
    </w:p>
    <w:p w14:paraId="0DEEA824" w14:textId="6DD4B4A3" w:rsidR="003C1554" w:rsidRPr="00FA3ED8" w:rsidRDefault="00FA3ED8" w:rsidP="00FA3ED8">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4" w:name="_Toc171927092"/>
      <w:bookmarkStart w:id="5" w:name="_Toc172984764"/>
    </w:p>
    <w:p w14:paraId="41A17C42" w14:textId="12602817" w:rsidR="00365ADA" w:rsidRPr="00D92867" w:rsidRDefault="00365ADA" w:rsidP="00365ADA">
      <w:pPr>
        <w:pStyle w:val="Heading2"/>
        <w:spacing w:line="480" w:lineRule="auto"/>
        <w:rPr>
          <w:rFonts w:ascii="Times New Roman" w:hAnsi="Times New Roman" w:cs="Times New Roman"/>
          <w:b/>
          <w:bCs/>
          <w:sz w:val="28"/>
          <w:szCs w:val="28"/>
        </w:rPr>
      </w:pPr>
      <w:r w:rsidRPr="00D92867">
        <w:rPr>
          <w:rFonts w:ascii="Times New Roman" w:hAnsi="Times New Roman" w:cs="Times New Roman"/>
          <w:b/>
          <w:bCs/>
          <w:sz w:val="28"/>
          <w:szCs w:val="28"/>
        </w:rPr>
        <w:lastRenderedPageBreak/>
        <w:t>Table of Figures</w:t>
      </w:r>
      <w:bookmarkEnd w:id="4"/>
      <w:bookmarkEnd w:id="5"/>
    </w:p>
    <w:p w14:paraId="6B28C910" w14:textId="77777777" w:rsidR="00365ADA" w:rsidRPr="002F0F53"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2F0F53">
        <w:rPr>
          <w:rFonts w:ascii="Times New Roman" w:hAnsi="Times New Roman" w:cs="Times New Roman"/>
          <w:sz w:val="24"/>
          <w:szCs w:val="24"/>
        </w:rPr>
        <w:fldChar w:fldCharType="begin"/>
      </w:r>
      <w:r w:rsidRPr="002F0F53">
        <w:rPr>
          <w:rFonts w:ascii="Times New Roman" w:hAnsi="Times New Roman" w:cs="Times New Roman"/>
          <w:sz w:val="24"/>
          <w:szCs w:val="24"/>
        </w:rPr>
        <w:instrText xml:space="preserve"> TOC \c "Figure" </w:instrText>
      </w:r>
      <w:r w:rsidRPr="002F0F53">
        <w:rPr>
          <w:rFonts w:ascii="Times New Roman" w:hAnsi="Times New Roman" w:cs="Times New Roman"/>
          <w:sz w:val="24"/>
          <w:szCs w:val="24"/>
        </w:rPr>
        <w:fldChar w:fldCharType="separate"/>
      </w:r>
      <w:r w:rsidRPr="002F0F53">
        <w:rPr>
          <w:rFonts w:ascii="Times New Roman" w:hAnsi="Times New Roman" w:cs="Times New Roman"/>
          <w:noProof/>
          <w:sz w:val="24"/>
          <w:szCs w:val="24"/>
        </w:rPr>
        <w:t xml:space="preserve">Figure 1.1. </w:t>
      </w:r>
      <w:r w:rsidRPr="002F0F53">
        <w:rPr>
          <w:rFonts w:ascii="Times New Roman" w:eastAsia="Calibri" w:hAnsi="Times New Roman" w:cs="Times New Roman"/>
          <w:noProof/>
          <w:sz w:val="24"/>
          <w:szCs w:val="24"/>
        </w:rPr>
        <w:t>The Obesity Systems map identifies over 100 variables which influence energy balance and the obesity epidemic, source: Butland et al. (2007)</w:t>
      </w:r>
      <w:r w:rsidRPr="002F0F53">
        <w:rPr>
          <w:rFonts w:ascii="Times New Roman" w:hAnsi="Times New Roman" w:cs="Times New Roman"/>
          <w:noProof/>
          <w:sz w:val="24"/>
          <w:szCs w:val="24"/>
        </w:rPr>
        <w:tab/>
      </w:r>
      <w:r w:rsidRPr="002F0F53">
        <w:rPr>
          <w:rFonts w:ascii="Times New Roman" w:hAnsi="Times New Roman" w:cs="Times New Roman"/>
          <w:noProof/>
          <w:sz w:val="24"/>
          <w:szCs w:val="24"/>
        </w:rPr>
        <w:fldChar w:fldCharType="begin"/>
      </w:r>
      <w:r w:rsidRPr="002F0F53">
        <w:rPr>
          <w:rFonts w:ascii="Times New Roman" w:hAnsi="Times New Roman" w:cs="Times New Roman"/>
          <w:noProof/>
          <w:sz w:val="24"/>
          <w:szCs w:val="24"/>
        </w:rPr>
        <w:instrText xml:space="preserve"> PAGEREF _Toc171509422 \h </w:instrText>
      </w:r>
      <w:r w:rsidRPr="002F0F53">
        <w:rPr>
          <w:rFonts w:ascii="Times New Roman" w:hAnsi="Times New Roman" w:cs="Times New Roman"/>
          <w:noProof/>
          <w:sz w:val="24"/>
          <w:szCs w:val="24"/>
        </w:rPr>
      </w:r>
      <w:r w:rsidRPr="002F0F53">
        <w:rPr>
          <w:rFonts w:ascii="Times New Roman" w:hAnsi="Times New Roman" w:cs="Times New Roman"/>
          <w:noProof/>
          <w:sz w:val="24"/>
          <w:szCs w:val="24"/>
        </w:rPr>
        <w:fldChar w:fldCharType="separate"/>
      </w:r>
      <w:r w:rsidRPr="002F0F53">
        <w:rPr>
          <w:rFonts w:ascii="Times New Roman" w:hAnsi="Times New Roman" w:cs="Times New Roman"/>
          <w:noProof/>
          <w:sz w:val="24"/>
          <w:szCs w:val="24"/>
        </w:rPr>
        <w:t>5</w:t>
      </w:r>
      <w:r w:rsidRPr="002F0F53">
        <w:rPr>
          <w:rFonts w:ascii="Times New Roman" w:hAnsi="Times New Roman" w:cs="Times New Roman"/>
          <w:noProof/>
          <w:sz w:val="24"/>
          <w:szCs w:val="24"/>
        </w:rPr>
        <w:fldChar w:fldCharType="end"/>
      </w:r>
    </w:p>
    <w:p w14:paraId="16B669E5" w14:textId="77777777" w:rsidR="00365ADA" w:rsidRPr="002F0F53"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2F0F53">
        <w:rPr>
          <w:rFonts w:ascii="Times New Roman" w:hAnsi="Times New Roman" w:cs="Times New Roman"/>
          <w:noProof/>
          <w:sz w:val="24"/>
          <w:szCs w:val="24"/>
        </w:rPr>
        <w:t>Figure 1.2</w:t>
      </w:r>
      <w:r w:rsidRPr="002F0F53">
        <w:rPr>
          <w:rFonts w:ascii="Times New Roman" w:eastAsia="Calibri" w:hAnsi="Times New Roman" w:cs="Times New Roman"/>
          <w:noProof/>
          <w:sz w:val="24"/>
          <w:szCs w:val="24"/>
        </w:rPr>
        <w:t>. Satiety cascade from Blundell modified by Mela (Mela, 2006).</w:t>
      </w:r>
      <w:r w:rsidRPr="002F0F53">
        <w:rPr>
          <w:rFonts w:ascii="Times New Roman" w:hAnsi="Times New Roman" w:cs="Times New Roman"/>
          <w:noProof/>
          <w:sz w:val="24"/>
          <w:szCs w:val="24"/>
        </w:rPr>
        <w:tab/>
      </w:r>
      <w:r w:rsidRPr="002F0F53">
        <w:rPr>
          <w:rFonts w:ascii="Times New Roman" w:hAnsi="Times New Roman" w:cs="Times New Roman"/>
          <w:noProof/>
          <w:sz w:val="24"/>
          <w:szCs w:val="24"/>
        </w:rPr>
        <w:fldChar w:fldCharType="begin"/>
      </w:r>
      <w:r w:rsidRPr="002F0F53">
        <w:rPr>
          <w:rFonts w:ascii="Times New Roman" w:hAnsi="Times New Roman" w:cs="Times New Roman"/>
          <w:noProof/>
          <w:sz w:val="24"/>
          <w:szCs w:val="24"/>
        </w:rPr>
        <w:instrText xml:space="preserve"> PAGEREF _Toc171509423 \h </w:instrText>
      </w:r>
      <w:r w:rsidRPr="002F0F53">
        <w:rPr>
          <w:rFonts w:ascii="Times New Roman" w:hAnsi="Times New Roman" w:cs="Times New Roman"/>
          <w:noProof/>
          <w:sz w:val="24"/>
          <w:szCs w:val="24"/>
        </w:rPr>
      </w:r>
      <w:r w:rsidRPr="002F0F53">
        <w:rPr>
          <w:rFonts w:ascii="Times New Roman" w:hAnsi="Times New Roman" w:cs="Times New Roman"/>
          <w:noProof/>
          <w:sz w:val="24"/>
          <w:szCs w:val="24"/>
        </w:rPr>
        <w:fldChar w:fldCharType="separate"/>
      </w:r>
      <w:r w:rsidRPr="002F0F53">
        <w:rPr>
          <w:rFonts w:ascii="Times New Roman" w:hAnsi="Times New Roman" w:cs="Times New Roman"/>
          <w:noProof/>
          <w:sz w:val="24"/>
          <w:szCs w:val="24"/>
        </w:rPr>
        <w:t>18</w:t>
      </w:r>
      <w:r w:rsidRPr="002F0F53">
        <w:rPr>
          <w:rFonts w:ascii="Times New Roman" w:hAnsi="Times New Roman" w:cs="Times New Roman"/>
          <w:noProof/>
          <w:sz w:val="24"/>
          <w:szCs w:val="24"/>
        </w:rPr>
        <w:fldChar w:fldCharType="end"/>
      </w:r>
    </w:p>
    <w:p w14:paraId="6F092C10" w14:textId="7A14F3EB" w:rsidR="00365ADA" w:rsidRDefault="00365ADA" w:rsidP="00365ADA">
      <w:pPr>
        <w:pStyle w:val="TableofFigures"/>
        <w:tabs>
          <w:tab w:val="right" w:leader="dot" w:pos="9019"/>
        </w:tabs>
        <w:spacing w:line="480" w:lineRule="auto"/>
        <w:rPr>
          <w:rFonts w:ascii="Times New Roman" w:hAnsi="Times New Roman" w:cs="Times New Roman"/>
          <w:noProof/>
          <w:sz w:val="24"/>
          <w:szCs w:val="24"/>
        </w:rPr>
      </w:pPr>
      <w:r w:rsidRPr="002F0F53">
        <w:rPr>
          <w:rFonts w:ascii="Times New Roman" w:hAnsi="Times New Roman" w:cs="Times New Roman"/>
          <w:noProof/>
          <w:sz w:val="24"/>
          <w:szCs w:val="24"/>
        </w:rPr>
        <w:t xml:space="preserve">Figure 1.3. </w:t>
      </w:r>
      <w:r w:rsidRPr="002F0F53">
        <w:rPr>
          <w:rFonts w:ascii="Times New Roman" w:eastAsia="Calibri" w:hAnsi="Times New Roman" w:cs="Times New Roman"/>
          <w:noProof/>
          <w:sz w:val="24"/>
          <w:szCs w:val="24"/>
        </w:rPr>
        <w:t>Progression of studies within this thesis.</w:t>
      </w:r>
      <w:r w:rsidRPr="002F0F53">
        <w:rPr>
          <w:rFonts w:ascii="Times New Roman" w:hAnsi="Times New Roman" w:cs="Times New Roman"/>
          <w:noProof/>
          <w:sz w:val="24"/>
          <w:szCs w:val="24"/>
        </w:rPr>
        <w:tab/>
      </w:r>
      <w:r w:rsidRPr="002F0F53">
        <w:rPr>
          <w:rFonts w:ascii="Times New Roman" w:hAnsi="Times New Roman" w:cs="Times New Roman"/>
          <w:noProof/>
          <w:sz w:val="24"/>
          <w:szCs w:val="24"/>
        </w:rPr>
        <w:fldChar w:fldCharType="begin"/>
      </w:r>
      <w:r w:rsidRPr="002F0F53">
        <w:rPr>
          <w:rFonts w:ascii="Times New Roman" w:hAnsi="Times New Roman" w:cs="Times New Roman"/>
          <w:noProof/>
          <w:sz w:val="24"/>
          <w:szCs w:val="24"/>
        </w:rPr>
        <w:instrText xml:space="preserve"> PAGEREF _Toc171509424 \h </w:instrText>
      </w:r>
      <w:r w:rsidRPr="002F0F53">
        <w:rPr>
          <w:rFonts w:ascii="Times New Roman" w:hAnsi="Times New Roman" w:cs="Times New Roman"/>
          <w:noProof/>
          <w:sz w:val="24"/>
          <w:szCs w:val="24"/>
        </w:rPr>
      </w:r>
      <w:r w:rsidRPr="002F0F53">
        <w:rPr>
          <w:rFonts w:ascii="Times New Roman" w:hAnsi="Times New Roman" w:cs="Times New Roman"/>
          <w:noProof/>
          <w:sz w:val="24"/>
          <w:szCs w:val="24"/>
        </w:rPr>
        <w:fldChar w:fldCharType="separate"/>
      </w:r>
      <w:r w:rsidRPr="002F0F53">
        <w:rPr>
          <w:rFonts w:ascii="Times New Roman" w:hAnsi="Times New Roman" w:cs="Times New Roman"/>
          <w:noProof/>
          <w:sz w:val="24"/>
          <w:szCs w:val="24"/>
        </w:rPr>
        <w:t>3</w:t>
      </w:r>
      <w:r w:rsidR="00815F97">
        <w:rPr>
          <w:rFonts w:ascii="Times New Roman" w:hAnsi="Times New Roman" w:cs="Times New Roman"/>
          <w:noProof/>
          <w:sz w:val="24"/>
          <w:szCs w:val="24"/>
        </w:rPr>
        <w:t>7</w:t>
      </w:r>
      <w:r w:rsidRPr="002F0F53">
        <w:rPr>
          <w:rFonts w:ascii="Times New Roman" w:hAnsi="Times New Roman" w:cs="Times New Roman"/>
          <w:noProof/>
          <w:sz w:val="24"/>
          <w:szCs w:val="24"/>
        </w:rPr>
        <w:fldChar w:fldCharType="end"/>
      </w:r>
    </w:p>
    <w:p w14:paraId="71C6E61F" w14:textId="40AAF62B" w:rsidR="0004777F" w:rsidRPr="0004777F" w:rsidRDefault="0004777F" w:rsidP="0004777F">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Figure 3.1. </w:t>
      </w:r>
      <w:r w:rsidRPr="007D0810">
        <w:rPr>
          <w:rFonts w:ascii="Times New Roman" w:eastAsia="Calibri" w:hAnsi="Times New Roman" w:cs="Times New Roman"/>
          <w:noProof/>
          <w:sz w:val="24"/>
          <w:szCs w:val="24"/>
          <w:highlight w:val="white"/>
        </w:rPr>
        <w:t>Actigraphy Centrepoint Insight monitor</w:t>
      </w:r>
      <w:r w:rsidRPr="007D0810">
        <w:rPr>
          <w:rFonts w:ascii="Times New Roman" w:eastAsia="Calibri" w:hAnsi="Times New Roman" w:cs="Times New Roman"/>
          <w:noProof/>
          <w:sz w:val="24"/>
          <w:szCs w:val="24"/>
        </w:rPr>
        <w:t>.</w:t>
      </w:r>
      <w:r w:rsidRPr="007D0810">
        <w:rPr>
          <w:rFonts w:ascii="Times New Roman" w:hAnsi="Times New Roman" w:cs="Times New Roman"/>
          <w:noProof/>
          <w:sz w:val="24"/>
          <w:szCs w:val="24"/>
        </w:rPr>
        <w:tab/>
      </w:r>
      <w:r w:rsidR="008666FA">
        <w:rPr>
          <w:rFonts w:ascii="Times New Roman" w:hAnsi="Times New Roman" w:cs="Times New Roman"/>
          <w:noProof/>
          <w:sz w:val="24"/>
          <w:szCs w:val="24"/>
        </w:rPr>
        <w:t>7</w:t>
      </w:r>
      <w:r w:rsidR="00815F97">
        <w:rPr>
          <w:rFonts w:ascii="Times New Roman" w:hAnsi="Times New Roman" w:cs="Times New Roman"/>
          <w:noProof/>
          <w:sz w:val="24"/>
          <w:szCs w:val="24"/>
        </w:rPr>
        <w:t>8</w:t>
      </w:r>
    </w:p>
    <w:p w14:paraId="4DEC52A7" w14:textId="71558902" w:rsidR="00365ADA" w:rsidRPr="002F0F53"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2F0F53">
        <w:rPr>
          <w:rFonts w:ascii="Times New Roman" w:hAnsi="Times New Roman" w:cs="Times New Roman"/>
          <w:noProof/>
          <w:sz w:val="24"/>
          <w:szCs w:val="24"/>
        </w:rPr>
        <w:t xml:space="preserve">Figure 4.1. </w:t>
      </w:r>
      <w:r w:rsidRPr="002F0F53">
        <w:rPr>
          <w:rFonts w:ascii="Times New Roman" w:eastAsia="Calibri" w:hAnsi="Times New Roman" w:cs="Times New Roman"/>
          <w:noProof/>
          <w:sz w:val="24"/>
          <w:szCs w:val="24"/>
        </w:rPr>
        <w:t>Dendrogram of the hierarchical cluster analysis using the Ward linkage method for the time of last eating episode performed by 256 participants. The participants are clearly divided into two groups (early vs late eaters).</w:t>
      </w:r>
      <w:r w:rsidRPr="002F0F53">
        <w:rPr>
          <w:rFonts w:ascii="Times New Roman" w:hAnsi="Times New Roman" w:cs="Times New Roman"/>
          <w:noProof/>
          <w:sz w:val="24"/>
          <w:szCs w:val="24"/>
        </w:rPr>
        <w:tab/>
      </w:r>
      <w:r w:rsidR="006D0A6A">
        <w:rPr>
          <w:rFonts w:ascii="Times New Roman" w:hAnsi="Times New Roman" w:cs="Times New Roman"/>
          <w:noProof/>
          <w:sz w:val="24"/>
          <w:szCs w:val="24"/>
        </w:rPr>
        <w:t>101</w:t>
      </w:r>
    </w:p>
    <w:p w14:paraId="7E2BBFC8" w14:textId="41332DDD" w:rsidR="00365ADA" w:rsidRPr="002F0F53"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2F0F53">
        <w:rPr>
          <w:rFonts w:ascii="Times New Roman" w:hAnsi="Times New Roman" w:cs="Times New Roman"/>
          <w:noProof/>
          <w:sz w:val="24"/>
          <w:szCs w:val="24"/>
        </w:rPr>
        <w:t>Figure 5.1</w:t>
      </w:r>
      <w:r w:rsidRPr="002F0F53">
        <w:rPr>
          <w:rFonts w:ascii="Times New Roman" w:eastAsia="Calibri" w:hAnsi="Times New Roman" w:cs="Times New Roman"/>
          <w:noProof/>
          <w:sz w:val="24"/>
          <w:szCs w:val="24"/>
        </w:rPr>
        <w:t>. Design Overview.</w:t>
      </w:r>
      <w:r w:rsidRPr="002F0F53">
        <w:rPr>
          <w:rFonts w:ascii="Times New Roman" w:hAnsi="Times New Roman" w:cs="Times New Roman"/>
          <w:noProof/>
          <w:sz w:val="24"/>
          <w:szCs w:val="24"/>
        </w:rPr>
        <w:tab/>
      </w:r>
      <w:r w:rsidR="008666FA">
        <w:rPr>
          <w:rFonts w:ascii="Times New Roman" w:hAnsi="Times New Roman" w:cs="Times New Roman"/>
          <w:noProof/>
          <w:sz w:val="24"/>
          <w:szCs w:val="24"/>
        </w:rPr>
        <w:t>12</w:t>
      </w:r>
      <w:r w:rsidR="006D0A6A">
        <w:rPr>
          <w:rFonts w:ascii="Times New Roman" w:hAnsi="Times New Roman" w:cs="Times New Roman"/>
          <w:noProof/>
          <w:sz w:val="24"/>
          <w:szCs w:val="24"/>
        </w:rPr>
        <w:t>4</w:t>
      </w:r>
    </w:p>
    <w:p w14:paraId="6F696A2B" w14:textId="77777777" w:rsidR="00365ADA" w:rsidRDefault="00365ADA" w:rsidP="00365ADA">
      <w:pPr>
        <w:pStyle w:val="Heading2"/>
        <w:spacing w:line="480" w:lineRule="auto"/>
        <w:rPr>
          <w:noProof/>
        </w:rPr>
      </w:pPr>
      <w:r w:rsidRPr="002F0F53">
        <w:rPr>
          <w:rFonts w:ascii="Times New Roman" w:hAnsi="Times New Roman" w:cs="Times New Roman"/>
          <w:sz w:val="24"/>
          <w:szCs w:val="24"/>
        </w:rPr>
        <w:fldChar w:fldCharType="end"/>
      </w:r>
      <w:r w:rsidRPr="00D92867">
        <w:br w:type="page"/>
      </w:r>
      <w:bookmarkStart w:id="6" w:name="_Toc171927093"/>
      <w:bookmarkStart w:id="7" w:name="_Toc172984765"/>
      <w:r w:rsidRPr="00EA77CF">
        <w:rPr>
          <w:rFonts w:ascii="Times New Roman" w:hAnsi="Times New Roman" w:cs="Times New Roman"/>
          <w:b/>
          <w:bCs/>
          <w:sz w:val="28"/>
          <w:szCs w:val="28"/>
        </w:rPr>
        <w:lastRenderedPageBreak/>
        <w:t>Tables</w:t>
      </w:r>
      <w:bookmarkEnd w:id="6"/>
      <w:bookmarkEnd w:id="7"/>
      <w:r w:rsidRPr="002F0F53">
        <w:rPr>
          <w:rFonts w:ascii="Times New Roman" w:hAnsi="Times New Roman" w:cs="Times New Roman"/>
          <w:sz w:val="24"/>
          <w:szCs w:val="24"/>
        </w:rPr>
        <w:fldChar w:fldCharType="begin"/>
      </w:r>
      <w:r w:rsidRPr="002F0F53">
        <w:rPr>
          <w:rFonts w:ascii="Times New Roman" w:hAnsi="Times New Roman" w:cs="Times New Roman"/>
          <w:sz w:val="24"/>
          <w:szCs w:val="24"/>
        </w:rPr>
        <w:instrText xml:space="preserve"> TOC \t "Caption" \c </w:instrText>
      </w:r>
      <w:r w:rsidRPr="002F0F53">
        <w:rPr>
          <w:rFonts w:ascii="Times New Roman" w:hAnsi="Times New Roman" w:cs="Times New Roman"/>
          <w:sz w:val="24"/>
          <w:szCs w:val="24"/>
        </w:rPr>
        <w:fldChar w:fldCharType="separate"/>
      </w:r>
    </w:p>
    <w:p w14:paraId="69AD8B14" w14:textId="7E251547"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2.1. </w:t>
      </w:r>
      <w:r w:rsidRPr="007D0810">
        <w:rPr>
          <w:rFonts w:ascii="Times New Roman" w:eastAsia="Calibri" w:hAnsi="Times New Roman" w:cs="Times New Roman"/>
          <w:noProof/>
          <w:sz w:val="24"/>
          <w:szCs w:val="24"/>
        </w:rPr>
        <w:t>Summary of meal timing literature.</w:t>
      </w:r>
      <w:r w:rsidRPr="007D0810">
        <w:rPr>
          <w:rFonts w:ascii="Times New Roman" w:hAnsi="Times New Roman" w:cs="Times New Roman"/>
          <w:noProof/>
          <w:sz w:val="24"/>
          <w:szCs w:val="24"/>
        </w:rPr>
        <w:tab/>
      </w:r>
      <w:r w:rsidRPr="007D0810">
        <w:rPr>
          <w:rFonts w:ascii="Times New Roman" w:hAnsi="Times New Roman" w:cs="Times New Roman"/>
          <w:noProof/>
          <w:sz w:val="24"/>
          <w:szCs w:val="24"/>
        </w:rPr>
        <w:fldChar w:fldCharType="begin"/>
      </w:r>
      <w:r w:rsidRPr="007D0810">
        <w:rPr>
          <w:rFonts w:ascii="Times New Roman" w:hAnsi="Times New Roman" w:cs="Times New Roman"/>
          <w:noProof/>
          <w:sz w:val="24"/>
          <w:szCs w:val="24"/>
        </w:rPr>
        <w:instrText xml:space="preserve"> PAGEREF _Toc171926904 \h </w:instrText>
      </w:r>
      <w:r w:rsidRPr="007D0810">
        <w:rPr>
          <w:rFonts w:ascii="Times New Roman" w:hAnsi="Times New Roman" w:cs="Times New Roman"/>
          <w:noProof/>
          <w:sz w:val="24"/>
          <w:szCs w:val="24"/>
        </w:rPr>
      </w:r>
      <w:r w:rsidRPr="007D0810">
        <w:rPr>
          <w:rFonts w:ascii="Times New Roman" w:hAnsi="Times New Roman" w:cs="Times New Roman"/>
          <w:noProof/>
          <w:sz w:val="24"/>
          <w:szCs w:val="24"/>
        </w:rPr>
        <w:fldChar w:fldCharType="separate"/>
      </w:r>
      <w:r w:rsidRPr="007D0810">
        <w:rPr>
          <w:rFonts w:ascii="Times New Roman" w:hAnsi="Times New Roman" w:cs="Times New Roman"/>
          <w:noProof/>
          <w:sz w:val="24"/>
          <w:szCs w:val="24"/>
        </w:rPr>
        <w:t>4</w:t>
      </w:r>
      <w:r w:rsidR="006D0A6A">
        <w:rPr>
          <w:rFonts w:ascii="Times New Roman" w:hAnsi="Times New Roman" w:cs="Times New Roman"/>
          <w:noProof/>
          <w:sz w:val="24"/>
          <w:szCs w:val="24"/>
        </w:rPr>
        <w:t>5</w:t>
      </w:r>
      <w:r w:rsidRPr="007D0810">
        <w:rPr>
          <w:rFonts w:ascii="Times New Roman" w:hAnsi="Times New Roman" w:cs="Times New Roman"/>
          <w:noProof/>
          <w:sz w:val="24"/>
          <w:szCs w:val="24"/>
        </w:rPr>
        <w:fldChar w:fldCharType="end"/>
      </w:r>
    </w:p>
    <w:p w14:paraId="41BD79BF" w14:textId="5741D767"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2.2. </w:t>
      </w:r>
      <w:r w:rsidRPr="007D0810">
        <w:rPr>
          <w:rFonts w:ascii="Times New Roman" w:eastAsia="Calibri" w:hAnsi="Times New Roman" w:cs="Times New Roman"/>
          <w:noProof/>
          <w:sz w:val="24"/>
          <w:szCs w:val="24"/>
        </w:rPr>
        <w:t>Gaps identified in the literature</w:t>
      </w:r>
      <w:r w:rsidRPr="007D0810">
        <w:rPr>
          <w:rFonts w:ascii="Times New Roman" w:eastAsia="Microsoft YaHei" w:hAnsi="Times New Roman" w:cs="Times New Roman"/>
          <w:noProof/>
          <w:sz w:val="24"/>
          <w:szCs w:val="24"/>
        </w:rPr>
        <w:t>.</w:t>
      </w:r>
      <w:r w:rsidRPr="007D0810">
        <w:rPr>
          <w:rFonts w:ascii="Times New Roman" w:hAnsi="Times New Roman" w:cs="Times New Roman"/>
          <w:noProof/>
          <w:sz w:val="24"/>
          <w:szCs w:val="24"/>
        </w:rPr>
        <w:tab/>
      </w:r>
      <w:r w:rsidR="006D0A6A">
        <w:rPr>
          <w:rFonts w:ascii="Times New Roman" w:hAnsi="Times New Roman" w:cs="Times New Roman"/>
          <w:noProof/>
          <w:sz w:val="24"/>
          <w:szCs w:val="24"/>
        </w:rPr>
        <w:t>60</w:t>
      </w:r>
    </w:p>
    <w:p w14:paraId="1CF47B6A" w14:textId="01111263"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Table 3.1</w:t>
      </w:r>
      <w:r w:rsidRPr="007D0810">
        <w:rPr>
          <w:rFonts w:ascii="Times New Roman" w:eastAsia="Calibri" w:hAnsi="Times New Roman" w:cs="Times New Roman"/>
          <w:noProof/>
          <w:sz w:val="24"/>
          <w:szCs w:val="24"/>
        </w:rPr>
        <w:t>. Summary of methods used throughout the thesis.</w:t>
      </w:r>
      <w:r w:rsidRPr="007D0810">
        <w:rPr>
          <w:rFonts w:ascii="Times New Roman" w:hAnsi="Times New Roman" w:cs="Times New Roman"/>
          <w:noProof/>
          <w:sz w:val="24"/>
          <w:szCs w:val="24"/>
        </w:rPr>
        <w:tab/>
      </w:r>
      <w:r w:rsidR="006D0A6A">
        <w:rPr>
          <w:rFonts w:ascii="Times New Roman" w:hAnsi="Times New Roman" w:cs="Times New Roman"/>
          <w:noProof/>
          <w:sz w:val="24"/>
          <w:szCs w:val="24"/>
        </w:rPr>
        <w:t>61</w:t>
      </w:r>
    </w:p>
    <w:p w14:paraId="36CEB72C" w14:textId="66234A62"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Table 4.1</w:t>
      </w:r>
      <w:r w:rsidRPr="007D0810">
        <w:rPr>
          <w:rFonts w:ascii="Times New Roman" w:eastAsia="Calibri" w:hAnsi="Times New Roman" w:cs="Times New Roman"/>
          <w:noProof/>
          <w:sz w:val="24"/>
          <w:szCs w:val="24"/>
        </w:rPr>
        <w:t>. Participant characteristics.</w:t>
      </w:r>
      <w:r w:rsidRPr="007D0810">
        <w:rPr>
          <w:rFonts w:ascii="Times New Roman" w:hAnsi="Times New Roman" w:cs="Times New Roman"/>
          <w:noProof/>
          <w:sz w:val="24"/>
          <w:szCs w:val="24"/>
        </w:rPr>
        <w:tab/>
      </w:r>
      <w:r w:rsidR="004B39B8">
        <w:rPr>
          <w:rFonts w:ascii="Times New Roman" w:hAnsi="Times New Roman" w:cs="Times New Roman"/>
          <w:noProof/>
          <w:sz w:val="24"/>
          <w:szCs w:val="24"/>
        </w:rPr>
        <w:t>9</w:t>
      </w:r>
      <w:r w:rsidR="006D0A6A">
        <w:rPr>
          <w:rFonts w:ascii="Times New Roman" w:hAnsi="Times New Roman" w:cs="Times New Roman"/>
          <w:noProof/>
          <w:sz w:val="24"/>
          <w:szCs w:val="24"/>
        </w:rPr>
        <w:t>7</w:t>
      </w:r>
    </w:p>
    <w:p w14:paraId="3355D66C" w14:textId="003D2AA8"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4.2. </w:t>
      </w:r>
      <w:r w:rsidRPr="007D0810">
        <w:rPr>
          <w:rFonts w:ascii="Times New Roman" w:eastAsia="Calibri" w:hAnsi="Times New Roman" w:cs="Times New Roman"/>
          <w:noProof/>
          <w:sz w:val="24"/>
          <w:szCs w:val="24"/>
        </w:rPr>
        <w:t>Correlations between BMI, meal timing, meal pattern and eating behaviour traits.</w:t>
      </w:r>
      <w:r w:rsidRPr="007D0810">
        <w:rPr>
          <w:rFonts w:ascii="Times New Roman" w:hAnsi="Times New Roman" w:cs="Times New Roman"/>
          <w:noProof/>
          <w:sz w:val="24"/>
          <w:szCs w:val="24"/>
        </w:rPr>
        <w:tab/>
      </w:r>
      <w:r w:rsidR="004B39B8">
        <w:rPr>
          <w:rFonts w:ascii="Times New Roman" w:hAnsi="Times New Roman" w:cs="Times New Roman"/>
          <w:noProof/>
          <w:sz w:val="24"/>
          <w:szCs w:val="24"/>
        </w:rPr>
        <w:t>9</w:t>
      </w:r>
      <w:r w:rsidR="006D0A6A">
        <w:rPr>
          <w:rFonts w:ascii="Times New Roman" w:hAnsi="Times New Roman" w:cs="Times New Roman"/>
          <w:noProof/>
          <w:sz w:val="24"/>
          <w:szCs w:val="24"/>
        </w:rPr>
        <w:t>9</w:t>
      </w:r>
    </w:p>
    <w:p w14:paraId="1852983C" w14:textId="13690E48"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4.3. </w:t>
      </w:r>
      <w:r w:rsidRPr="007D0810">
        <w:rPr>
          <w:rFonts w:ascii="Times New Roman" w:eastAsia="Calibri" w:hAnsi="Times New Roman" w:cs="Times New Roman"/>
          <w:noProof/>
          <w:sz w:val="24"/>
          <w:szCs w:val="24"/>
        </w:rPr>
        <w:t>Comparison of eating behaviour traits between early and late eaters.</w:t>
      </w:r>
      <w:r w:rsidRPr="007D0810">
        <w:rPr>
          <w:rFonts w:ascii="Times New Roman" w:hAnsi="Times New Roman" w:cs="Times New Roman"/>
          <w:noProof/>
          <w:sz w:val="24"/>
          <w:szCs w:val="24"/>
        </w:rPr>
        <w:tab/>
      </w:r>
      <w:r w:rsidR="006D0A6A">
        <w:rPr>
          <w:rFonts w:ascii="Times New Roman" w:hAnsi="Times New Roman" w:cs="Times New Roman"/>
          <w:noProof/>
          <w:sz w:val="24"/>
          <w:szCs w:val="24"/>
        </w:rPr>
        <w:t>102</w:t>
      </w:r>
    </w:p>
    <w:p w14:paraId="33A7073F" w14:textId="2C6F9226"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4.4. </w:t>
      </w:r>
      <w:r w:rsidRPr="007D0810">
        <w:rPr>
          <w:rFonts w:ascii="Times New Roman" w:eastAsia="Calibri" w:hAnsi="Times New Roman" w:cs="Times New Roman"/>
          <w:noProof/>
          <w:sz w:val="24"/>
          <w:szCs w:val="24"/>
        </w:rPr>
        <w:t>Comparison of eating behaviour traits between early and late eaters.</w:t>
      </w:r>
      <w:r w:rsidRPr="007D0810">
        <w:rPr>
          <w:rFonts w:ascii="Times New Roman" w:hAnsi="Times New Roman" w:cs="Times New Roman"/>
          <w:noProof/>
          <w:sz w:val="24"/>
          <w:szCs w:val="24"/>
        </w:rPr>
        <w:tab/>
      </w:r>
      <w:r w:rsidR="000223D7">
        <w:rPr>
          <w:rFonts w:ascii="Times New Roman" w:hAnsi="Times New Roman" w:cs="Times New Roman"/>
          <w:noProof/>
          <w:sz w:val="24"/>
          <w:szCs w:val="24"/>
        </w:rPr>
        <w:t>10</w:t>
      </w:r>
      <w:r w:rsidR="006D0A6A">
        <w:rPr>
          <w:rFonts w:ascii="Times New Roman" w:hAnsi="Times New Roman" w:cs="Times New Roman"/>
          <w:noProof/>
          <w:sz w:val="24"/>
          <w:szCs w:val="24"/>
        </w:rPr>
        <w:t>3</w:t>
      </w:r>
    </w:p>
    <w:p w14:paraId="29CDC05F" w14:textId="5EC89090"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4.5. </w:t>
      </w:r>
      <w:r w:rsidRPr="007D0810">
        <w:rPr>
          <w:rFonts w:ascii="Times New Roman" w:eastAsia="Calibri" w:hAnsi="Times New Roman" w:cs="Times New Roman"/>
          <w:bCs/>
          <w:noProof/>
          <w:sz w:val="24"/>
          <w:szCs w:val="24"/>
        </w:rPr>
        <w:t>Comparison of eating behaviour traits in meal chaotic eating groups.</w:t>
      </w:r>
      <w:r w:rsidRPr="007D0810">
        <w:rPr>
          <w:rFonts w:ascii="Times New Roman" w:hAnsi="Times New Roman" w:cs="Times New Roman"/>
          <w:noProof/>
          <w:sz w:val="24"/>
          <w:szCs w:val="24"/>
        </w:rPr>
        <w:tab/>
      </w:r>
      <w:r w:rsidR="000223D7">
        <w:rPr>
          <w:rFonts w:ascii="Times New Roman" w:hAnsi="Times New Roman" w:cs="Times New Roman"/>
          <w:noProof/>
          <w:sz w:val="24"/>
          <w:szCs w:val="24"/>
        </w:rPr>
        <w:t>10</w:t>
      </w:r>
      <w:r w:rsidR="006D0A6A">
        <w:rPr>
          <w:rFonts w:ascii="Times New Roman" w:hAnsi="Times New Roman" w:cs="Times New Roman"/>
          <w:noProof/>
          <w:sz w:val="24"/>
          <w:szCs w:val="24"/>
        </w:rPr>
        <w:t>4</w:t>
      </w:r>
    </w:p>
    <w:p w14:paraId="5559D719" w14:textId="0596F775"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Table 4.6</w:t>
      </w:r>
      <w:r w:rsidRPr="007D0810">
        <w:rPr>
          <w:rFonts w:ascii="Times New Roman" w:eastAsia="Calibri" w:hAnsi="Times New Roman" w:cs="Times New Roman"/>
          <w:bCs/>
          <w:noProof/>
          <w:sz w:val="24"/>
          <w:szCs w:val="24"/>
        </w:rPr>
        <w:t>. Comparison of health behaviours in meal chaotic eating groups.</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10</w:t>
      </w:r>
      <w:r w:rsidR="006D0A6A">
        <w:rPr>
          <w:rFonts w:ascii="Times New Roman" w:hAnsi="Times New Roman" w:cs="Times New Roman"/>
          <w:noProof/>
          <w:sz w:val="24"/>
          <w:szCs w:val="24"/>
        </w:rPr>
        <w:t>5</w:t>
      </w:r>
    </w:p>
    <w:p w14:paraId="2A846E72" w14:textId="13B302C5"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5.1. </w:t>
      </w:r>
      <w:r w:rsidRPr="007D0810">
        <w:rPr>
          <w:rFonts w:ascii="Times New Roman" w:eastAsia="Calibri" w:hAnsi="Times New Roman" w:cs="Times New Roman"/>
          <w:bCs/>
          <w:noProof/>
          <w:sz w:val="24"/>
          <w:szCs w:val="24"/>
        </w:rPr>
        <w:t>Measures collected during the on-site screening and during trial</w:t>
      </w:r>
      <w:r w:rsidRPr="007D0810">
        <w:rPr>
          <w:rFonts w:ascii="Times New Roman" w:eastAsia="Microsoft YaHei" w:hAnsi="Times New Roman" w:cs="Times New Roman"/>
          <w:bCs/>
          <w:noProof/>
          <w:sz w:val="24"/>
          <w:szCs w:val="24"/>
        </w:rPr>
        <w:t>.</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12</w:t>
      </w:r>
      <w:r w:rsidR="006D0A6A">
        <w:rPr>
          <w:rFonts w:ascii="Times New Roman" w:hAnsi="Times New Roman" w:cs="Times New Roman"/>
          <w:noProof/>
          <w:sz w:val="24"/>
          <w:szCs w:val="24"/>
        </w:rPr>
        <w:t>6</w:t>
      </w:r>
    </w:p>
    <w:p w14:paraId="358DDD76" w14:textId="642D8D65"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5.2. </w:t>
      </w:r>
      <w:r w:rsidRPr="007D0810">
        <w:rPr>
          <w:rFonts w:ascii="Times New Roman" w:eastAsia="Calibri" w:hAnsi="Times New Roman" w:cs="Times New Roman"/>
          <w:noProof/>
          <w:sz w:val="24"/>
          <w:szCs w:val="24"/>
        </w:rPr>
        <w:t>Participant characteristics.</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w:t>
      </w:r>
      <w:r w:rsidR="006D0A6A">
        <w:rPr>
          <w:rFonts w:ascii="Times New Roman" w:hAnsi="Times New Roman" w:cs="Times New Roman"/>
          <w:noProof/>
          <w:sz w:val="24"/>
          <w:szCs w:val="24"/>
        </w:rPr>
        <w:t>32</w:t>
      </w:r>
    </w:p>
    <w:p w14:paraId="1E75CDBD" w14:textId="1BD7A2CF"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Table 5.3</w:t>
      </w:r>
      <w:r w:rsidRPr="007D0810">
        <w:rPr>
          <w:rFonts w:ascii="Times New Roman" w:eastAsia="Calibri" w:hAnsi="Times New Roman" w:cs="Times New Roman"/>
          <w:noProof/>
          <w:sz w:val="24"/>
          <w:szCs w:val="24"/>
        </w:rPr>
        <w:t>. Correlations between BMI, meal timing and eating behaviour traits.</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13</w:t>
      </w:r>
      <w:r w:rsidR="006D0A6A">
        <w:rPr>
          <w:rFonts w:ascii="Times New Roman" w:hAnsi="Times New Roman" w:cs="Times New Roman"/>
          <w:noProof/>
          <w:sz w:val="24"/>
          <w:szCs w:val="24"/>
        </w:rPr>
        <w:t>5</w:t>
      </w:r>
    </w:p>
    <w:p w14:paraId="28628548" w14:textId="6499E482"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5.4. </w:t>
      </w:r>
      <w:r w:rsidRPr="007D0810">
        <w:rPr>
          <w:rFonts w:ascii="Times New Roman" w:eastAsia="Calibri" w:hAnsi="Times New Roman" w:cs="Times New Roman"/>
          <w:noProof/>
          <w:sz w:val="24"/>
          <w:szCs w:val="24"/>
        </w:rPr>
        <w:t>Comparison of eating behaviour traits in early vs late eaters.</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13</w:t>
      </w:r>
      <w:r w:rsidR="006D0A6A">
        <w:rPr>
          <w:rFonts w:ascii="Times New Roman" w:hAnsi="Times New Roman" w:cs="Times New Roman"/>
          <w:noProof/>
          <w:sz w:val="24"/>
          <w:szCs w:val="24"/>
        </w:rPr>
        <w:t>6</w:t>
      </w:r>
    </w:p>
    <w:p w14:paraId="669FE8C8" w14:textId="7C5CF743"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5.5. </w:t>
      </w:r>
      <w:r w:rsidRPr="007D0810">
        <w:rPr>
          <w:rFonts w:ascii="Times New Roman" w:eastAsia="Calibri" w:hAnsi="Times New Roman" w:cs="Times New Roman"/>
          <w:noProof/>
          <w:sz w:val="24"/>
          <w:szCs w:val="24"/>
        </w:rPr>
        <w:t>Correlations between BMI, meal timing and health behaviours.</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13</w:t>
      </w:r>
      <w:r w:rsidR="006D0A6A">
        <w:rPr>
          <w:rFonts w:ascii="Times New Roman" w:hAnsi="Times New Roman" w:cs="Times New Roman"/>
          <w:noProof/>
          <w:sz w:val="24"/>
          <w:szCs w:val="24"/>
        </w:rPr>
        <w:t>8</w:t>
      </w:r>
    </w:p>
    <w:p w14:paraId="1FB22164" w14:textId="6D1EC535"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5.6. </w:t>
      </w:r>
      <w:r w:rsidRPr="007D0810">
        <w:rPr>
          <w:rFonts w:ascii="Times New Roman" w:eastAsia="Calibri" w:hAnsi="Times New Roman" w:cs="Times New Roman"/>
          <w:noProof/>
          <w:sz w:val="24"/>
          <w:szCs w:val="24"/>
        </w:rPr>
        <w:t>Comparison of BMI and eating behaviour traits in early versus late eaters.</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13</w:t>
      </w:r>
      <w:r w:rsidR="006D0A6A">
        <w:rPr>
          <w:rFonts w:ascii="Times New Roman" w:hAnsi="Times New Roman" w:cs="Times New Roman"/>
          <w:noProof/>
          <w:sz w:val="24"/>
          <w:szCs w:val="24"/>
        </w:rPr>
        <w:t>9</w:t>
      </w:r>
    </w:p>
    <w:p w14:paraId="0FB7BFEA" w14:textId="497E230C"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Table 6.1</w:t>
      </w:r>
      <w:r w:rsidRPr="007D0810">
        <w:rPr>
          <w:rFonts w:ascii="Times New Roman" w:eastAsia="Times New Roman" w:hAnsi="Times New Roman" w:cs="Times New Roman"/>
          <w:noProof/>
          <w:sz w:val="24"/>
          <w:szCs w:val="24"/>
        </w:rPr>
        <w:t>. Participant characteristics.</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15</w:t>
      </w:r>
      <w:r w:rsidR="006D0A6A">
        <w:rPr>
          <w:rFonts w:ascii="Times New Roman" w:hAnsi="Times New Roman" w:cs="Times New Roman"/>
          <w:noProof/>
          <w:sz w:val="24"/>
          <w:szCs w:val="24"/>
        </w:rPr>
        <w:t>8</w:t>
      </w:r>
    </w:p>
    <w:p w14:paraId="174A2B88" w14:textId="0D895817"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Table 6.2</w:t>
      </w:r>
      <w:r w:rsidRPr="007D0810">
        <w:rPr>
          <w:rFonts w:ascii="Times New Roman" w:eastAsia="Times New Roman" w:hAnsi="Times New Roman" w:cs="Times New Roman"/>
          <w:noProof/>
          <w:sz w:val="24"/>
          <w:szCs w:val="24"/>
        </w:rPr>
        <w:t>. Themes, sub-themes and example quotes of factors contributing to late evening eating.</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16</w:t>
      </w:r>
      <w:r w:rsidR="006D0A6A">
        <w:rPr>
          <w:rFonts w:ascii="Times New Roman" w:hAnsi="Times New Roman" w:cs="Times New Roman"/>
          <w:noProof/>
          <w:sz w:val="24"/>
          <w:szCs w:val="24"/>
        </w:rPr>
        <w:t>6</w:t>
      </w:r>
    </w:p>
    <w:p w14:paraId="1374CABD" w14:textId="26112FA2" w:rsidR="00365ADA" w:rsidRPr="007D0810" w:rsidRDefault="00365ADA" w:rsidP="00365ADA">
      <w:pPr>
        <w:pStyle w:val="TableofFigures"/>
        <w:tabs>
          <w:tab w:val="right" w:leader="dot" w:pos="9019"/>
        </w:tabs>
        <w:spacing w:line="480" w:lineRule="auto"/>
        <w:rPr>
          <w:rFonts w:ascii="Times New Roman" w:eastAsiaTheme="minorEastAsia" w:hAnsi="Times New Roman" w:cs="Times New Roman"/>
          <w:noProof/>
          <w:sz w:val="24"/>
          <w:szCs w:val="24"/>
        </w:rPr>
      </w:pPr>
      <w:r w:rsidRPr="007D0810">
        <w:rPr>
          <w:rFonts w:ascii="Times New Roman" w:hAnsi="Times New Roman" w:cs="Times New Roman"/>
          <w:noProof/>
          <w:sz w:val="24"/>
          <w:szCs w:val="24"/>
        </w:rPr>
        <w:t xml:space="preserve">Table 6.3. </w:t>
      </w:r>
      <w:r w:rsidRPr="007D0810">
        <w:rPr>
          <w:rFonts w:ascii="Times New Roman" w:eastAsia="Times New Roman" w:hAnsi="Times New Roman" w:cs="Times New Roman"/>
          <w:noProof/>
          <w:sz w:val="24"/>
          <w:szCs w:val="24"/>
        </w:rPr>
        <w:t>COM-B analysis of the barriers and enablers of changing to earlier eating timings.</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w:t>
      </w:r>
      <w:r w:rsidR="006D0A6A">
        <w:rPr>
          <w:rFonts w:ascii="Times New Roman" w:hAnsi="Times New Roman" w:cs="Times New Roman"/>
          <w:noProof/>
          <w:sz w:val="24"/>
          <w:szCs w:val="24"/>
        </w:rPr>
        <w:t>70</w:t>
      </w:r>
    </w:p>
    <w:p w14:paraId="02926F55" w14:textId="1964DAB9" w:rsidR="00365ADA" w:rsidRDefault="00365ADA" w:rsidP="00365ADA">
      <w:pPr>
        <w:pStyle w:val="TableofFigures"/>
        <w:tabs>
          <w:tab w:val="right" w:leader="dot" w:pos="9019"/>
        </w:tabs>
        <w:spacing w:line="480" w:lineRule="auto"/>
        <w:rPr>
          <w:rFonts w:ascii="Times New Roman" w:hAnsi="Times New Roman" w:cs="Times New Roman"/>
          <w:noProof/>
          <w:sz w:val="24"/>
          <w:szCs w:val="24"/>
        </w:rPr>
        <w:sectPr w:rsidR="00365ADA" w:rsidSect="00EA630B">
          <w:footerReference w:type="default" r:id="rId11"/>
          <w:pgSz w:w="11909" w:h="16834"/>
          <w:pgMar w:top="1440" w:right="1440" w:bottom="1440" w:left="1440" w:header="720" w:footer="720" w:gutter="0"/>
          <w:pgNumType w:fmt="lowerRoman" w:start="1"/>
          <w:cols w:space="720"/>
        </w:sectPr>
      </w:pPr>
      <w:r w:rsidRPr="007D0810">
        <w:rPr>
          <w:rFonts w:ascii="Times New Roman" w:hAnsi="Times New Roman" w:cs="Times New Roman"/>
          <w:noProof/>
          <w:sz w:val="24"/>
          <w:szCs w:val="24"/>
        </w:rPr>
        <w:t>Table 7.1. Summary of research findings.</w:t>
      </w:r>
      <w:r w:rsidRPr="007D0810">
        <w:rPr>
          <w:rFonts w:ascii="Times New Roman" w:hAnsi="Times New Roman" w:cs="Times New Roman"/>
          <w:noProof/>
          <w:sz w:val="24"/>
          <w:szCs w:val="24"/>
        </w:rPr>
        <w:tab/>
      </w:r>
      <w:r w:rsidR="00404B3A">
        <w:rPr>
          <w:rFonts w:ascii="Times New Roman" w:hAnsi="Times New Roman" w:cs="Times New Roman"/>
          <w:noProof/>
          <w:sz w:val="24"/>
          <w:szCs w:val="24"/>
        </w:rPr>
        <w:t>1</w:t>
      </w:r>
      <w:r w:rsidR="000223D7">
        <w:rPr>
          <w:rFonts w:ascii="Times New Roman" w:hAnsi="Times New Roman" w:cs="Times New Roman"/>
          <w:noProof/>
          <w:sz w:val="24"/>
          <w:szCs w:val="24"/>
        </w:rPr>
        <w:t>9</w:t>
      </w:r>
      <w:r w:rsidR="006D0A6A">
        <w:rPr>
          <w:rFonts w:ascii="Times New Roman" w:hAnsi="Times New Roman" w:cs="Times New Roman"/>
          <w:noProof/>
          <w:sz w:val="24"/>
          <w:szCs w:val="24"/>
        </w:rPr>
        <w:t>4</w:t>
      </w:r>
    </w:p>
    <w:p w14:paraId="46C5CBF9" w14:textId="7B745D7B" w:rsidR="00365ADA" w:rsidRPr="007D0810" w:rsidRDefault="00365ADA" w:rsidP="00365ADA">
      <w:pPr>
        <w:pStyle w:val="Heading2"/>
        <w:spacing w:line="480" w:lineRule="auto"/>
        <w:rPr>
          <w:rFonts w:ascii="Times New Roman" w:hAnsi="Times New Roman" w:cs="Times New Roman"/>
          <w:b/>
          <w:bCs/>
          <w:sz w:val="28"/>
          <w:szCs w:val="28"/>
        </w:rPr>
      </w:pPr>
      <w:r w:rsidRPr="002F0F53">
        <w:rPr>
          <w:sz w:val="24"/>
          <w:szCs w:val="24"/>
        </w:rPr>
        <w:lastRenderedPageBreak/>
        <w:fldChar w:fldCharType="end"/>
      </w:r>
      <w:bookmarkStart w:id="8" w:name="_Toc171927094"/>
      <w:bookmarkStart w:id="9" w:name="_Toc172984766"/>
      <w:r w:rsidRPr="007D0810">
        <w:rPr>
          <w:rFonts w:ascii="Times New Roman" w:hAnsi="Times New Roman" w:cs="Times New Roman"/>
          <w:b/>
          <w:bCs/>
          <w:sz w:val="28"/>
          <w:szCs w:val="28"/>
        </w:rPr>
        <w:t>List of abbreviations</w:t>
      </w:r>
      <w:bookmarkEnd w:id="8"/>
      <w:bookmarkEnd w:id="9"/>
    </w:p>
    <w:p w14:paraId="2D2EDCDD" w14:textId="77777777" w:rsidR="00365ADA" w:rsidRPr="00D92867" w:rsidRDefault="00365ADA" w:rsidP="00365ADA">
      <w:pPr>
        <w:spacing w:line="240" w:lineRule="auto"/>
      </w:pPr>
    </w:p>
    <w:p w14:paraId="79DBC6C0"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ANCOVA</w:t>
      </w:r>
      <w:r w:rsidRPr="00D92867">
        <w:rPr>
          <w:rFonts w:ascii="Times New Roman" w:hAnsi="Times New Roman" w:cs="Times New Roman"/>
          <w:sz w:val="24"/>
          <w:szCs w:val="24"/>
        </w:rPr>
        <w:t>: Analysis of covariance</w:t>
      </w:r>
    </w:p>
    <w:p w14:paraId="7F64A3FD"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AEBQ</w:t>
      </w:r>
      <w:r w:rsidRPr="00D92867">
        <w:rPr>
          <w:rFonts w:ascii="Times New Roman" w:hAnsi="Times New Roman" w:cs="Times New Roman"/>
          <w:sz w:val="24"/>
          <w:szCs w:val="24"/>
        </w:rPr>
        <w:t>:  Adult Eating Behaviour Questionnaire (AEBQ)</w:t>
      </w:r>
    </w:p>
    <w:p w14:paraId="52F42502"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AEBQ - SR</w:t>
      </w:r>
      <w:r w:rsidRPr="00D92867">
        <w:rPr>
          <w:rFonts w:ascii="Times New Roman" w:hAnsi="Times New Roman" w:cs="Times New Roman"/>
          <w:sz w:val="24"/>
          <w:szCs w:val="24"/>
        </w:rPr>
        <w:t>: AEBQ - satiety responsiveness</w:t>
      </w:r>
    </w:p>
    <w:p w14:paraId="7B3CA08E"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AEBQ - EOE</w:t>
      </w:r>
      <w:r w:rsidRPr="00D92867">
        <w:rPr>
          <w:rFonts w:ascii="Times New Roman" w:hAnsi="Times New Roman" w:cs="Times New Roman"/>
          <w:sz w:val="24"/>
          <w:szCs w:val="24"/>
        </w:rPr>
        <w:t>: AEBQ - emotional overeating</w:t>
      </w:r>
    </w:p>
    <w:p w14:paraId="5FE857D4"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AEBQ - EUE</w:t>
      </w:r>
      <w:r w:rsidRPr="00D92867">
        <w:rPr>
          <w:rFonts w:ascii="Times New Roman" w:hAnsi="Times New Roman" w:cs="Times New Roman"/>
          <w:sz w:val="24"/>
          <w:szCs w:val="24"/>
        </w:rPr>
        <w:t>:  AEBQ - emotional undereating</w:t>
      </w:r>
    </w:p>
    <w:p w14:paraId="6F7E3DC0"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AEBQ - SE</w:t>
      </w:r>
      <w:r w:rsidRPr="00D92867">
        <w:rPr>
          <w:rFonts w:ascii="Times New Roman" w:hAnsi="Times New Roman" w:cs="Times New Roman"/>
          <w:sz w:val="24"/>
          <w:szCs w:val="24"/>
        </w:rPr>
        <w:t xml:space="preserve">: AEBQ - slowness in eating </w:t>
      </w:r>
    </w:p>
    <w:p w14:paraId="5913D181"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AEBQ - EF</w:t>
      </w:r>
      <w:r w:rsidRPr="00D92867">
        <w:rPr>
          <w:rFonts w:ascii="Times New Roman" w:hAnsi="Times New Roman" w:cs="Times New Roman"/>
          <w:sz w:val="24"/>
          <w:szCs w:val="24"/>
        </w:rPr>
        <w:t xml:space="preserve">: AEBQ - enjoyment of food </w:t>
      </w:r>
    </w:p>
    <w:p w14:paraId="68592B49"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AEBQ - FR</w:t>
      </w:r>
      <w:r w:rsidRPr="00D92867">
        <w:rPr>
          <w:rFonts w:ascii="Times New Roman" w:hAnsi="Times New Roman" w:cs="Times New Roman"/>
          <w:sz w:val="24"/>
          <w:szCs w:val="24"/>
        </w:rPr>
        <w:t xml:space="preserve">: AEBQ - food responsiveness </w:t>
      </w:r>
    </w:p>
    <w:p w14:paraId="3FDE7F2A"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BMI</w:t>
      </w:r>
      <w:r w:rsidRPr="00D92867">
        <w:rPr>
          <w:rFonts w:ascii="Times New Roman" w:hAnsi="Times New Roman" w:cs="Times New Roman"/>
          <w:sz w:val="24"/>
          <w:szCs w:val="24"/>
        </w:rPr>
        <w:t>: Body mass index</w:t>
      </w:r>
    </w:p>
    <w:p w14:paraId="55C13A75" w14:textId="77777777" w:rsidR="00365ADA" w:rsidRPr="00D92867" w:rsidRDefault="00365ADA" w:rsidP="00365ADA">
      <w:pPr>
        <w:spacing w:line="360" w:lineRule="auto"/>
        <w:rPr>
          <w:rFonts w:ascii="Times New Roman" w:hAnsi="Times New Roman" w:cs="Times New Roman"/>
          <w:sz w:val="24"/>
          <w:szCs w:val="24"/>
        </w:rPr>
      </w:pPr>
      <w:proofErr w:type="spellStart"/>
      <w:r w:rsidRPr="00D92867">
        <w:rPr>
          <w:rFonts w:ascii="Times New Roman" w:hAnsi="Times New Roman" w:cs="Times New Roman"/>
          <w:b/>
          <w:bCs/>
          <w:sz w:val="24"/>
          <w:szCs w:val="24"/>
        </w:rPr>
        <w:t>CoEQ</w:t>
      </w:r>
      <w:proofErr w:type="spellEnd"/>
      <w:r w:rsidRPr="00D92867">
        <w:rPr>
          <w:rFonts w:ascii="Times New Roman" w:hAnsi="Times New Roman" w:cs="Times New Roman"/>
          <w:sz w:val="24"/>
          <w:szCs w:val="24"/>
        </w:rPr>
        <w:t>: Control of Eating Questionnaire</w:t>
      </w:r>
    </w:p>
    <w:p w14:paraId="70EC904A" w14:textId="77777777" w:rsidR="00365ADA" w:rsidRPr="00D92867" w:rsidRDefault="00365ADA" w:rsidP="00365ADA">
      <w:pPr>
        <w:spacing w:line="360" w:lineRule="auto"/>
        <w:rPr>
          <w:rFonts w:ascii="Times New Roman" w:hAnsi="Times New Roman" w:cs="Times New Roman"/>
          <w:sz w:val="24"/>
          <w:szCs w:val="24"/>
        </w:rPr>
      </w:pPr>
      <w:proofErr w:type="spellStart"/>
      <w:r w:rsidRPr="00D92867">
        <w:rPr>
          <w:rFonts w:ascii="Times New Roman" w:hAnsi="Times New Roman" w:cs="Times New Roman"/>
          <w:b/>
          <w:bCs/>
          <w:sz w:val="24"/>
          <w:szCs w:val="24"/>
        </w:rPr>
        <w:t>CoEQ</w:t>
      </w:r>
      <w:proofErr w:type="spellEnd"/>
      <w:r w:rsidRPr="00D92867">
        <w:rPr>
          <w:rFonts w:ascii="Times New Roman" w:hAnsi="Times New Roman" w:cs="Times New Roman"/>
          <w:b/>
          <w:bCs/>
          <w:sz w:val="24"/>
          <w:szCs w:val="24"/>
        </w:rPr>
        <w:t xml:space="preserve"> - CC</w:t>
      </w:r>
      <w:r w:rsidRPr="00D92867">
        <w:rPr>
          <w:rFonts w:ascii="Times New Roman" w:hAnsi="Times New Roman" w:cs="Times New Roman"/>
          <w:sz w:val="24"/>
          <w:szCs w:val="24"/>
        </w:rPr>
        <w:t xml:space="preserve">: </w:t>
      </w:r>
      <w:proofErr w:type="spellStart"/>
      <w:r w:rsidRPr="00D92867">
        <w:rPr>
          <w:rFonts w:ascii="Times New Roman" w:hAnsi="Times New Roman" w:cs="Times New Roman"/>
          <w:sz w:val="24"/>
          <w:szCs w:val="24"/>
        </w:rPr>
        <w:t>CoEQ</w:t>
      </w:r>
      <w:proofErr w:type="spellEnd"/>
      <w:r w:rsidRPr="00D92867">
        <w:rPr>
          <w:rFonts w:ascii="Times New Roman" w:hAnsi="Times New Roman" w:cs="Times New Roman"/>
          <w:sz w:val="24"/>
          <w:szCs w:val="24"/>
        </w:rPr>
        <w:t xml:space="preserve"> - craving control </w:t>
      </w:r>
    </w:p>
    <w:p w14:paraId="3E685567"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DQS</w:t>
      </w:r>
      <w:r w:rsidRPr="00D92867">
        <w:rPr>
          <w:rFonts w:ascii="Times New Roman" w:hAnsi="Times New Roman" w:cs="Times New Roman"/>
          <w:sz w:val="24"/>
          <w:szCs w:val="24"/>
        </w:rPr>
        <w:t>: Dietary Quality Score</w:t>
      </w:r>
    </w:p>
    <w:p w14:paraId="43A12743"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DLW</w:t>
      </w:r>
      <w:r w:rsidRPr="00D92867">
        <w:rPr>
          <w:rFonts w:ascii="Times New Roman" w:hAnsi="Times New Roman" w:cs="Times New Roman"/>
          <w:sz w:val="24"/>
          <w:szCs w:val="24"/>
        </w:rPr>
        <w:t>: Doubly labelled water</w:t>
      </w:r>
    </w:p>
    <w:p w14:paraId="186BFCD3"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EEM</w:t>
      </w:r>
      <w:r w:rsidRPr="00D92867">
        <w:rPr>
          <w:rFonts w:ascii="Times New Roman" w:hAnsi="Times New Roman" w:cs="Times New Roman"/>
          <w:sz w:val="24"/>
          <w:szCs w:val="24"/>
        </w:rPr>
        <w:t>: Early evening meal group</w:t>
      </w:r>
    </w:p>
    <w:p w14:paraId="01CEE912"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ED</w:t>
      </w:r>
      <w:r w:rsidRPr="00D92867">
        <w:rPr>
          <w:rFonts w:ascii="Times New Roman" w:hAnsi="Times New Roman" w:cs="Times New Roman"/>
          <w:sz w:val="24"/>
          <w:szCs w:val="24"/>
        </w:rPr>
        <w:t>: Eating disorders</w:t>
      </w:r>
    </w:p>
    <w:p w14:paraId="79D016C6"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LED</w:t>
      </w:r>
      <w:r w:rsidRPr="00D92867">
        <w:rPr>
          <w:rFonts w:ascii="Times New Roman" w:hAnsi="Times New Roman" w:cs="Times New Roman"/>
          <w:sz w:val="24"/>
          <w:szCs w:val="24"/>
        </w:rPr>
        <w:t xml:space="preserve"> - Low energy density </w:t>
      </w:r>
    </w:p>
    <w:p w14:paraId="3F06B5D3"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LEM</w:t>
      </w:r>
      <w:r w:rsidRPr="00D92867">
        <w:rPr>
          <w:rFonts w:ascii="Times New Roman" w:hAnsi="Times New Roman" w:cs="Times New Roman"/>
          <w:sz w:val="24"/>
          <w:szCs w:val="24"/>
        </w:rPr>
        <w:t>: Late evening meal group</w:t>
      </w:r>
    </w:p>
    <w:p w14:paraId="7F7A2ED9"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IES</w:t>
      </w:r>
      <w:r w:rsidRPr="00D92867">
        <w:rPr>
          <w:rFonts w:ascii="Times New Roman" w:hAnsi="Times New Roman" w:cs="Times New Roman"/>
          <w:sz w:val="24"/>
          <w:szCs w:val="24"/>
        </w:rPr>
        <w:t>:  Intuitive Eating Scale</w:t>
      </w:r>
    </w:p>
    <w:p w14:paraId="0D643AD0"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IES - RHSC</w:t>
      </w:r>
      <w:r w:rsidRPr="00D92867">
        <w:rPr>
          <w:rFonts w:ascii="Times New Roman" w:hAnsi="Times New Roman" w:cs="Times New Roman"/>
          <w:sz w:val="24"/>
          <w:szCs w:val="24"/>
        </w:rPr>
        <w:t>: reliance hunger and satiety cue</w:t>
      </w:r>
    </w:p>
    <w:p w14:paraId="5930FA54"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NEQ</w:t>
      </w:r>
      <w:r w:rsidRPr="00D92867">
        <w:rPr>
          <w:rFonts w:ascii="Times New Roman" w:hAnsi="Times New Roman" w:cs="Times New Roman"/>
          <w:sz w:val="24"/>
          <w:szCs w:val="24"/>
        </w:rPr>
        <w:t>: Night Eating Syndrome Questionnaire</w:t>
      </w:r>
    </w:p>
    <w:p w14:paraId="47004E45"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OSF</w:t>
      </w:r>
      <w:r w:rsidRPr="00D92867">
        <w:rPr>
          <w:rFonts w:ascii="Times New Roman" w:hAnsi="Times New Roman" w:cs="Times New Roman"/>
          <w:sz w:val="24"/>
          <w:szCs w:val="24"/>
        </w:rPr>
        <w:t>: Open Science Framework</w:t>
      </w:r>
    </w:p>
    <w:p w14:paraId="71C77A2A"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PSQI</w:t>
      </w:r>
      <w:r w:rsidRPr="00D92867">
        <w:rPr>
          <w:rFonts w:ascii="Times New Roman" w:hAnsi="Times New Roman" w:cs="Times New Roman"/>
          <w:sz w:val="24"/>
          <w:szCs w:val="24"/>
        </w:rPr>
        <w:t xml:space="preserve">: Pittsburgh Sleep Quality Index </w:t>
      </w:r>
    </w:p>
    <w:p w14:paraId="0CA699F1"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PSS</w:t>
      </w:r>
      <w:r w:rsidRPr="00D92867">
        <w:rPr>
          <w:rFonts w:ascii="Times New Roman" w:hAnsi="Times New Roman" w:cs="Times New Roman"/>
          <w:sz w:val="24"/>
          <w:szCs w:val="24"/>
        </w:rPr>
        <w:t>: Perceived Stress Scale</w:t>
      </w:r>
    </w:p>
    <w:p w14:paraId="6E6C6F9D"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SFFFQ</w:t>
      </w:r>
      <w:r w:rsidRPr="00D92867">
        <w:rPr>
          <w:rFonts w:ascii="Times New Roman" w:hAnsi="Times New Roman" w:cs="Times New Roman"/>
          <w:sz w:val="24"/>
          <w:szCs w:val="24"/>
        </w:rPr>
        <w:t>: Short-Form Food Frequency Questionnaire</w:t>
      </w:r>
    </w:p>
    <w:p w14:paraId="5102DBA9"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TFEQ</w:t>
      </w:r>
      <w:r w:rsidRPr="00D92867">
        <w:rPr>
          <w:rFonts w:ascii="Times New Roman" w:hAnsi="Times New Roman" w:cs="Times New Roman"/>
          <w:sz w:val="24"/>
          <w:szCs w:val="24"/>
        </w:rPr>
        <w:t>: Three-Factor Eating Questionnaire</w:t>
      </w:r>
    </w:p>
    <w:p w14:paraId="75B1C586"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TFEQ</w:t>
      </w:r>
      <w:r w:rsidRPr="00D92867">
        <w:rPr>
          <w:rFonts w:ascii="Times New Roman" w:hAnsi="Times New Roman" w:cs="Times New Roman"/>
          <w:sz w:val="24"/>
          <w:szCs w:val="24"/>
        </w:rPr>
        <w:t xml:space="preserve"> - CR: TFEQ - cognitive restraint</w:t>
      </w:r>
    </w:p>
    <w:p w14:paraId="3FF38B6F"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TFEQ</w:t>
      </w:r>
      <w:r w:rsidRPr="00D92867">
        <w:rPr>
          <w:rFonts w:ascii="Times New Roman" w:hAnsi="Times New Roman" w:cs="Times New Roman"/>
          <w:sz w:val="24"/>
          <w:szCs w:val="24"/>
        </w:rPr>
        <w:t xml:space="preserve"> - UE:  TFEQ - uncontrolled eating</w:t>
      </w:r>
    </w:p>
    <w:p w14:paraId="7D38EE92"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TFEQ</w:t>
      </w:r>
      <w:r w:rsidRPr="00D92867">
        <w:rPr>
          <w:rFonts w:ascii="Times New Roman" w:hAnsi="Times New Roman" w:cs="Times New Roman"/>
          <w:sz w:val="24"/>
          <w:szCs w:val="24"/>
        </w:rPr>
        <w:t xml:space="preserve"> - EE: TFEQ - emotional eating</w:t>
      </w:r>
    </w:p>
    <w:p w14:paraId="0C2561A9" w14:textId="77777777" w:rsidR="00365ADA" w:rsidRPr="00D92867" w:rsidRDefault="00365ADA" w:rsidP="00365ADA">
      <w:pPr>
        <w:spacing w:line="360" w:lineRule="auto"/>
        <w:rPr>
          <w:rFonts w:ascii="Times New Roman" w:hAnsi="Times New Roman" w:cs="Times New Roman"/>
          <w:sz w:val="24"/>
          <w:szCs w:val="24"/>
        </w:rPr>
      </w:pPr>
      <w:r w:rsidRPr="00D92867">
        <w:rPr>
          <w:rFonts w:ascii="Times New Roman" w:hAnsi="Times New Roman" w:cs="Times New Roman"/>
          <w:b/>
          <w:bCs/>
          <w:sz w:val="24"/>
          <w:szCs w:val="24"/>
        </w:rPr>
        <w:t>UK</w:t>
      </w:r>
      <w:r w:rsidRPr="00D92867">
        <w:rPr>
          <w:rFonts w:ascii="Times New Roman" w:hAnsi="Times New Roman" w:cs="Times New Roman"/>
          <w:sz w:val="24"/>
          <w:szCs w:val="24"/>
        </w:rPr>
        <w:t>:  United Kingdom</w:t>
      </w:r>
    </w:p>
    <w:p w14:paraId="000000F6" w14:textId="1120455F" w:rsidR="00CB4215" w:rsidRDefault="00365ADA" w:rsidP="00365ADA">
      <w:pPr>
        <w:spacing w:line="360" w:lineRule="auto"/>
        <w:rPr>
          <w:rFonts w:ascii="Times New Roman" w:eastAsia="Times New Roman" w:hAnsi="Times New Roman" w:cs="Times New Roman"/>
          <w:sz w:val="24"/>
          <w:szCs w:val="24"/>
        </w:rPr>
        <w:sectPr w:rsidR="00CB4215" w:rsidSect="00365ADA">
          <w:pgSz w:w="11909" w:h="16834"/>
          <w:pgMar w:top="1440" w:right="1440" w:bottom="1440" w:left="1440" w:header="720" w:footer="720" w:gutter="0"/>
          <w:pgNumType w:fmt="lowerRoman"/>
          <w:cols w:space="720"/>
        </w:sectPr>
      </w:pPr>
      <w:r w:rsidRPr="00D92867">
        <w:rPr>
          <w:rFonts w:ascii="Times New Roman" w:hAnsi="Times New Roman" w:cs="Times New Roman"/>
          <w:b/>
          <w:bCs/>
          <w:sz w:val="24"/>
          <w:szCs w:val="24"/>
        </w:rPr>
        <w:t>WHO</w:t>
      </w:r>
      <w:r w:rsidRPr="00D92867">
        <w:rPr>
          <w:rFonts w:ascii="Times New Roman" w:hAnsi="Times New Roman" w:cs="Times New Roman"/>
          <w:sz w:val="24"/>
          <w:szCs w:val="24"/>
        </w:rPr>
        <w:t>: World Health Organisation</w:t>
      </w:r>
    </w:p>
    <w:p w14:paraId="000000F7" w14:textId="77777777" w:rsidR="00CB4215" w:rsidRDefault="000530B4">
      <w:pPr>
        <w:pStyle w:val="Heading1"/>
        <w:spacing w:line="480" w:lineRule="auto"/>
        <w:rPr>
          <w:rFonts w:ascii="Times New Roman" w:eastAsia="Times New Roman" w:hAnsi="Times New Roman" w:cs="Times New Roman"/>
          <w:b/>
        </w:rPr>
      </w:pPr>
      <w:bookmarkStart w:id="10" w:name="_Toc172984767"/>
      <w:r>
        <w:rPr>
          <w:rFonts w:ascii="Times New Roman" w:eastAsia="Times New Roman" w:hAnsi="Times New Roman" w:cs="Times New Roman"/>
          <w:b/>
        </w:rPr>
        <w:lastRenderedPageBreak/>
        <w:t>Chapter 1</w:t>
      </w:r>
      <w:bookmarkEnd w:id="10"/>
    </w:p>
    <w:p w14:paraId="000000F8" w14:textId="77777777" w:rsidR="00CB4215" w:rsidRDefault="000530B4">
      <w:pPr>
        <w:pStyle w:val="Heading2"/>
        <w:spacing w:line="480" w:lineRule="auto"/>
        <w:rPr>
          <w:rFonts w:ascii="Times New Roman" w:eastAsia="Times New Roman" w:hAnsi="Times New Roman" w:cs="Times New Roman"/>
          <w:b/>
        </w:rPr>
      </w:pPr>
      <w:bookmarkStart w:id="11" w:name="_Toc172984768"/>
      <w:r>
        <w:rPr>
          <w:rFonts w:ascii="Times New Roman" w:eastAsia="Times New Roman" w:hAnsi="Times New Roman" w:cs="Times New Roman"/>
          <w:b/>
        </w:rPr>
        <w:t>General Introduction</w:t>
      </w:r>
      <w:bookmarkEnd w:id="11"/>
    </w:p>
    <w:p w14:paraId="000000F9" w14:textId="77777777" w:rsidR="00CB4215" w:rsidRDefault="000530B4">
      <w:pPr>
        <w:pStyle w:val="Heading3"/>
        <w:spacing w:line="480" w:lineRule="auto"/>
        <w:rPr>
          <w:rFonts w:ascii="Times New Roman" w:eastAsia="Times New Roman" w:hAnsi="Times New Roman" w:cs="Times New Roman"/>
          <w:b/>
          <w:color w:val="000000"/>
        </w:rPr>
      </w:pPr>
      <w:bookmarkStart w:id="12" w:name="_Toc172984769"/>
      <w:r>
        <w:rPr>
          <w:rFonts w:ascii="Times New Roman" w:eastAsia="Times New Roman" w:hAnsi="Times New Roman" w:cs="Times New Roman"/>
          <w:b/>
          <w:color w:val="000000"/>
        </w:rPr>
        <w:t>1.1 Overweight and obesity: trends and implications</w:t>
      </w:r>
      <w:bookmarkEnd w:id="12"/>
    </w:p>
    <w:p w14:paraId="000000FA" w14:textId="42530F19"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World Health Organisation (WHO), obesity is an abnormal or excessive accumulation of fat in the body and determined by body mass index (BMI) (WHO, 2023). Specifically, a BMI between 25 and 29.9 kg/m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considered to be</w:t>
      </w:r>
      <w:proofErr w:type="gramEnd"/>
      <w:r>
        <w:rPr>
          <w:rFonts w:ascii="Times New Roman" w:eastAsia="Times New Roman" w:hAnsi="Times New Roman" w:cs="Times New Roman"/>
          <w:sz w:val="24"/>
          <w:szCs w:val="24"/>
        </w:rPr>
        <w:t xml:space="preserve"> with overweight, while a BMI of 30 kg/m</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and over is regarded as obesity </w:t>
      </w:r>
      <w:hyperlink r:id="rId12">
        <w:r>
          <w:rPr>
            <w:rFonts w:ascii="Times New Roman" w:eastAsia="Times New Roman" w:hAnsi="Times New Roman" w:cs="Times New Roman"/>
            <w:sz w:val="24"/>
            <w:szCs w:val="24"/>
          </w:rPr>
          <w:t>(Williams et al., 2015)</w:t>
        </w:r>
      </w:hyperlink>
      <w:r>
        <w:rPr>
          <w:rFonts w:ascii="Times New Roman" w:eastAsia="Times New Roman" w:hAnsi="Times New Roman" w:cs="Times New Roman"/>
          <w:sz w:val="24"/>
          <w:szCs w:val="24"/>
        </w:rPr>
        <w:t xml:space="preserve">. Obesity is prevalent in both developing and developed countries, with global statistics showing that 43% of adults were living with overweight and 16% living with obesity in 2022 (WHO, 2024). In addition, the global prevalence of obesity is increasing rapidly. By 2025, nearly a third of the adult population is expected to be living with overweight and more than one billion adults will be with </w:t>
      </w:r>
      <w:r w:rsidRPr="00AD28AA">
        <w:rPr>
          <w:rFonts w:ascii="Times New Roman" w:eastAsia="Times New Roman" w:hAnsi="Times New Roman" w:cs="Times New Roman"/>
          <w:sz w:val="24"/>
          <w:szCs w:val="24"/>
        </w:rPr>
        <w:t>obesity (Omer</w:t>
      </w:r>
      <w:r w:rsidR="00556659" w:rsidRPr="00AD28AA">
        <w:rPr>
          <w:rFonts w:ascii="Times New Roman" w:eastAsia="Times New Roman" w:hAnsi="Times New Roman" w:cs="Times New Roman"/>
          <w:sz w:val="24"/>
          <w:szCs w:val="24"/>
        </w:rPr>
        <w:t>,</w:t>
      </w:r>
      <w:r w:rsidRPr="00AD28AA">
        <w:rPr>
          <w:rFonts w:ascii="Times New Roman" w:eastAsia="Times New Roman" w:hAnsi="Times New Roman" w:cs="Times New Roman"/>
          <w:sz w:val="24"/>
          <w:szCs w:val="24"/>
        </w:rPr>
        <w:t xml:space="preserve"> 2020). Recent </w:t>
      </w:r>
      <w:r>
        <w:rPr>
          <w:rFonts w:ascii="Times New Roman" w:eastAsia="Times New Roman" w:hAnsi="Times New Roman" w:cs="Times New Roman"/>
          <w:sz w:val="24"/>
          <w:szCs w:val="24"/>
          <w:highlight w:val="white"/>
        </w:rPr>
        <w:t xml:space="preserve">statistics from England indicate that </w:t>
      </w:r>
      <w:proofErr w:type="gramStart"/>
      <w:r>
        <w:rPr>
          <w:rFonts w:ascii="Times New Roman" w:eastAsia="Times New Roman" w:hAnsi="Times New Roman" w:cs="Times New Roman"/>
          <w:sz w:val="24"/>
          <w:szCs w:val="24"/>
          <w:highlight w:val="white"/>
        </w:rPr>
        <w:t>the majority of</w:t>
      </w:r>
      <w:proofErr w:type="gramEnd"/>
      <w:r>
        <w:rPr>
          <w:rFonts w:ascii="Times New Roman" w:eastAsia="Times New Roman" w:hAnsi="Times New Roman" w:cs="Times New Roman"/>
          <w:sz w:val="24"/>
          <w:szCs w:val="24"/>
          <w:highlight w:val="white"/>
        </w:rPr>
        <w:t xml:space="preserve"> adults (64%) are currently with overweight or obesity (69% of men; 58% of women) (UK Gov, 2023). In particular, the prevalence of obesity has increased from 14.9% to 26% between 1993 and 2022. In addition, there are social inequalities in obesity. Obesity prevalence is lowest among adults living in the least deprived areas (20%) and highest in the most deprived areas (34%) (Health Survey for England, 2022). Moreover, the upward trend in overweight and obesity has implications for both individual health and the economy. Specifically, obesity costs the NHS around £6.5 billion a year (</w:t>
      </w:r>
      <w:r w:rsidR="00853712">
        <w:rPr>
          <w:rFonts w:ascii="Times New Roman" w:eastAsia="Times New Roman" w:hAnsi="Times New Roman" w:cs="Times New Roman"/>
          <w:sz w:val="24"/>
          <w:szCs w:val="24"/>
          <w:highlight w:val="white"/>
        </w:rPr>
        <w:t>UK Gov</w:t>
      </w:r>
      <w:r>
        <w:rPr>
          <w:rFonts w:ascii="Times New Roman" w:eastAsia="Times New Roman" w:hAnsi="Times New Roman" w:cs="Times New Roman"/>
          <w:sz w:val="24"/>
          <w:szCs w:val="24"/>
          <w:highlight w:val="white"/>
        </w:rPr>
        <w:t xml:space="preserve">, 2024). </w:t>
      </w:r>
    </w:p>
    <w:p w14:paraId="000000FB" w14:textId="77777777" w:rsidR="00CB4215" w:rsidRDefault="00CB4215">
      <w:pPr>
        <w:spacing w:line="480" w:lineRule="auto"/>
        <w:rPr>
          <w:rFonts w:ascii="Times New Roman" w:eastAsia="Times New Roman" w:hAnsi="Times New Roman" w:cs="Times New Roman"/>
          <w:sz w:val="24"/>
          <w:szCs w:val="24"/>
        </w:rPr>
      </w:pPr>
    </w:p>
    <w:p w14:paraId="000000FC" w14:textId="32E4515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Obesity is linked to a variety of acute and chronic health problems, such as diabetes, heart disease, dementia, cardiovascular disease, and specific types of </w:t>
      </w:r>
      <w:r w:rsidRPr="00AD28AA">
        <w:rPr>
          <w:rFonts w:ascii="Times New Roman" w:eastAsia="Times New Roman" w:hAnsi="Times New Roman" w:cs="Times New Roman"/>
          <w:sz w:val="24"/>
          <w:szCs w:val="24"/>
        </w:rPr>
        <w:t xml:space="preserve">cancer </w:t>
      </w:r>
      <w:hyperlink r:id="rId13">
        <w:r w:rsidRPr="00AD28AA">
          <w:rPr>
            <w:rFonts w:ascii="Times New Roman" w:eastAsia="Times New Roman" w:hAnsi="Times New Roman" w:cs="Times New Roman"/>
            <w:sz w:val="24"/>
            <w:szCs w:val="24"/>
          </w:rPr>
          <w:t>(Wilding</w:t>
        </w:r>
        <w:r w:rsidR="00556659" w:rsidRPr="00AD28AA">
          <w:rPr>
            <w:rFonts w:ascii="Times New Roman" w:eastAsia="Times New Roman" w:hAnsi="Times New Roman" w:cs="Times New Roman"/>
            <w:sz w:val="24"/>
            <w:szCs w:val="24"/>
          </w:rPr>
          <w:t>,</w:t>
        </w:r>
        <w:r w:rsidRPr="00AD28AA">
          <w:rPr>
            <w:rFonts w:ascii="Times New Roman" w:eastAsia="Times New Roman" w:hAnsi="Times New Roman" w:cs="Times New Roman"/>
            <w:sz w:val="24"/>
            <w:szCs w:val="24"/>
          </w:rPr>
          <w:t xml:space="preserve"> 2012; Bray </w:t>
        </w:r>
        <w:r w:rsidRPr="00AD28AA">
          <w:rPr>
            <w:rFonts w:ascii="Times New Roman" w:eastAsia="Times New Roman" w:hAnsi="Times New Roman" w:cs="Times New Roman"/>
            <w:sz w:val="24"/>
            <w:szCs w:val="24"/>
          </w:rPr>
          <w:lastRenderedPageBreak/>
          <w:t>et al., 2016; Tyrrell et al., 2016; Meldrum et al., 2017)</w:t>
        </w:r>
      </w:hyperlink>
      <w:r>
        <w:rPr>
          <w:rFonts w:ascii="Times New Roman" w:eastAsia="Times New Roman" w:hAnsi="Times New Roman" w:cs="Times New Roman"/>
          <w:sz w:val="24"/>
          <w:szCs w:val="24"/>
        </w:rPr>
        <w:t xml:space="preserve">. People with obesity also have an increased risk of stroke and higher blood pressure </w:t>
      </w:r>
      <w:hyperlink r:id="rId14">
        <w:r>
          <w:rPr>
            <w:rFonts w:ascii="Times New Roman" w:eastAsia="Times New Roman" w:hAnsi="Times New Roman" w:cs="Times New Roman"/>
            <w:sz w:val="24"/>
            <w:szCs w:val="24"/>
          </w:rPr>
          <w:t xml:space="preserve">(do </w:t>
        </w:r>
        <w:proofErr w:type="spellStart"/>
        <w:r>
          <w:rPr>
            <w:rFonts w:ascii="Times New Roman" w:eastAsia="Times New Roman" w:hAnsi="Times New Roman" w:cs="Times New Roman"/>
            <w:sz w:val="24"/>
            <w:szCs w:val="24"/>
          </w:rPr>
          <w:t>Carmo</w:t>
        </w:r>
        <w:proofErr w:type="spellEnd"/>
        <w:r>
          <w:rPr>
            <w:rFonts w:ascii="Times New Roman" w:eastAsia="Times New Roman" w:hAnsi="Times New Roman" w:cs="Times New Roman"/>
            <w:sz w:val="24"/>
            <w:szCs w:val="24"/>
          </w:rPr>
          <w:t xml:space="preserve"> et al., 2016; </w:t>
        </w:r>
        <w:proofErr w:type="spellStart"/>
        <w:r>
          <w:rPr>
            <w:rFonts w:ascii="Times New Roman" w:eastAsia="Times New Roman" w:hAnsi="Times New Roman" w:cs="Times New Roman"/>
            <w:sz w:val="24"/>
            <w:szCs w:val="24"/>
          </w:rPr>
          <w:t>Kinlen</w:t>
        </w:r>
        <w:proofErr w:type="spellEnd"/>
        <w:r>
          <w:rPr>
            <w:rFonts w:ascii="Times New Roman" w:eastAsia="Times New Roman" w:hAnsi="Times New Roman" w:cs="Times New Roman"/>
            <w:sz w:val="24"/>
            <w:szCs w:val="24"/>
          </w:rPr>
          <w:t xml:space="preserve"> et al., 2018)</w:t>
        </w:r>
      </w:hyperlink>
      <w:r>
        <w:rPr>
          <w:rFonts w:ascii="Times New Roman" w:eastAsia="Times New Roman" w:hAnsi="Times New Roman" w:cs="Times New Roman"/>
          <w:sz w:val="24"/>
          <w:szCs w:val="24"/>
        </w:rPr>
        <w:t xml:space="preserve">. In addition, obesity is associated with numerous psychological consequences, including depression </w:t>
      </w:r>
      <w:hyperlink r:id="rId15">
        <w:r>
          <w:rPr>
            <w:rFonts w:ascii="Times New Roman" w:eastAsia="Times New Roman" w:hAnsi="Times New Roman" w:cs="Times New Roman"/>
            <w:sz w:val="24"/>
            <w:szCs w:val="24"/>
          </w:rPr>
          <w:t>(Carpenter et al., 2000)</w:t>
        </w:r>
      </w:hyperlink>
      <w:r>
        <w:rPr>
          <w:rFonts w:ascii="Times New Roman" w:eastAsia="Times New Roman" w:hAnsi="Times New Roman" w:cs="Times New Roman"/>
          <w:sz w:val="24"/>
          <w:szCs w:val="24"/>
        </w:rPr>
        <w:t xml:space="preserve">, low self-esteem </w:t>
      </w:r>
      <w:hyperlink r:id="rId1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Sarwer</w:t>
        </w:r>
        <w:proofErr w:type="spellEnd"/>
        <w:r>
          <w:rPr>
            <w:rFonts w:ascii="Times New Roman" w:eastAsia="Times New Roman" w:hAnsi="Times New Roman" w:cs="Times New Roman"/>
            <w:sz w:val="24"/>
            <w:szCs w:val="24"/>
          </w:rPr>
          <w:t xml:space="preserve"> and Polonsky</w:t>
        </w:r>
        <w:r w:rsidR="004D2B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w:t>
        </w:r>
      </w:hyperlink>
      <w:r>
        <w:rPr>
          <w:rFonts w:ascii="Times New Roman" w:eastAsia="Times New Roman" w:hAnsi="Times New Roman" w:cs="Times New Roman"/>
          <w:sz w:val="24"/>
          <w:szCs w:val="24"/>
        </w:rPr>
        <w:t xml:space="preserve">, eating disorders </w:t>
      </w:r>
      <w:hyperlink r:id="rId1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Stunkard</w:t>
        </w:r>
        <w:proofErr w:type="spellEnd"/>
        <w:r>
          <w:rPr>
            <w:rFonts w:ascii="Times New Roman" w:eastAsia="Times New Roman" w:hAnsi="Times New Roman" w:cs="Times New Roman"/>
            <w:sz w:val="24"/>
            <w:szCs w:val="24"/>
          </w:rPr>
          <w:t xml:space="preserve"> and Allison</w:t>
        </w:r>
        <w:r w:rsidR="004D2B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2003)</w:t>
        </w:r>
      </w:hyperlink>
      <w:r>
        <w:rPr>
          <w:rFonts w:ascii="Times New Roman" w:eastAsia="Times New Roman" w:hAnsi="Times New Roman" w:cs="Times New Roman"/>
          <w:sz w:val="24"/>
          <w:szCs w:val="24"/>
        </w:rPr>
        <w:t xml:space="preserve">, anxiety </w:t>
      </w:r>
      <w:hyperlink r:id="rId18">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Sarwer</w:t>
        </w:r>
        <w:proofErr w:type="spellEnd"/>
        <w:r>
          <w:rPr>
            <w:rFonts w:ascii="Times New Roman" w:eastAsia="Times New Roman" w:hAnsi="Times New Roman" w:cs="Times New Roman"/>
            <w:sz w:val="24"/>
            <w:szCs w:val="24"/>
          </w:rPr>
          <w:t xml:space="preserve"> et al., 2012)</w:t>
        </w:r>
      </w:hyperlink>
      <w:r>
        <w:rPr>
          <w:rFonts w:ascii="Times New Roman" w:eastAsia="Times New Roman" w:hAnsi="Times New Roman" w:cs="Times New Roman"/>
          <w:sz w:val="24"/>
          <w:szCs w:val="24"/>
        </w:rPr>
        <w:t xml:space="preserve">, and weight stigma </w:t>
      </w:r>
      <w:hyperlink r:id="rId1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Puhl</w:t>
        </w:r>
        <w:proofErr w:type="spellEnd"/>
        <w:r>
          <w:rPr>
            <w:rFonts w:ascii="Times New Roman" w:eastAsia="Times New Roman" w:hAnsi="Times New Roman" w:cs="Times New Roman"/>
            <w:sz w:val="24"/>
            <w:szCs w:val="24"/>
          </w:rPr>
          <w:t xml:space="preserve"> and Heuer</w:t>
        </w:r>
        <w:r w:rsidR="004D2B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2009)</w:t>
        </w:r>
      </w:hyperlink>
      <w:r>
        <w:rPr>
          <w:rFonts w:ascii="Times New Roman" w:eastAsia="Times New Roman" w:hAnsi="Times New Roman" w:cs="Times New Roman"/>
          <w:sz w:val="24"/>
          <w:szCs w:val="24"/>
        </w:rPr>
        <w:t xml:space="preserve">. Consequently, it is essential to reduce the prevalence of obesity, relieve the burden on the NHS and reduce mortality and morbidity. This highlights the need to develop effective prevention and treatment strategies. </w:t>
      </w:r>
    </w:p>
    <w:p w14:paraId="000000FD" w14:textId="77777777" w:rsidR="00CB4215" w:rsidRPr="00556659" w:rsidRDefault="00CB4215">
      <w:pPr>
        <w:spacing w:line="480" w:lineRule="auto"/>
        <w:rPr>
          <w:rFonts w:ascii="Times New Roman" w:eastAsiaTheme="minorEastAsia" w:hAnsi="Times New Roman" w:cs="Times New Roman"/>
          <w:sz w:val="24"/>
          <w:szCs w:val="24"/>
        </w:rPr>
      </w:pPr>
    </w:p>
    <w:p w14:paraId="000000FE" w14:textId="77777777" w:rsidR="00CB4215" w:rsidRDefault="000530B4">
      <w:pPr>
        <w:pStyle w:val="Heading3"/>
        <w:spacing w:line="480" w:lineRule="auto"/>
        <w:rPr>
          <w:rFonts w:ascii="Times New Roman" w:eastAsia="Times New Roman" w:hAnsi="Times New Roman" w:cs="Times New Roman"/>
          <w:b/>
          <w:color w:val="000000"/>
        </w:rPr>
      </w:pPr>
      <w:bookmarkStart w:id="13" w:name="_Toc172984770"/>
      <w:r>
        <w:rPr>
          <w:rFonts w:ascii="Times New Roman" w:eastAsia="Times New Roman" w:hAnsi="Times New Roman" w:cs="Times New Roman"/>
          <w:b/>
          <w:color w:val="000000"/>
        </w:rPr>
        <w:t>1.2 Weight management</w:t>
      </w:r>
      <w:bookmarkEnd w:id="13"/>
    </w:p>
    <w:p w14:paraId="000000FF" w14:textId="7C1147C0"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rise in obesity prevalence, there is also an increase in weight management. Weight management is the conscious regulation of behaviour to achieve weight loss, weight gain or weight maintenance </w:t>
      </w:r>
      <w:hyperlink r:id="rId2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Winik</w:t>
        </w:r>
        <w:proofErr w:type="spellEnd"/>
        <w:r>
          <w:rPr>
            <w:rFonts w:ascii="Times New Roman" w:eastAsia="Times New Roman" w:hAnsi="Times New Roman" w:cs="Times New Roman"/>
            <w:sz w:val="24"/>
            <w:szCs w:val="24"/>
          </w:rPr>
          <w:t xml:space="preserve"> and Bonham</w:t>
        </w:r>
        <w:r w:rsidR="004D2B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2018)</w:t>
        </w:r>
      </w:hyperlink>
      <w:r>
        <w:rPr>
          <w:rFonts w:ascii="Times New Roman" w:eastAsia="Times New Roman" w:hAnsi="Times New Roman" w:cs="Times New Roman"/>
          <w:sz w:val="24"/>
          <w:szCs w:val="24"/>
        </w:rPr>
        <w:t xml:space="preserve">. With obesity rates rising rapidly, research in the general population has shown that the proportion of people who have tried to lose weight has increased significantly. A meta-analysis of 72 studies showed that 42% of adults in the general population and 44% of adults in ethnic minority communities are trying to lose weight, while 23% have reported trying to maintain their weight </w:t>
      </w:r>
      <w:hyperlink r:id="rId21">
        <w:r>
          <w:rPr>
            <w:rFonts w:ascii="Times New Roman" w:eastAsia="Times New Roman" w:hAnsi="Times New Roman" w:cs="Times New Roman"/>
            <w:sz w:val="24"/>
            <w:szCs w:val="24"/>
          </w:rPr>
          <w:t>(Santos et al., 2017)</w:t>
        </w:r>
      </w:hyperlink>
      <w:r>
        <w:rPr>
          <w:rFonts w:ascii="Times New Roman" w:eastAsia="Times New Roman" w:hAnsi="Times New Roman" w:cs="Times New Roman"/>
          <w:sz w:val="24"/>
          <w:szCs w:val="24"/>
        </w:rPr>
        <w:t xml:space="preserve">. There are notable differences in the prevalence of weight loss attempts between geographical regions. The region with the highest prevalence was North America, with 44% of cases, while the lowest prevalence was recorded in Africa, with a rate of 16.6%. According to Santos et al. (2017), the primary strategy for weight loss is to engage in or increase physical activity. Dieting was the second most popular method of trying to lose weight, with almost two thirds of people trying to lose weight in this way. Furthermore, health behaviours, such as maintaining a balanced diet and engaging in adequate physical activity and sleep, also </w:t>
      </w:r>
      <w:r>
        <w:rPr>
          <w:rFonts w:ascii="Times New Roman" w:eastAsia="Times New Roman" w:hAnsi="Times New Roman" w:cs="Times New Roman"/>
          <w:sz w:val="24"/>
          <w:szCs w:val="24"/>
        </w:rPr>
        <w:lastRenderedPageBreak/>
        <w:t xml:space="preserve">have the potential to prevent obesity </w:t>
      </w:r>
      <w:hyperlink r:id="rId22">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Felső</w:t>
        </w:r>
        <w:proofErr w:type="spellEnd"/>
        <w:r>
          <w:rPr>
            <w:rFonts w:ascii="Times New Roman" w:eastAsia="Times New Roman" w:hAnsi="Times New Roman" w:cs="Times New Roman"/>
            <w:sz w:val="24"/>
            <w:szCs w:val="24"/>
          </w:rPr>
          <w:t xml:space="preserve"> et al., 2017)</w:t>
        </w:r>
      </w:hyperlink>
      <w:r>
        <w:rPr>
          <w:rFonts w:ascii="Times New Roman" w:eastAsia="Times New Roman" w:hAnsi="Times New Roman" w:cs="Times New Roman"/>
          <w:sz w:val="24"/>
          <w:szCs w:val="24"/>
        </w:rPr>
        <w:t xml:space="preserve">. While dietary restriction can lead to initial weight loss, maintaining this weight loss after dietary intervention is a challenge for some people with obesity </w:t>
      </w:r>
      <w:hyperlink r:id="rId23">
        <w:r>
          <w:rPr>
            <w:rFonts w:ascii="Times New Roman" w:eastAsia="Times New Roman" w:hAnsi="Times New Roman" w:cs="Times New Roman"/>
            <w:sz w:val="24"/>
            <w:szCs w:val="24"/>
          </w:rPr>
          <w:t>(MacLean et al., 2015)</w:t>
        </w:r>
      </w:hyperlink>
      <w:r>
        <w:rPr>
          <w:rFonts w:ascii="Times New Roman" w:eastAsia="Times New Roman" w:hAnsi="Times New Roman" w:cs="Times New Roman"/>
          <w:sz w:val="24"/>
          <w:szCs w:val="24"/>
        </w:rPr>
        <w:t>. For example, a systematic review by Franz et al. (2007) of 80 clinical trials assessed the effectiveness of various weight loss interventions, including diet alone, diet and exercise, exercise alone, meal replacements and very low energy diets. Weight measurements taken up to 48 months showed an average weight loss of 5 to 8.5 kg (5 to 9% of initial body weight) in the first 6 months after treatment, followed by a subsequent increase in average weight. It is therefore necessary to develop a comprehensive understanding of the aetiology of obesity to develop effective weight management strategies for the treatment and prevention of overweight and obesity.</w:t>
      </w:r>
    </w:p>
    <w:p w14:paraId="00000100" w14:textId="77777777" w:rsidR="00CB4215" w:rsidRDefault="00CB4215">
      <w:pPr>
        <w:spacing w:line="480" w:lineRule="auto"/>
        <w:rPr>
          <w:rFonts w:ascii="Times New Roman" w:eastAsia="Times New Roman" w:hAnsi="Times New Roman" w:cs="Times New Roman"/>
          <w:sz w:val="24"/>
          <w:szCs w:val="24"/>
        </w:rPr>
      </w:pPr>
    </w:p>
    <w:p w14:paraId="00000101" w14:textId="77777777" w:rsidR="00CB4215" w:rsidRDefault="000530B4">
      <w:pPr>
        <w:pStyle w:val="Heading3"/>
        <w:spacing w:line="480" w:lineRule="auto"/>
        <w:rPr>
          <w:rFonts w:ascii="Times New Roman" w:eastAsia="Times New Roman" w:hAnsi="Times New Roman" w:cs="Times New Roman"/>
          <w:b/>
          <w:color w:val="000000"/>
        </w:rPr>
      </w:pPr>
      <w:bookmarkStart w:id="14" w:name="_Toc172984771"/>
      <w:r>
        <w:rPr>
          <w:rFonts w:ascii="Times New Roman" w:eastAsia="Times New Roman" w:hAnsi="Times New Roman" w:cs="Times New Roman"/>
          <w:b/>
          <w:color w:val="000000"/>
        </w:rPr>
        <w:t>1.3 Cause of obesity</w:t>
      </w:r>
      <w:bookmarkEnd w:id="14"/>
    </w:p>
    <w:p w14:paraId="00000102" w14:textId="35858676"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Obesity Systems Map shows the complexities of obesity, centred on the concept of 'energy balance', which compares energy intake with energy expenditure (see Figure 1.1). Specifically, the Obesity Systems Map identifies 108 variables that have a direct or indirect influence on energy balance and shows how these variables are linked or interact with each other (Butland et al., 2007). These variables are clustered in seven themes, including biology, food consumption, food production, individual activity, individual psychology, activity environment and societal influences. In particular, the biology cluster comprises many biological variables, including genetic predisposition to obesity and resting metabolic rate. The individual activity cluster includes characteristics related to an individual's or group's level of recreational, domestic, occupational, and transit activity. The physical activity environment cluster contains factors that might either foster or hinder physical activity. Also included are variables reflecting cultural values linked to activity patterns, such as ‘reliance </w:t>
      </w:r>
      <w:r>
        <w:rPr>
          <w:rFonts w:ascii="Times New Roman" w:eastAsia="Times New Roman" w:hAnsi="Times New Roman" w:cs="Times New Roman"/>
          <w:sz w:val="24"/>
          <w:szCs w:val="24"/>
        </w:rPr>
        <w:lastRenderedPageBreak/>
        <w:t xml:space="preserve">on labour-saving devices. The food consumption cluster encompasses a variety of characteristics of the food market in which consumers engage, as well as the health characteristics of food products, including the level of food abundance and variety, the energy density of food, and portion size. The food production cluster includes various factors that influence the food industry, such as ‘market price of food’, ‘cost of ingredients’ and ‘effort to increase efficiency of production’. It also contains variables that are representative of the wider social and economic environment in the UK, such as ‘purchasing power’ and ‘societal pressure to consume’. The individual psychology cluster comprises variables that define a variety of psychological characteristics, including ‘self-esteem’, ‘stress’, ‘demand for indulgence’ and ‘level of food literacy’. The social psychology cluster consists of variables that have influence at the societal level, including ‘education’. It also includes variables related to societal attitudes to weight such as ‘social acceptability of fatness’ and ‘importance of ideal body-size image’. The current consensus is that obesity is the result of a complex interaction of genetic, evolutionary, social, psychological and environmental factors (Hruby et al., 2016). The Behavioural Susceptibility Theory (Llewellyn </w:t>
      </w:r>
      <w:r w:rsidR="00ED54FE">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Wardle, 2015) focuses specifically on genetics and the obesogenic environment, explaining individual variability in food intake by proposing that genetic predispositions determine appetitive traits which interact with the environment (see more detail in 1.8). Therefore, the following sections focus on the genetic and environmental factors that influence obesity.</w:t>
      </w:r>
    </w:p>
    <w:p w14:paraId="00000103" w14:textId="77777777" w:rsidR="00CB4215" w:rsidRDefault="00CB4215">
      <w:pPr>
        <w:spacing w:line="480" w:lineRule="auto"/>
        <w:rPr>
          <w:rFonts w:ascii="Times New Roman" w:eastAsia="Times New Roman" w:hAnsi="Times New Roman" w:cs="Times New Roman"/>
          <w:sz w:val="24"/>
          <w:szCs w:val="24"/>
        </w:rPr>
      </w:pPr>
    </w:p>
    <w:p w14:paraId="00000104"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8CDFAFC" wp14:editId="31225829">
            <wp:extent cx="5731200" cy="42672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731200" cy="4267200"/>
                    </a:xfrm>
                    <a:prstGeom prst="rect">
                      <a:avLst/>
                    </a:prstGeom>
                    <a:ln/>
                  </pic:spPr>
                </pic:pic>
              </a:graphicData>
            </a:graphic>
          </wp:inline>
        </w:drawing>
      </w:r>
    </w:p>
    <w:p w14:paraId="00000105" w14:textId="77777777" w:rsidR="00CB4215" w:rsidRDefault="000530B4">
      <w:pPr>
        <w:pBdr>
          <w:top w:val="nil"/>
          <w:left w:val="nil"/>
          <w:bottom w:val="nil"/>
          <w:right w:val="nil"/>
          <w:between w:val="nil"/>
        </w:pBdr>
        <w:spacing w:after="200" w:line="240" w:lineRule="auto"/>
        <w:rPr>
          <w:rFonts w:ascii="Times New Roman" w:eastAsia="Times New Roman" w:hAnsi="Times New Roman" w:cs="Times New Roman"/>
          <w:color w:val="000000"/>
          <w:sz w:val="20"/>
          <w:szCs w:val="20"/>
        </w:rPr>
      </w:pPr>
      <w:bookmarkStart w:id="15" w:name="_heading=h.26in1rg" w:colFirst="0" w:colLast="0"/>
      <w:bookmarkEnd w:id="15"/>
      <w:r>
        <w:rPr>
          <w:rFonts w:ascii="Times New Roman" w:eastAsia="Times New Roman" w:hAnsi="Times New Roman" w:cs="Times New Roman"/>
          <w:i/>
          <w:color w:val="000000"/>
          <w:sz w:val="20"/>
          <w:szCs w:val="20"/>
        </w:rPr>
        <w:t xml:space="preserve">Figure 1.1. </w:t>
      </w:r>
      <w:r>
        <w:rPr>
          <w:rFonts w:ascii="Times New Roman" w:eastAsia="Times New Roman" w:hAnsi="Times New Roman" w:cs="Times New Roman"/>
          <w:color w:val="000000"/>
          <w:sz w:val="20"/>
          <w:szCs w:val="20"/>
        </w:rPr>
        <w:t>The Obesity Systems map identifies over 100 variables which influence energy balance and the obesity epidemic, source: Butland et al. (2007)</w:t>
      </w:r>
    </w:p>
    <w:p w14:paraId="00000106" w14:textId="77777777" w:rsidR="00CB4215" w:rsidRDefault="00CB4215"/>
    <w:p w14:paraId="00000107"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1.3.1 Genetics of Obesity</w:t>
      </w:r>
    </w:p>
    <w:p w14:paraId="00000108"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Numerous studies have highlighted the importance of genetic predisposition in obesity </w:t>
      </w:r>
      <w:hyperlink r:id="rId25">
        <w:r>
          <w:rPr>
            <w:rFonts w:ascii="Times New Roman" w:eastAsia="Times New Roman" w:hAnsi="Times New Roman" w:cs="Times New Roman"/>
            <w:sz w:val="24"/>
            <w:szCs w:val="24"/>
          </w:rPr>
          <w:t xml:space="preserve">(Bouchard et al., 1990; </w:t>
        </w:r>
        <w:proofErr w:type="spellStart"/>
        <w:r>
          <w:rPr>
            <w:rFonts w:ascii="Times New Roman" w:eastAsia="Times New Roman" w:hAnsi="Times New Roman" w:cs="Times New Roman"/>
            <w:sz w:val="24"/>
            <w:szCs w:val="24"/>
          </w:rPr>
          <w:t>Stunkard</w:t>
        </w:r>
        <w:proofErr w:type="spellEnd"/>
        <w:r>
          <w:rPr>
            <w:rFonts w:ascii="Times New Roman" w:eastAsia="Times New Roman" w:hAnsi="Times New Roman" w:cs="Times New Roman"/>
            <w:sz w:val="24"/>
            <w:szCs w:val="24"/>
          </w:rPr>
          <w:t xml:space="preserve"> et al., 1986; </w:t>
        </w:r>
        <w:proofErr w:type="spellStart"/>
        <w:r>
          <w:rPr>
            <w:rFonts w:ascii="Times New Roman" w:eastAsia="Times New Roman" w:hAnsi="Times New Roman" w:cs="Times New Roman"/>
            <w:sz w:val="24"/>
            <w:szCs w:val="24"/>
          </w:rPr>
          <w:t>Weyer</w:t>
        </w:r>
        <w:proofErr w:type="spellEnd"/>
        <w:r>
          <w:rPr>
            <w:rFonts w:ascii="Times New Roman" w:eastAsia="Times New Roman" w:hAnsi="Times New Roman" w:cs="Times New Roman"/>
            <w:sz w:val="24"/>
            <w:szCs w:val="24"/>
          </w:rPr>
          <w:t xml:space="preserve"> et al., 2001; Mahmoud et al., 2022)</w:t>
        </w:r>
      </w:hyperlink>
      <w:r>
        <w:rPr>
          <w:rFonts w:ascii="Times New Roman" w:eastAsia="Times New Roman" w:hAnsi="Times New Roman" w:cs="Times New Roman"/>
          <w:sz w:val="24"/>
          <w:szCs w:val="24"/>
        </w:rPr>
        <w:t xml:space="preserve">. A study by </w:t>
      </w:r>
      <w:proofErr w:type="spellStart"/>
      <w:r>
        <w:rPr>
          <w:rFonts w:ascii="Times New Roman" w:eastAsia="Times New Roman" w:hAnsi="Times New Roman" w:cs="Times New Roman"/>
          <w:sz w:val="24"/>
          <w:szCs w:val="24"/>
        </w:rPr>
        <w:t>Stunkard</w:t>
      </w:r>
      <w:proofErr w:type="spellEnd"/>
      <w:r>
        <w:rPr>
          <w:rFonts w:ascii="Times New Roman" w:eastAsia="Times New Roman" w:hAnsi="Times New Roman" w:cs="Times New Roman"/>
          <w:sz w:val="24"/>
          <w:szCs w:val="24"/>
        </w:rPr>
        <w:t xml:space="preserve"> et al. (1986) analysed the influences on body weight in 540 adopted adults. The adults, who had been adopted during childhood, were categorised into four BMI categories, which ranged from underweight to obesity. The results showed a significant correlation between the BMI categories of these adults and their biological parents, while no significant link was found between the BMI classifications of the individuals and their adoptive parents. Furthermore, a Canadian study explored the impact of increased calorie intake on weight regulation (</w:t>
      </w:r>
      <w:hyperlink r:id="rId26">
        <w:r>
          <w:rPr>
            <w:rFonts w:ascii="Times New Roman" w:eastAsia="Times New Roman" w:hAnsi="Times New Roman" w:cs="Times New Roman"/>
            <w:sz w:val="24"/>
            <w:szCs w:val="24"/>
          </w:rPr>
          <w:t>Bouchard et al., 1990</w:t>
        </w:r>
      </w:hyperlink>
      <w:r>
        <w:rPr>
          <w:rFonts w:ascii="Times New Roman" w:eastAsia="Times New Roman" w:hAnsi="Times New Roman" w:cs="Times New Roman"/>
          <w:sz w:val="24"/>
          <w:szCs w:val="24"/>
        </w:rPr>
        <w:t xml:space="preserve">). For this study, a total of 12 pairs of </w:t>
      </w:r>
      <w:r>
        <w:rPr>
          <w:rFonts w:ascii="Times New Roman" w:eastAsia="Times New Roman" w:hAnsi="Times New Roman" w:cs="Times New Roman"/>
          <w:sz w:val="24"/>
          <w:szCs w:val="24"/>
        </w:rPr>
        <w:lastRenderedPageBreak/>
        <w:t>identical male twins were provided with an additional 1000 kilocalories per day, six days a week, for a duration of 100 days. The findings indicated that weight gain patterns, including overall weight gain, distribution of fat, and percentage of fat, were consistent within twin pairs, however notable variations were detected among various pairs (</w:t>
      </w:r>
      <w:hyperlink r:id="rId27">
        <w:r>
          <w:rPr>
            <w:rFonts w:ascii="Times New Roman" w:eastAsia="Times New Roman" w:hAnsi="Times New Roman" w:cs="Times New Roman"/>
            <w:sz w:val="24"/>
            <w:szCs w:val="24"/>
          </w:rPr>
          <w:t>Bouchard et al., 1990</w:t>
        </w:r>
      </w:hyperlink>
      <w:r>
        <w:rPr>
          <w:rFonts w:ascii="Times New Roman" w:eastAsia="Times New Roman" w:hAnsi="Times New Roman" w:cs="Times New Roman"/>
          <w:sz w:val="24"/>
          <w:szCs w:val="24"/>
        </w:rPr>
        <w:t xml:space="preserve">). Therefore, </w:t>
      </w:r>
      <w:proofErr w:type="gramStart"/>
      <w:r>
        <w:rPr>
          <w:rFonts w:ascii="Times New Roman" w:eastAsia="Times New Roman" w:hAnsi="Times New Roman" w:cs="Times New Roman"/>
          <w:sz w:val="24"/>
          <w:szCs w:val="24"/>
        </w:rPr>
        <w:t>it is clear that genes</w:t>
      </w:r>
      <w:proofErr w:type="gramEnd"/>
      <w:r>
        <w:rPr>
          <w:rFonts w:ascii="Times New Roman" w:eastAsia="Times New Roman" w:hAnsi="Times New Roman" w:cs="Times New Roman"/>
          <w:sz w:val="24"/>
          <w:szCs w:val="24"/>
        </w:rPr>
        <w:t xml:space="preserve"> have a role in the development of overweight and obesity. However, the rapid increase in the prevalence of obesity in both developed and developing countries, due to the rapid changes in obesity outpace changes in the gene pool, suggests that there are other risk factors beyond genetic predisposition that influence obesity.</w:t>
      </w:r>
    </w:p>
    <w:p w14:paraId="00000109" w14:textId="77777777" w:rsidR="00CB4215" w:rsidRDefault="00CB4215">
      <w:pPr>
        <w:spacing w:line="480" w:lineRule="auto"/>
        <w:rPr>
          <w:rFonts w:ascii="Times New Roman" w:eastAsia="Times New Roman" w:hAnsi="Times New Roman" w:cs="Times New Roman"/>
          <w:sz w:val="24"/>
          <w:szCs w:val="24"/>
        </w:rPr>
      </w:pPr>
    </w:p>
    <w:p w14:paraId="0000010A"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1.3.2 Environmental factors</w:t>
      </w:r>
    </w:p>
    <w:p w14:paraId="03E1C7EC" w14:textId="5E842E76" w:rsidR="007B20E9"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are one of the multi-faced factors that influence food choice and intake (Swinburn et al., 2011</w:t>
      </w:r>
      <w:hyperlink r:id="rId28">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The term ‘obesogenic environment’ refers to the influences that the environment, opportunities or living conditions have on promoting obesity in individuals and populations </w:t>
      </w:r>
      <w:hyperlink r:id="rId29">
        <w:r>
          <w:rPr>
            <w:rFonts w:ascii="Times New Roman" w:eastAsia="Times New Roman" w:hAnsi="Times New Roman" w:cs="Times New Roman"/>
            <w:sz w:val="24"/>
            <w:szCs w:val="24"/>
          </w:rPr>
          <w:t>(Swinburn et al., 1999)</w:t>
        </w:r>
      </w:hyperlink>
      <w:r>
        <w:rPr>
          <w:rFonts w:ascii="Times New Roman" w:eastAsia="Times New Roman" w:hAnsi="Times New Roman" w:cs="Times New Roman"/>
          <w:sz w:val="24"/>
          <w:szCs w:val="24"/>
        </w:rPr>
        <w:t xml:space="preserve">. For example, excess energy intake and weight gain may be partly due to the increased availability, accessibility and affordability of nutrient-poor, energy-dense foods </w:t>
      </w:r>
      <w:hyperlink r:id="rId30">
        <w:r>
          <w:rPr>
            <w:rFonts w:ascii="Times New Roman" w:eastAsia="Times New Roman" w:hAnsi="Times New Roman" w:cs="Times New Roman"/>
            <w:sz w:val="24"/>
            <w:szCs w:val="24"/>
          </w:rPr>
          <w:t>(Swinburn et al., 2011)</w:t>
        </w:r>
      </w:hyperlink>
      <w:r>
        <w:rPr>
          <w:rFonts w:ascii="Times New Roman" w:eastAsia="Times New Roman" w:hAnsi="Times New Roman" w:cs="Times New Roman"/>
          <w:sz w:val="24"/>
          <w:szCs w:val="24"/>
        </w:rPr>
        <w:t xml:space="preserve">. The global food system has experienced an increase in the production of processed and affordable foods, which may contribute to passive overconsumption (an increase in energy intake driven by a high-fat, energy-dense food environment) </w:t>
      </w:r>
      <w:hyperlink r:id="rId31">
        <w:r>
          <w:rPr>
            <w:rFonts w:ascii="Times New Roman" w:eastAsia="Times New Roman" w:hAnsi="Times New Roman" w:cs="Times New Roman"/>
            <w:sz w:val="24"/>
            <w:szCs w:val="24"/>
          </w:rPr>
          <w:t>(Swinburn et al., 2011)</w:t>
        </w:r>
      </w:hyperlink>
      <w:r>
        <w:rPr>
          <w:rFonts w:ascii="Times New Roman" w:eastAsia="Times New Roman" w:hAnsi="Times New Roman" w:cs="Times New Roman"/>
          <w:sz w:val="24"/>
          <w:szCs w:val="24"/>
        </w:rPr>
        <w:t xml:space="preserve">. Epidemiological studies suggest that diets containing foods with a higher energy density, which are likely to be more challenging to resist or regulate because of their high energy density, are associated with higher daily energy intake and weight gain </w:t>
      </w:r>
      <w:hyperlink r:id="rId32">
        <w:r>
          <w:rPr>
            <w:rFonts w:ascii="Times New Roman" w:eastAsia="Times New Roman" w:hAnsi="Times New Roman" w:cs="Times New Roman"/>
            <w:sz w:val="24"/>
            <w:szCs w:val="24"/>
          </w:rPr>
          <w:t>(Stelmach-</w:t>
        </w:r>
        <w:proofErr w:type="spellStart"/>
        <w:r>
          <w:rPr>
            <w:rFonts w:ascii="Times New Roman" w:eastAsia="Times New Roman" w:hAnsi="Times New Roman" w:cs="Times New Roman"/>
            <w:sz w:val="24"/>
            <w:szCs w:val="24"/>
          </w:rPr>
          <w:t>Mardas</w:t>
        </w:r>
        <w:proofErr w:type="spellEnd"/>
        <w:r>
          <w:rPr>
            <w:rFonts w:ascii="Times New Roman" w:eastAsia="Times New Roman" w:hAnsi="Times New Roman" w:cs="Times New Roman"/>
            <w:sz w:val="24"/>
            <w:szCs w:val="24"/>
          </w:rPr>
          <w:t xml:space="preserve"> et al., 2016; </w:t>
        </w:r>
        <w:proofErr w:type="spellStart"/>
        <w:r>
          <w:rPr>
            <w:rFonts w:ascii="Times New Roman" w:eastAsia="Times New Roman" w:hAnsi="Times New Roman" w:cs="Times New Roman"/>
            <w:sz w:val="24"/>
            <w:szCs w:val="24"/>
          </w:rPr>
          <w:t>Ledikwe</w:t>
        </w:r>
        <w:proofErr w:type="spellEnd"/>
        <w:r>
          <w:rPr>
            <w:rFonts w:ascii="Times New Roman" w:eastAsia="Times New Roman" w:hAnsi="Times New Roman" w:cs="Times New Roman"/>
            <w:sz w:val="24"/>
            <w:szCs w:val="24"/>
          </w:rPr>
          <w:t xml:space="preserve"> et al., 2006; Karl and Roberts</w:t>
        </w:r>
        <w:r w:rsidR="00ED54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xml:space="preserve">. Moreover, a meta-analysis of 23 studies found that dietary energy density was related to increased risk of excess adiposity and higher BMI </w:t>
      </w:r>
      <w:hyperlink r:id="rId33">
        <w:r>
          <w:rPr>
            <w:rFonts w:ascii="Times New Roman" w:eastAsia="Times New Roman" w:hAnsi="Times New Roman" w:cs="Times New Roman"/>
            <w:sz w:val="24"/>
            <w:szCs w:val="24"/>
          </w:rPr>
          <w:t>(Rouhani et al., 2016)</w:t>
        </w:r>
      </w:hyperlink>
      <w:r>
        <w:rPr>
          <w:rFonts w:ascii="Times New Roman" w:eastAsia="Times New Roman" w:hAnsi="Times New Roman" w:cs="Times New Roman"/>
          <w:sz w:val="24"/>
          <w:szCs w:val="24"/>
        </w:rPr>
        <w:t xml:space="preserve">. Furthermore, the availability of processed foods, which are frequently high in sugar, fat, and sodium, has </w:t>
      </w:r>
      <w:r>
        <w:rPr>
          <w:rFonts w:ascii="Times New Roman" w:eastAsia="Times New Roman" w:hAnsi="Times New Roman" w:cs="Times New Roman"/>
          <w:sz w:val="24"/>
          <w:szCs w:val="24"/>
        </w:rPr>
        <w:lastRenderedPageBreak/>
        <w:t xml:space="preserve">increased significantly in a variety of retail outlets, e.g., convenience stores, mini-marts, and grocery stores </w:t>
      </w:r>
      <w:hyperlink r:id="rId34">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Badland</w:t>
        </w:r>
        <w:proofErr w:type="spellEnd"/>
        <w:r>
          <w:rPr>
            <w:rFonts w:ascii="Times New Roman" w:eastAsia="Times New Roman" w:hAnsi="Times New Roman" w:cs="Times New Roman"/>
            <w:sz w:val="24"/>
            <w:szCs w:val="24"/>
          </w:rPr>
          <w:t xml:space="preserve"> et al., 2014; Harrison et al., 2010)</w:t>
        </w:r>
      </w:hyperlink>
      <w:r>
        <w:rPr>
          <w:rFonts w:ascii="Times New Roman" w:eastAsia="Times New Roman" w:hAnsi="Times New Roman" w:cs="Times New Roman"/>
          <w:sz w:val="24"/>
          <w:szCs w:val="24"/>
        </w:rPr>
        <w:t xml:space="preserve">. </w:t>
      </w:r>
    </w:p>
    <w:p w14:paraId="50FF8F48" w14:textId="77777777" w:rsidR="007B20E9" w:rsidRDefault="007B20E9">
      <w:pPr>
        <w:spacing w:line="480" w:lineRule="auto"/>
        <w:rPr>
          <w:rFonts w:ascii="Times New Roman" w:eastAsia="Times New Roman" w:hAnsi="Times New Roman" w:cs="Times New Roman"/>
          <w:sz w:val="24"/>
          <w:szCs w:val="24"/>
        </w:rPr>
      </w:pPr>
    </w:p>
    <w:p w14:paraId="0000010B" w14:textId="21E43ED5" w:rsidR="00CB4215" w:rsidRDefault="000530B4">
      <w:pPr>
        <w:spacing w:line="480" w:lineRule="auto"/>
        <w:rPr>
          <w:rFonts w:ascii="Times New Roman" w:eastAsia="Times New Roman" w:hAnsi="Times New Roman" w:cs="Times New Roman"/>
          <w:sz w:val="24"/>
          <w:szCs w:val="24"/>
        </w:rPr>
      </w:pPr>
      <w:r w:rsidRPr="009C47A8">
        <w:rPr>
          <w:rFonts w:ascii="Times New Roman" w:eastAsia="Times New Roman" w:hAnsi="Times New Roman" w:cs="Times New Roman"/>
          <w:sz w:val="24"/>
          <w:szCs w:val="24"/>
        </w:rPr>
        <w:t xml:space="preserve">In addition, the 'obesogenic environment' also increased opportunities for low energy expenditure. Energy expenditure, including physical activity, has decreased over the past 50 years </w:t>
      </w:r>
      <w:hyperlink r:id="rId35">
        <w:r w:rsidRPr="009C47A8">
          <w:rPr>
            <w:rFonts w:ascii="Times New Roman" w:eastAsia="Times New Roman" w:hAnsi="Times New Roman" w:cs="Times New Roman"/>
            <w:sz w:val="24"/>
            <w:szCs w:val="24"/>
          </w:rPr>
          <w:t xml:space="preserve">(Prentice and </w:t>
        </w:r>
        <w:proofErr w:type="spellStart"/>
        <w:r w:rsidRPr="009C47A8">
          <w:rPr>
            <w:rFonts w:ascii="Times New Roman" w:eastAsia="Times New Roman" w:hAnsi="Times New Roman" w:cs="Times New Roman"/>
            <w:sz w:val="24"/>
            <w:szCs w:val="24"/>
          </w:rPr>
          <w:t>Jebb</w:t>
        </w:r>
        <w:proofErr w:type="spellEnd"/>
        <w:r w:rsidR="00ED54FE" w:rsidRPr="009C47A8">
          <w:rPr>
            <w:rFonts w:ascii="Times New Roman" w:eastAsia="Times New Roman" w:hAnsi="Times New Roman" w:cs="Times New Roman"/>
            <w:sz w:val="24"/>
            <w:szCs w:val="24"/>
          </w:rPr>
          <w:t>,</w:t>
        </w:r>
        <w:r w:rsidRPr="009C47A8">
          <w:rPr>
            <w:rFonts w:ascii="Times New Roman" w:eastAsia="Times New Roman" w:hAnsi="Times New Roman" w:cs="Times New Roman"/>
            <w:sz w:val="24"/>
            <w:szCs w:val="24"/>
          </w:rPr>
          <w:t xml:space="preserve"> 1995)</w:t>
        </w:r>
      </w:hyperlink>
      <w:r>
        <w:rPr>
          <w:rFonts w:ascii="Times New Roman" w:eastAsia="Times New Roman" w:hAnsi="Times New Roman" w:cs="Times New Roman"/>
          <w:sz w:val="24"/>
          <w:szCs w:val="24"/>
        </w:rPr>
        <w:t xml:space="preserve">. The 'built environment' refers to the artificial or modified settings that promote human activities </w:t>
      </w:r>
      <w:hyperlink r:id="rId36">
        <w:r>
          <w:rPr>
            <w:rFonts w:ascii="Times New Roman" w:eastAsia="Times New Roman" w:hAnsi="Times New Roman" w:cs="Times New Roman"/>
            <w:sz w:val="24"/>
            <w:szCs w:val="24"/>
          </w:rPr>
          <w:t>(Papas et al., 2007)</w:t>
        </w:r>
      </w:hyperlink>
      <w:r>
        <w:rPr>
          <w:rFonts w:ascii="Times New Roman" w:eastAsia="Times New Roman" w:hAnsi="Times New Roman" w:cs="Times New Roman"/>
          <w:sz w:val="24"/>
          <w:szCs w:val="24"/>
        </w:rPr>
        <w:t xml:space="preserve">. For instance, measured urban sprawl (the expansion of the geographic extent of cities and towns) was significantly associated with increased BMI and obesity after adjusting for socioeconomic and behavioural covariates </w:t>
      </w:r>
      <w:hyperlink r:id="rId37">
        <w:r>
          <w:rPr>
            <w:rFonts w:ascii="Times New Roman" w:eastAsia="Times New Roman" w:hAnsi="Times New Roman" w:cs="Times New Roman"/>
            <w:sz w:val="24"/>
            <w:szCs w:val="24"/>
          </w:rPr>
          <w:t>(Ewing et al., 2014)</w:t>
        </w:r>
      </w:hyperlink>
      <w:r>
        <w:rPr>
          <w:rFonts w:ascii="Times New Roman" w:eastAsia="Times New Roman" w:hAnsi="Times New Roman" w:cs="Times New Roman"/>
          <w:sz w:val="24"/>
          <w:szCs w:val="24"/>
        </w:rPr>
        <w:t xml:space="preserve">. This finding was also replicated in studies using population density as a proxy for urban sprawl </w:t>
      </w:r>
      <w:hyperlink r:id="rId38">
        <w:r>
          <w:rPr>
            <w:rFonts w:ascii="Times New Roman" w:eastAsia="Times New Roman" w:hAnsi="Times New Roman" w:cs="Times New Roman"/>
            <w:sz w:val="24"/>
            <w:szCs w:val="24"/>
          </w:rPr>
          <w:t>(Kelly-Schwartz et al., 2004; Giles-</w:t>
        </w:r>
        <w:proofErr w:type="spellStart"/>
        <w:r>
          <w:rPr>
            <w:rFonts w:ascii="Times New Roman" w:eastAsia="Times New Roman" w:hAnsi="Times New Roman" w:cs="Times New Roman"/>
            <w:sz w:val="24"/>
            <w:szCs w:val="24"/>
          </w:rPr>
          <w:t>Corti</w:t>
        </w:r>
        <w:proofErr w:type="spellEnd"/>
        <w:r>
          <w:rPr>
            <w:rFonts w:ascii="Times New Roman" w:eastAsia="Times New Roman" w:hAnsi="Times New Roman" w:cs="Times New Roman"/>
            <w:sz w:val="24"/>
            <w:szCs w:val="24"/>
          </w:rPr>
          <w:t xml:space="preserve"> et al., 2003; Epstein et al., 2012)</w:t>
        </w:r>
      </w:hyperlink>
      <w:r>
        <w:rPr>
          <w:rFonts w:ascii="Times New Roman" w:eastAsia="Times New Roman" w:hAnsi="Times New Roman" w:cs="Times New Roman"/>
          <w:sz w:val="24"/>
          <w:szCs w:val="24"/>
        </w:rPr>
        <w:t xml:space="preserve">. This can be explained by the imbalance between time spent commuting and time spent on healthy behaviours </w:t>
      </w:r>
      <w:hyperlink r:id="rId39">
        <w:r>
          <w:rPr>
            <w:rFonts w:ascii="Times New Roman" w:eastAsia="Times New Roman" w:hAnsi="Times New Roman" w:cs="Times New Roman"/>
            <w:sz w:val="24"/>
            <w:szCs w:val="24"/>
          </w:rPr>
          <w:t xml:space="preserve">(Langlois et al., 2016; </w:t>
        </w:r>
        <w:proofErr w:type="spellStart"/>
        <w:r>
          <w:rPr>
            <w:rFonts w:ascii="Times New Roman" w:eastAsia="Times New Roman" w:hAnsi="Times New Roman" w:cs="Times New Roman"/>
            <w:sz w:val="24"/>
            <w:szCs w:val="24"/>
          </w:rPr>
          <w:t>Hoehner</w:t>
        </w:r>
        <w:proofErr w:type="spellEnd"/>
        <w:r>
          <w:rPr>
            <w:rFonts w:ascii="Times New Roman" w:eastAsia="Times New Roman" w:hAnsi="Times New Roman" w:cs="Times New Roman"/>
            <w:sz w:val="24"/>
            <w:szCs w:val="24"/>
          </w:rPr>
          <w:t xml:space="preserve"> et al., 2012; </w:t>
        </w:r>
        <w:proofErr w:type="spellStart"/>
        <w:r>
          <w:rPr>
            <w:rFonts w:ascii="Times New Roman" w:eastAsia="Times New Roman" w:hAnsi="Times New Roman" w:cs="Times New Roman"/>
            <w:sz w:val="24"/>
            <w:szCs w:val="24"/>
          </w:rPr>
          <w:t>Tajalli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Hajbabaie</w:t>
        </w:r>
        <w:proofErr w:type="spellEnd"/>
        <w:r w:rsidR="00ED54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Urhonen</w:t>
        </w:r>
        <w:proofErr w:type="spellEnd"/>
        <w:r>
          <w:rPr>
            <w:rFonts w:ascii="Times New Roman" w:eastAsia="Times New Roman" w:hAnsi="Times New Roman" w:cs="Times New Roman"/>
            <w:sz w:val="24"/>
            <w:szCs w:val="24"/>
          </w:rPr>
          <w:t xml:space="preserve"> et al., 2016)</w:t>
        </w:r>
      </w:hyperlink>
      <w:r>
        <w:rPr>
          <w:rFonts w:ascii="Times New Roman" w:eastAsia="Times New Roman" w:hAnsi="Times New Roman" w:cs="Times New Roman"/>
          <w:sz w:val="24"/>
          <w:szCs w:val="24"/>
        </w:rPr>
        <w:t xml:space="preserve">, and the imbalance between time spent travelling and time spent on healthy behaviours such as cooking and </w:t>
      </w:r>
      <w:r w:rsidRPr="00ED54FE">
        <w:rPr>
          <w:rFonts w:ascii="Times New Roman" w:eastAsia="Times New Roman" w:hAnsi="Times New Roman" w:cs="Times New Roman"/>
          <w:sz w:val="24"/>
          <w:szCs w:val="24"/>
        </w:rPr>
        <w:t xml:space="preserve">exercise </w:t>
      </w:r>
      <w:hyperlink r:id="rId40">
        <w:r w:rsidRPr="00ED54FE">
          <w:rPr>
            <w:rFonts w:ascii="Times New Roman" w:eastAsia="Times New Roman" w:hAnsi="Times New Roman" w:cs="Times New Roman"/>
            <w:sz w:val="24"/>
            <w:szCs w:val="24"/>
          </w:rPr>
          <w:t>(Christian</w:t>
        </w:r>
        <w:r w:rsidR="007B20E9" w:rsidRPr="00ED54FE">
          <w:rPr>
            <w:rFonts w:ascii="Times New Roman" w:eastAsia="Times New Roman" w:hAnsi="Times New Roman" w:cs="Times New Roman"/>
            <w:sz w:val="24"/>
            <w:szCs w:val="24"/>
          </w:rPr>
          <w:t>,</w:t>
        </w:r>
        <w:r w:rsidRPr="00ED54FE">
          <w:rPr>
            <w:rFonts w:ascii="Times New Roman" w:eastAsia="Times New Roman" w:hAnsi="Times New Roman" w:cs="Times New Roman"/>
            <w:sz w:val="24"/>
            <w:szCs w:val="24"/>
          </w:rPr>
          <w:t xml:space="preserve"> 2012)</w:t>
        </w:r>
      </w:hyperlink>
      <w:r w:rsidRPr="00ED54FE">
        <w:rPr>
          <w:rFonts w:ascii="Times New Roman" w:eastAsia="Times New Roman" w:hAnsi="Times New Roman" w:cs="Times New Roman"/>
          <w:sz w:val="24"/>
          <w:szCs w:val="24"/>
        </w:rPr>
        <w:t>. In addition</w:t>
      </w:r>
      <w:r>
        <w:rPr>
          <w:rFonts w:ascii="Times New Roman" w:eastAsia="Times New Roman" w:hAnsi="Times New Roman" w:cs="Times New Roman"/>
          <w:sz w:val="24"/>
          <w:szCs w:val="24"/>
        </w:rPr>
        <w:t xml:space="preserve">, changes in transport and mechanisation have reduced the amount of physical activity, while the variety of sedentary screen-based entertainment has increased </w:t>
      </w:r>
      <w:hyperlink r:id="rId41">
        <w:r>
          <w:rPr>
            <w:rFonts w:ascii="Times New Roman" w:eastAsia="Times New Roman" w:hAnsi="Times New Roman" w:cs="Times New Roman"/>
            <w:sz w:val="24"/>
            <w:szCs w:val="24"/>
          </w:rPr>
          <w:t>(Brownson et al., 2005)</w:t>
        </w:r>
      </w:hyperlink>
      <w:r>
        <w:rPr>
          <w:rFonts w:ascii="Times New Roman" w:eastAsia="Times New Roman" w:hAnsi="Times New Roman" w:cs="Times New Roman"/>
          <w:sz w:val="24"/>
          <w:szCs w:val="24"/>
        </w:rPr>
        <w:t>. Therefore, genetics and the obesogenic environment play a role in the development of obesity. However, this idea illustrates the power of the environment to influence food intake and assert its dominance over the body's natural homeostatic regulation of food intake.</w:t>
      </w:r>
    </w:p>
    <w:p w14:paraId="0000010C" w14:textId="77777777" w:rsidR="00CB4215" w:rsidRDefault="00CB4215">
      <w:pPr>
        <w:spacing w:line="480" w:lineRule="auto"/>
        <w:rPr>
          <w:rFonts w:ascii="Times New Roman" w:eastAsia="Times New Roman" w:hAnsi="Times New Roman" w:cs="Times New Roman"/>
          <w:sz w:val="24"/>
          <w:szCs w:val="24"/>
        </w:rPr>
      </w:pPr>
    </w:p>
    <w:p w14:paraId="0000010D"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1.3.3 Individual differences in response to an obesogenic environment</w:t>
      </w:r>
    </w:p>
    <w:p w14:paraId="0000010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large degree of individual variability in the body weight under the obesogenic environment </w:t>
      </w:r>
      <w:hyperlink r:id="rId42">
        <w:r>
          <w:rPr>
            <w:rFonts w:ascii="Times New Roman" w:eastAsia="Times New Roman" w:hAnsi="Times New Roman" w:cs="Times New Roman"/>
            <w:sz w:val="24"/>
            <w:szCs w:val="24"/>
          </w:rPr>
          <w:t>(Blundell et al., 2005)</w:t>
        </w:r>
      </w:hyperlink>
      <w:r>
        <w:rPr>
          <w:rFonts w:ascii="Times New Roman" w:eastAsia="Times New Roman" w:hAnsi="Times New Roman" w:cs="Times New Roman"/>
          <w:sz w:val="24"/>
          <w:szCs w:val="24"/>
        </w:rPr>
        <w:t xml:space="preserve">. The prevalence of obesity is influenced by a variety of variables, including the food itself, such as foods with high energy density, high fat and larger </w:t>
      </w:r>
      <w:r>
        <w:rPr>
          <w:rFonts w:ascii="Times New Roman" w:eastAsia="Times New Roman" w:hAnsi="Times New Roman" w:cs="Times New Roman"/>
          <w:sz w:val="24"/>
          <w:szCs w:val="24"/>
        </w:rPr>
        <w:lastRenderedPageBreak/>
        <w:t xml:space="preserve">portion size, and the food environment, such as eating in fast food restaurants, eating out, snacking and watching TV </w:t>
      </w:r>
      <w:hyperlink r:id="rId43">
        <w:r>
          <w:rPr>
            <w:rFonts w:ascii="Times New Roman" w:eastAsia="Times New Roman" w:hAnsi="Times New Roman" w:cs="Times New Roman"/>
            <w:sz w:val="24"/>
            <w:szCs w:val="24"/>
          </w:rPr>
          <w:t>(Blundell et al., 2005)</w:t>
        </w:r>
      </w:hyperlink>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spite of</w:t>
      </w:r>
      <w:proofErr w:type="gramEnd"/>
      <w:r>
        <w:rPr>
          <w:rFonts w:ascii="Times New Roman" w:eastAsia="Times New Roman" w:hAnsi="Times New Roman" w:cs="Times New Roman"/>
          <w:sz w:val="24"/>
          <w:szCs w:val="24"/>
        </w:rPr>
        <w:t xml:space="preserve"> the obesogenic environment, not all individuals are living with obesity. This suggests that there is considerable variation in how individuals respond to the obesogenic environment </w:t>
      </w:r>
      <w:hyperlink r:id="rId44">
        <w:r>
          <w:rPr>
            <w:rFonts w:ascii="Times New Roman" w:eastAsia="Times New Roman" w:hAnsi="Times New Roman" w:cs="Times New Roman"/>
            <w:sz w:val="24"/>
            <w:szCs w:val="24"/>
          </w:rPr>
          <w:t>(Finlayson et al., 2012)</w:t>
        </w:r>
      </w:hyperlink>
      <w:r>
        <w:rPr>
          <w:rFonts w:ascii="Times New Roman" w:eastAsia="Times New Roman" w:hAnsi="Times New Roman" w:cs="Times New Roman"/>
          <w:sz w:val="24"/>
          <w:szCs w:val="24"/>
        </w:rPr>
        <w:t>. In principle, obesity is associated with a chronic state in which energy intake exceeds energy expenditure, known as a chronic positive energy balance. However, in an obesogenic environment it can be difficult to maintain a balance between energy intake and energy expenditure. Therefore, energy balance is discussed in the following sections.</w:t>
      </w:r>
    </w:p>
    <w:p w14:paraId="0000010F" w14:textId="77777777" w:rsidR="00CB4215" w:rsidRDefault="00CB4215">
      <w:pPr>
        <w:spacing w:line="480" w:lineRule="auto"/>
        <w:rPr>
          <w:rFonts w:ascii="Times New Roman" w:eastAsia="Times New Roman" w:hAnsi="Times New Roman" w:cs="Times New Roman"/>
          <w:sz w:val="24"/>
          <w:szCs w:val="24"/>
        </w:rPr>
      </w:pPr>
    </w:p>
    <w:p w14:paraId="00000110" w14:textId="77777777" w:rsidR="00CB4215" w:rsidRDefault="000530B4">
      <w:pPr>
        <w:pStyle w:val="Heading3"/>
        <w:spacing w:line="480" w:lineRule="auto"/>
        <w:rPr>
          <w:rFonts w:ascii="Times New Roman" w:eastAsia="Times New Roman" w:hAnsi="Times New Roman" w:cs="Times New Roman"/>
          <w:b/>
          <w:color w:val="000000"/>
        </w:rPr>
      </w:pPr>
      <w:bookmarkStart w:id="16" w:name="_Toc172984772"/>
      <w:r>
        <w:rPr>
          <w:rFonts w:ascii="Times New Roman" w:eastAsia="Times New Roman" w:hAnsi="Times New Roman" w:cs="Times New Roman"/>
          <w:b/>
          <w:color w:val="000000"/>
        </w:rPr>
        <w:t>1.4 Energy balance</w:t>
      </w:r>
      <w:bookmarkEnd w:id="16"/>
    </w:p>
    <w:p w14:paraId="00000111" w14:textId="655F065D"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basic thermodynamic principle is that energy cannot be destroyed, and it can only be gained, lost or stored by an organism. Energy balance is the state in which the amount of energy consumed is equal to the amount of energy expended </w:t>
      </w:r>
      <w:hyperlink r:id="rId45">
        <w:r>
          <w:rPr>
            <w:rFonts w:ascii="Times New Roman" w:eastAsia="Times New Roman" w:hAnsi="Times New Roman" w:cs="Times New Roman"/>
            <w:sz w:val="24"/>
            <w:szCs w:val="24"/>
          </w:rPr>
          <w:t>(Hill et al., 2013)</w:t>
        </w:r>
      </w:hyperlink>
      <w:r>
        <w:rPr>
          <w:rFonts w:ascii="Times New Roman" w:eastAsia="Times New Roman" w:hAnsi="Times New Roman" w:cs="Times New Roman"/>
          <w:sz w:val="24"/>
          <w:szCs w:val="24"/>
        </w:rPr>
        <w:t xml:space="preserve">. When the body is in a state of energy balance, body weight remains constant </w:t>
      </w:r>
      <w:hyperlink r:id="rId4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Hafekost</w:t>
        </w:r>
        <w:proofErr w:type="spellEnd"/>
        <w:r>
          <w:rPr>
            <w:rFonts w:ascii="Times New Roman" w:eastAsia="Times New Roman" w:hAnsi="Times New Roman" w:cs="Times New Roman"/>
            <w:sz w:val="24"/>
            <w:szCs w:val="24"/>
          </w:rPr>
          <w:t xml:space="preserve"> et al., 2013; Hill et al., 2012)</w:t>
        </w:r>
      </w:hyperlink>
      <w:r>
        <w:rPr>
          <w:rFonts w:ascii="Times New Roman" w:eastAsia="Times New Roman" w:hAnsi="Times New Roman" w:cs="Times New Roman"/>
          <w:sz w:val="24"/>
          <w:szCs w:val="24"/>
        </w:rPr>
        <w:t xml:space="preserve">. An individual's energy intake is determined by the consumption of nutritious food and beverages, including carbohydrates, protein, fat, and alcohol. The primary factors that contribute to energy expenditure are resting energy expenditure, which is the energy required for maintaining normal bodily functions and homeostasis, the thermic effect of food (TEF), which is the energy required for the absorption, digestion, and metabolism of consumed food and typically represents 8-10% of daily energy expenditure </w:t>
      </w:r>
      <w:hyperlink r:id="rId47">
        <w:r>
          <w:rPr>
            <w:rFonts w:ascii="Times New Roman" w:eastAsia="Times New Roman" w:hAnsi="Times New Roman" w:cs="Times New Roman"/>
            <w:sz w:val="24"/>
            <w:szCs w:val="24"/>
          </w:rPr>
          <w:t>(Johnstone et al., 2005)</w:t>
        </w:r>
      </w:hyperlink>
      <w:r>
        <w:rPr>
          <w:rFonts w:ascii="Times New Roman" w:eastAsia="Times New Roman" w:hAnsi="Times New Roman" w:cs="Times New Roman"/>
          <w:sz w:val="24"/>
          <w:szCs w:val="24"/>
        </w:rPr>
        <w:t xml:space="preserve"> and physical activity. Disruptions in energy balance </w:t>
      </w:r>
      <w:proofErr w:type="gramStart"/>
      <w:r>
        <w:rPr>
          <w:rFonts w:ascii="Times New Roman" w:eastAsia="Times New Roman" w:hAnsi="Times New Roman" w:cs="Times New Roman"/>
          <w:sz w:val="24"/>
          <w:szCs w:val="24"/>
        </w:rPr>
        <w:t>lead</w:t>
      </w:r>
      <w:proofErr w:type="gramEnd"/>
      <w:r>
        <w:rPr>
          <w:rFonts w:ascii="Times New Roman" w:eastAsia="Times New Roman" w:hAnsi="Times New Roman" w:cs="Times New Roman"/>
          <w:sz w:val="24"/>
          <w:szCs w:val="24"/>
        </w:rPr>
        <w:t xml:space="preserve"> to changes in body weight. When the amount of energy consumed is greater than the amount of energy expended, the body experiences a positive energy balance, resulting in an increase in body mass. Conversely, if the amount of energy expended is greater than the amount of energy </w:t>
      </w:r>
      <w:r>
        <w:rPr>
          <w:rFonts w:ascii="Times New Roman" w:eastAsia="Times New Roman" w:hAnsi="Times New Roman" w:cs="Times New Roman"/>
          <w:sz w:val="24"/>
          <w:szCs w:val="24"/>
        </w:rPr>
        <w:lastRenderedPageBreak/>
        <w:t xml:space="preserve">consumed, the body will experience a negative energy balance, leading to a decrease in body mass. The primary cause of changes in body composition from lean to overweight and finally to obesity is a persistent imbalance between energy intake and energy expenditure, with intake exceeding expenditure </w:t>
      </w:r>
      <w:hyperlink r:id="rId48">
        <w:r>
          <w:rPr>
            <w:rFonts w:ascii="Times New Roman" w:eastAsia="Times New Roman" w:hAnsi="Times New Roman" w:cs="Times New Roman"/>
            <w:sz w:val="24"/>
            <w:szCs w:val="24"/>
          </w:rPr>
          <w:t>(Mela and Rogers</w:t>
        </w:r>
        <w:r w:rsidR="00ED54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1998)</w:t>
        </w:r>
      </w:hyperlink>
      <w:r>
        <w:rPr>
          <w:rFonts w:ascii="Times New Roman" w:eastAsia="Times New Roman" w:hAnsi="Times New Roman" w:cs="Times New Roman"/>
          <w:sz w:val="24"/>
          <w:szCs w:val="24"/>
        </w:rPr>
        <w:t>.</w:t>
      </w:r>
    </w:p>
    <w:p w14:paraId="00000112" w14:textId="77777777" w:rsidR="00CB4215" w:rsidRDefault="00CB4215">
      <w:pPr>
        <w:spacing w:line="480" w:lineRule="auto"/>
        <w:rPr>
          <w:rFonts w:ascii="Times New Roman" w:eastAsia="Times New Roman" w:hAnsi="Times New Roman" w:cs="Times New Roman"/>
          <w:sz w:val="24"/>
          <w:szCs w:val="24"/>
        </w:rPr>
      </w:pPr>
    </w:p>
    <w:p w14:paraId="00000113"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 intake refers to the total amount of calories consumed by an individual and is made up of three primary macronutrient categories: carbohydrates (3.75 kcal/g), proteins (4 kcal/g), and fats (9 kcal/g). Another smaller component is alcohol (7 kcal/g). Survey data suggest that carbohydrate accounts for 45-65% of energy intake, protein for 10-30% and fat for 25-35% </w:t>
      </w:r>
      <w:hyperlink r:id="rId49">
        <w:r>
          <w:rPr>
            <w:rFonts w:ascii="Times New Roman" w:eastAsia="Times New Roman" w:hAnsi="Times New Roman" w:cs="Times New Roman"/>
            <w:sz w:val="24"/>
            <w:szCs w:val="24"/>
          </w:rPr>
          <w:t>(Kwon et al., 2020)</w:t>
        </w:r>
      </w:hyperlink>
      <w:r>
        <w:rPr>
          <w:rFonts w:ascii="Times New Roman" w:eastAsia="Times New Roman" w:hAnsi="Times New Roman" w:cs="Times New Roman"/>
          <w:sz w:val="24"/>
          <w:szCs w:val="24"/>
        </w:rPr>
        <w:t xml:space="preserve">. However, it is important to note that not all energy consumed can be metabolised and used for biological functions. The bioavailability of ingested foods varies, and approximately 2-10% of ingested energy is lost in the faeces. Individual differences in energy absorption depend on food composition, food preparation and intestinal variables </w:t>
      </w:r>
      <w:hyperlink r:id="rId50">
        <w:r>
          <w:rPr>
            <w:rFonts w:ascii="Times New Roman" w:eastAsia="Times New Roman" w:hAnsi="Times New Roman" w:cs="Times New Roman"/>
            <w:sz w:val="24"/>
            <w:szCs w:val="24"/>
          </w:rPr>
          <w:t>(Hall et al., 2012)</w:t>
        </w:r>
      </w:hyperlink>
      <w:r>
        <w:rPr>
          <w:rFonts w:ascii="Times New Roman" w:eastAsia="Times New Roman" w:hAnsi="Times New Roman" w:cs="Times New Roman"/>
          <w:sz w:val="24"/>
          <w:szCs w:val="24"/>
        </w:rPr>
        <w:t>.</w:t>
      </w:r>
    </w:p>
    <w:p w14:paraId="00000114" w14:textId="77777777" w:rsidR="00CB4215" w:rsidRDefault="00CB4215">
      <w:pPr>
        <w:spacing w:line="480" w:lineRule="auto"/>
        <w:rPr>
          <w:rFonts w:ascii="Times New Roman" w:eastAsia="Times New Roman" w:hAnsi="Times New Roman" w:cs="Times New Roman"/>
          <w:sz w:val="24"/>
          <w:szCs w:val="24"/>
        </w:rPr>
      </w:pPr>
    </w:p>
    <w:p w14:paraId="00000115" w14:textId="1C1C916A"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 expenditure is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calories burned </w:t>
      </w:r>
      <w:hyperlink r:id="rId51">
        <w:r w:rsidRPr="00AD28AA">
          <w:rPr>
            <w:rFonts w:ascii="Times New Roman" w:eastAsia="Times New Roman" w:hAnsi="Times New Roman" w:cs="Times New Roman"/>
            <w:sz w:val="24"/>
            <w:szCs w:val="24"/>
          </w:rPr>
          <w:t>(Hall and Guo</w:t>
        </w:r>
        <w:r w:rsidR="006F70F3" w:rsidRPr="00AD28AA">
          <w:rPr>
            <w:rFonts w:ascii="Times New Roman" w:eastAsia="Times New Roman" w:hAnsi="Times New Roman" w:cs="Times New Roman"/>
            <w:sz w:val="24"/>
            <w:szCs w:val="24"/>
          </w:rPr>
          <w:t>,</w:t>
        </w:r>
        <w:r w:rsidRPr="00AD28AA">
          <w:rPr>
            <w:rFonts w:ascii="Times New Roman" w:eastAsia="Times New Roman" w:hAnsi="Times New Roman" w:cs="Times New Roman"/>
            <w:sz w:val="24"/>
            <w:szCs w:val="24"/>
          </w:rPr>
          <w:t xml:space="preserve"> 2017)</w:t>
        </w:r>
      </w:hyperlink>
      <w:r w:rsidRPr="00AD28AA">
        <w:rPr>
          <w:rFonts w:ascii="Times New Roman" w:eastAsia="Times New Roman" w:hAnsi="Times New Roman" w:cs="Times New Roman"/>
          <w:sz w:val="24"/>
          <w:szCs w:val="24"/>
        </w:rPr>
        <w:t>. R</w:t>
      </w:r>
      <w:r>
        <w:rPr>
          <w:rFonts w:ascii="Times New Roman" w:eastAsia="Times New Roman" w:hAnsi="Times New Roman" w:cs="Times New Roman"/>
          <w:sz w:val="24"/>
          <w:szCs w:val="24"/>
        </w:rPr>
        <w:t xml:space="preserve">esting energy expenditure, which accounts for about 50-70% of total energy expenditure, is the most prominent part of daily energy expenditure. It is influenced by factors such as body mass and body composition. More specifically, an increase in body mass and lean body mass leads to a higher resting energy expenditure </w:t>
      </w:r>
      <w:hyperlink r:id="rId52">
        <w:r>
          <w:rPr>
            <w:rFonts w:ascii="Times New Roman" w:eastAsia="Times New Roman" w:hAnsi="Times New Roman" w:cs="Times New Roman"/>
            <w:sz w:val="24"/>
            <w:szCs w:val="24"/>
          </w:rPr>
          <w:t>(Nelson et al., 1992)</w:t>
        </w:r>
      </w:hyperlink>
      <w:r>
        <w:rPr>
          <w:rFonts w:ascii="Times New Roman" w:eastAsia="Times New Roman" w:hAnsi="Times New Roman" w:cs="Times New Roman"/>
          <w:sz w:val="24"/>
          <w:szCs w:val="24"/>
        </w:rPr>
        <w:t xml:space="preserve">. The thermic effect of food refers to the amount of energy required to metabolise and process the macronutrients in our diet. Protein causes the highest energy expenditure, followed by carbohydrates and then fat </w:t>
      </w:r>
      <w:hyperlink r:id="rId5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Westerterp-Plantenga</w:t>
        </w:r>
        <w:proofErr w:type="spellEnd"/>
        <w:r>
          <w:rPr>
            <w:rFonts w:ascii="Times New Roman" w:eastAsia="Times New Roman" w:hAnsi="Times New Roman" w:cs="Times New Roman"/>
            <w:sz w:val="24"/>
            <w:szCs w:val="24"/>
          </w:rPr>
          <w:t xml:space="preserve"> et al., 2006)</w:t>
        </w:r>
      </w:hyperlink>
      <w:r>
        <w:rPr>
          <w:rFonts w:ascii="Times New Roman" w:eastAsia="Times New Roman" w:hAnsi="Times New Roman" w:cs="Times New Roman"/>
          <w:sz w:val="24"/>
          <w:szCs w:val="24"/>
        </w:rPr>
        <w:t xml:space="preserve">. Physical activity is the behavioural component of energy expenditure and accounts for 25-35% of total daily energy expenditure, depending on the individual's level of physical activity. Physical activity can be divided into two types: </w:t>
      </w:r>
      <w:r>
        <w:rPr>
          <w:rFonts w:ascii="Times New Roman" w:eastAsia="Times New Roman" w:hAnsi="Times New Roman" w:cs="Times New Roman"/>
          <w:sz w:val="24"/>
          <w:szCs w:val="24"/>
        </w:rPr>
        <w:lastRenderedPageBreak/>
        <w:t xml:space="preserve">exercise energy expenditure, which refers to planned and scheduled physical activity, and non-exercise physical activity, which includes activities of daily living </w:t>
      </w:r>
      <w:hyperlink r:id="rId54">
        <w:r>
          <w:rPr>
            <w:rFonts w:ascii="Times New Roman" w:eastAsia="Times New Roman" w:hAnsi="Times New Roman" w:cs="Times New Roman"/>
            <w:sz w:val="24"/>
            <w:szCs w:val="24"/>
          </w:rPr>
          <w:t>(Levine et al., 1999)</w:t>
        </w:r>
      </w:hyperlink>
      <w:r>
        <w:rPr>
          <w:rFonts w:ascii="Times New Roman" w:eastAsia="Times New Roman" w:hAnsi="Times New Roman" w:cs="Times New Roman"/>
          <w:sz w:val="24"/>
          <w:szCs w:val="24"/>
        </w:rPr>
        <w:t xml:space="preserve">. </w:t>
      </w:r>
    </w:p>
    <w:p w14:paraId="00000116" w14:textId="77777777" w:rsidR="00CB4215" w:rsidRDefault="00CB4215">
      <w:pPr>
        <w:spacing w:line="480" w:lineRule="auto"/>
        <w:rPr>
          <w:rFonts w:ascii="Times New Roman" w:eastAsia="Times New Roman" w:hAnsi="Times New Roman" w:cs="Times New Roman"/>
          <w:sz w:val="24"/>
          <w:szCs w:val="24"/>
        </w:rPr>
      </w:pPr>
    </w:p>
    <w:p w14:paraId="00000117" w14:textId="05F6620A"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mechanisms that control the energy balance system are still incompletely understood, but </w:t>
      </w:r>
      <w:proofErr w:type="gramStart"/>
      <w:r>
        <w:rPr>
          <w:rFonts w:ascii="Times New Roman" w:eastAsia="Times New Roman" w:hAnsi="Times New Roman" w:cs="Times New Roman"/>
          <w:sz w:val="24"/>
          <w:szCs w:val="24"/>
        </w:rPr>
        <w:t>it is clear that complex</w:t>
      </w:r>
      <w:proofErr w:type="gramEnd"/>
      <w:r>
        <w:rPr>
          <w:rFonts w:ascii="Times New Roman" w:eastAsia="Times New Roman" w:hAnsi="Times New Roman" w:cs="Times New Roman"/>
          <w:sz w:val="24"/>
          <w:szCs w:val="24"/>
        </w:rPr>
        <w:t xml:space="preserve"> physiological processes are involved </w:t>
      </w:r>
      <w:hyperlink r:id="rId55">
        <w:r>
          <w:rPr>
            <w:rFonts w:ascii="Times New Roman" w:eastAsia="Times New Roman" w:hAnsi="Times New Roman" w:cs="Times New Roman"/>
            <w:sz w:val="24"/>
            <w:szCs w:val="24"/>
          </w:rPr>
          <w:t>(Hill et al., 2013)</w:t>
        </w:r>
      </w:hyperlink>
      <w:r>
        <w:rPr>
          <w:rFonts w:ascii="Times New Roman" w:eastAsia="Times New Roman" w:hAnsi="Times New Roman" w:cs="Times New Roman"/>
          <w:sz w:val="24"/>
          <w:szCs w:val="24"/>
        </w:rPr>
        <w:t xml:space="preserve">. Energy balance is a dynamic process between energy intake and energy expenditure. Changes on either side of the equation (energy intake or energy expenditure) do not have a simple additive or subtractive effect on the body’s energy stores. The focus of this thesis is the timing of food </w:t>
      </w:r>
      <w:r w:rsidR="006C51FD">
        <w:rPr>
          <w:rFonts w:ascii="Times New Roman" w:eastAsia="Times New Roman" w:hAnsi="Times New Roman" w:cs="Times New Roman"/>
          <w:sz w:val="24"/>
          <w:szCs w:val="24"/>
        </w:rPr>
        <w:t>intake;</w:t>
      </w:r>
      <w:r>
        <w:rPr>
          <w:rFonts w:ascii="Times New Roman" w:eastAsia="Times New Roman" w:hAnsi="Times New Roman" w:cs="Times New Roman"/>
          <w:sz w:val="24"/>
          <w:szCs w:val="24"/>
        </w:rPr>
        <w:t xml:space="preserve"> thus, it is necessary to consider the wider context regarding the drivers of eating behaviour.</w:t>
      </w:r>
    </w:p>
    <w:p w14:paraId="00000118" w14:textId="77777777" w:rsidR="00CB4215" w:rsidRDefault="00CB4215">
      <w:pPr>
        <w:spacing w:line="480" w:lineRule="auto"/>
        <w:rPr>
          <w:rFonts w:ascii="Times New Roman" w:eastAsia="Times New Roman" w:hAnsi="Times New Roman" w:cs="Times New Roman"/>
          <w:sz w:val="24"/>
          <w:szCs w:val="24"/>
        </w:rPr>
      </w:pPr>
    </w:p>
    <w:p w14:paraId="00000119" w14:textId="77777777" w:rsidR="00CB4215" w:rsidRDefault="000530B4">
      <w:pPr>
        <w:pStyle w:val="Heading3"/>
        <w:spacing w:line="480" w:lineRule="auto"/>
        <w:rPr>
          <w:rFonts w:ascii="Times New Roman" w:eastAsia="Times New Roman" w:hAnsi="Times New Roman" w:cs="Times New Roman"/>
          <w:b/>
          <w:color w:val="000000"/>
        </w:rPr>
      </w:pPr>
      <w:bookmarkStart w:id="17" w:name="_Toc172984773"/>
      <w:r>
        <w:rPr>
          <w:rFonts w:ascii="Times New Roman" w:eastAsia="Times New Roman" w:hAnsi="Times New Roman" w:cs="Times New Roman"/>
          <w:b/>
          <w:color w:val="000000"/>
        </w:rPr>
        <w:t>1.5 Drivers of eating behaviour</w:t>
      </w:r>
      <w:bookmarkEnd w:id="17"/>
    </w:p>
    <w:p w14:paraId="0000011A" w14:textId="77864BB6"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 of eating behaviour includes a variety of decisions related to food selection, the timing of eating and the amount of food consumption. Understanding eating behaviour is important given the significant implications of our food choices for both individuals and society </w:t>
      </w:r>
      <w:hyperlink r:id="rId56">
        <w:r>
          <w:rPr>
            <w:rFonts w:ascii="Times New Roman" w:eastAsia="Times New Roman" w:hAnsi="Times New Roman" w:cs="Times New Roman"/>
            <w:sz w:val="24"/>
            <w:szCs w:val="24"/>
          </w:rPr>
          <w:t>(Gahagan</w:t>
        </w:r>
        <w:r w:rsidR="008953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xml:space="preserve">. The primary goal of food consumption is to obtain an adequate amount of nutrients to meet biological needs. However, the choice and amount of food required to achieve this objective is influenced by various elements such as physiological needs, environmental contexts </w:t>
      </w:r>
      <w:hyperlink r:id="rId57">
        <w:r>
          <w:rPr>
            <w:rFonts w:ascii="Times New Roman" w:eastAsia="Times New Roman" w:hAnsi="Times New Roman" w:cs="Times New Roman"/>
            <w:sz w:val="24"/>
            <w:szCs w:val="24"/>
          </w:rPr>
          <w:t>(Larson and Story</w:t>
        </w:r>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2009)</w:t>
        </w:r>
      </w:hyperlink>
      <w:r>
        <w:rPr>
          <w:rFonts w:ascii="Times New Roman" w:eastAsia="Times New Roman" w:hAnsi="Times New Roman" w:cs="Times New Roman"/>
          <w:sz w:val="24"/>
          <w:szCs w:val="24"/>
        </w:rPr>
        <w:t xml:space="preserve">, cultural influences </w:t>
      </w:r>
      <w:hyperlink r:id="rId58">
        <w:r>
          <w:rPr>
            <w:rFonts w:ascii="Times New Roman" w:eastAsia="Times New Roman" w:hAnsi="Times New Roman" w:cs="Times New Roman"/>
            <w:sz w:val="24"/>
            <w:szCs w:val="24"/>
          </w:rPr>
          <w:t>(Novotny et al., 2009)</w:t>
        </w:r>
      </w:hyperlink>
      <w:r>
        <w:rPr>
          <w:rFonts w:ascii="Times New Roman" w:eastAsia="Times New Roman" w:hAnsi="Times New Roman" w:cs="Times New Roman"/>
          <w:sz w:val="24"/>
          <w:szCs w:val="24"/>
        </w:rPr>
        <w:t xml:space="preserve"> and emotional aspects </w:t>
      </w:r>
      <w:hyperlink r:id="rId59">
        <w:r>
          <w:rPr>
            <w:rFonts w:ascii="Times New Roman" w:eastAsia="Times New Roman" w:hAnsi="Times New Roman" w:cs="Times New Roman"/>
            <w:sz w:val="24"/>
            <w:szCs w:val="24"/>
          </w:rPr>
          <w:t>(Nicholls et al., 2016)</w:t>
        </w:r>
      </w:hyperlink>
      <w:r>
        <w:rPr>
          <w:rFonts w:ascii="Times New Roman" w:eastAsia="Times New Roman" w:hAnsi="Times New Roman" w:cs="Times New Roman"/>
          <w:sz w:val="24"/>
          <w:szCs w:val="24"/>
        </w:rPr>
        <w:t xml:space="preserve">. For example, physiological signals may indicate the need for food intake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changes in energy balance </w:t>
      </w:r>
      <w:hyperlink r:id="rId60">
        <w:r>
          <w:rPr>
            <w:rFonts w:ascii="Times New Roman" w:eastAsia="Times New Roman" w:hAnsi="Times New Roman" w:cs="Times New Roman"/>
            <w:sz w:val="24"/>
            <w:szCs w:val="24"/>
          </w:rPr>
          <w:t>(Cummings et al., 2001)</w:t>
        </w:r>
      </w:hyperlink>
      <w:r>
        <w:rPr>
          <w:rFonts w:ascii="Times New Roman" w:eastAsia="Times New Roman" w:hAnsi="Times New Roman" w:cs="Times New Roman"/>
          <w:sz w:val="24"/>
          <w:szCs w:val="24"/>
        </w:rPr>
        <w:t>. Therefore, both internal and external drivers of energy intake are discussed in the following sections.</w:t>
      </w:r>
    </w:p>
    <w:p w14:paraId="0000011B"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1.5.1 Internal drivers of energy intake</w:t>
      </w:r>
    </w:p>
    <w:p w14:paraId="0000011C" w14:textId="6422813A"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has shown that genetics play a role in influencing an individual’s eating behaviours and their susceptibility to living with obesity </w:t>
      </w:r>
      <w:hyperlink r:id="rId61">
        <w:r>
          <w:rPr>
            <w:rFonts w:ascii="Times New Roman" w:eastAsia="Times New Roman" w:hAnsi="Times New Roman" w:cs="Times New Roman"/>
            <w:sz w:val="24"/>
            <w:szCs w:val="24"/>
          </w:rPr>
          <w:t>(Llewellyn et al., 2023)</w:t>
        </w:r>
      </w:hyperlink>
      <w:r>
        <w:rPr>
          <w:rFonts w:ascii="Times New Roman" w:eastAsia="Times New Roman" w:hAnsi="Times New Roman" w:cs="Times New Roman"/>
          <w:sz w:val="24"/>
          <w:szCs w:val="24"/>
        </w:rPr>
        <w:t xml:space="preserve">. Research also suggests that there is a genetic component that is at least partly responsible for variations in eating behaviours </w:t>
      </w:r>
      <w:hyperlink r:id="rId62">
        <w:r>
          <w:rPr>
            <w:rFonts w:ascii="Times New Roman" w:eastAsia="Times New Roman" w:hAnsi="Times New Roman" w:cs="Times New Roman"/>
            <w:sz w:val="24"/>
            <w:szCs w:val="24"/>
          </w:rPr>
          <w:t xml:space="preserve">(Grimm and </w:t>
        </w:r>
        <w:proofErr w:type="spellStart"/>
        <w:r>
          <w:rPr>
            <w:rFonts w:ascii="Times New Roman" w:eastAsia="Times New Roman" w:hAnsi="Times New Roman" w:cs="Times New Roman"/>
            <w:sz w:val="24"/>
            <w:szCs w:val="24"/>
          </w:rPr>
          <w:t>Steinle</w:t>
        </w:r>
        <w:proofErr w:type="spellEnd"/>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2011)</w:t>
        </w:r>
      </w:hyperlink>
      <w:r>
        <w:rPr>
          <w:rFonts w:ascii="Times New Roman" w:eastAsia="Times New Roman" w:hAnsi="Times New Roman" w:cs="Times New Roman"/>
          <w:sz w:val="24"/>
          <w:szCs w:val="24"/>
        </w:rPr>
        <w:t xml:space="preserve">. These genetic components do not only influence eating behaviours, but also the responsiveness of an individual to the environment </w:t>
      </w:r>
      <w:hyperlink r:id="rId63">
        <w:r>
          <w:rPr>
            <w:rFonts w:ascii="Times New Roman" w:eastAsia="Times New Roman" w:hAnsi="Times New Roman" w:cs="Times New Roman"/>
            <w:sz w:val="24"/>
            <w:szCs w:val="24"/>
          </w:rPr>
          <w:t>(De Castro-</w:t>
        </w:r>
        <w:proofErr w:type="spellStart"/>
        <w:r>
          <w:rPr>
            <w:rFonts w:ascii="Times New Roman" w:eastAsia="Times New Roman" w:hAnsi="Times New Roman" w:cs="Times New Roman"/>
            <w:sz w:val="24"/>
            <w:szCs w:val="24"/>
          </w:rPr>
          <w:t>Orós</w:t>
        </w:r>
        <w:proofErr w:type="spellEnd"/>
        <w:r>
          <w:rPr>
            <w:rFonts w:ascii="Times New Roman" w:eastAsia="Times New Roman" w:hAnsi="Times New Roman" w:cs="Times New Roman"/>
            <w:sz w:val="24"/>
            <w:szCs w:val="24"/>
          </w:rPr>
          <w:t xml:space="preserve"> et al., 2010)</w:t>
        </w:r>
      </w:hyperlink>
      <w:r>
        <w:rPr>
          <w:rFonts w:ascii="Times New Roman" w:eastAsia="Times New Roman" w:hAnsi="Times New Roman" w:cs="Times New Roman"/>
          <w:sz w:val="24"/>
          <w:szCs w:val="24"/>
        </w:rPr>
        <w:t xml:space="preserve">. Genetic differences, omissions or mutations influence the response of different brain regions, hormones or peptides linked to appetite (subjective expression of motivation to consume certain foods; </w:t>
      </w:r>
      <w:hyperlink r:id="rId64">
        <w:r>
          <w:rPr>
            <w:rFonts w:ascii="Times New Roman" w:eastAsia="Times New Roman" w:hAnsi="Times New Roman" w:cs="Times New Roman"/>
            <w:sz w:val="24"/>
            <w:szCs w:val="24"/>
          </w:rPr>
          <w:t>Hopkins et al., 2015</w:t>
        </w:r>
      </w:hyperlink>
      <w:r>
        <w:rPr>
          <w:rFonts w:ascii="Times New Roman" w:eastAsia="Times New Roman" w:hAnsi="Times New Roman" w:cs="Times New Roman"/>
          <w:sz w:val="24"/>
          <w:szCs w:val="24"/>
        </w:rPr>
        <w:t xml:space="preserve">) and various eating behaviours </w:t>
      </w:r>
      <w:hyperlink r:id="rId65">
        <w:r>
          <w:rPr>
            <w:rFonts w:ascii="Times New Roman" w:eastAsia="Times New Roman" w:hAnsi="Times New Roman" w:cs="Times New Roman"/>
            <w:sz w:val="24"/>
            <w:szCs w:val="24"/>
          </w:rPr>
          <w:t>(Austin and Marks</w:t>
        </w:r>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2009)</w:t>
        </w:r>
      </w:hyperlink>
      <w:r>
        <w:rPr>
          <w:rFonts w:ascii="Times New Roman" w:eastAsia="Times New Roman" w:hAnsi="Times New Roman" w:cs="Times New Roman"/>
          <w:sz w:val="24"/>
          <w:szCs w:val="24"/>
        </w:rPr>
        <w:t xml:space="preserve">. For example, genetic variations or mutations in dopamine receptors in the brain influence how an individual's reward system responds to food </w:t>
      </w:r>
      <w:hyperlink r:id="rId6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Felsted</w:t>
        </w:r>
        <w:proofErr w:type="spellEnd"/>
        <w:r>
          <w:rPr>
            <w:rFonts w:ascii="Times New Roman" w:eastAsia="Times New Roman" w:hAnsi="Times New Roman" w:cs="Times New Roman"/>
            <w:sz w:val="24"/>
            <w:szCs w:val="24"/>
          </w:rPr>
          <w:t xml:space="preserve"> et al., 2010)</w:t>
        </w:r>
      </w:hyperlink>
      <w:r>
        <w:rPr>
          <w:rFonts w:ascii="Times New Roman" w:eastAsia="Times New Roman" w:hAnsi="Times New Roman" w:cs="Times New Roman"/>
          <w:sz w:val="24"/>
          <w:szCs w:val="24"/>
        </w:rPr>
        <w:t xml:space="preserve">. </w:t>
      </w:r>
    </w:p>
    <w:p w14:paraId="0000011D" w14:textId="77777777" w:rsidR="00CB4215" w:rsidRDefault="00CB4215">
      <w:pPr>
        <w:spacing w:line="480" w:lineRule="auto"/>
        <w:rPr>
          <w:rFonts w:ascii="Times New Roman" w:eastAsia="Times New Roman" w:hAnsi="Times New Roman" w:cs="Times New Roman"/>
          <w:sz w:val="24"/>
          <w:szCs w:val="24"/>
        </w:rPr>
      </w:pPr>
    </w:p>
    <w:p w14:paraId="0000011E" w14:textId="77777777" w:rsidR="00CB4215" w:rsidRDefault="000530B4">
      <w:pPr>
        <w:pStyle w:val="Heading5"/>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1.5.1.1 Gut microbiome </w:t>
      </w:r>
    </w:p>
    <w:p w14:paraId="0000011F" w14:textId="7DE40F84"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gut microbiota, a diverse community of microorganisms, has functions beyond digestion and may influence food cravings and eating behaviour  </w:t>
      </w:r>
      <w:hyperlink r:id="rId6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Alcock</w:t>
        </w:r>
        <w:proofErr w:type="spellEnd"/>
        <w:r>
          <w:rPr>
            <w:rFonts w:ascii="Times New Roman" w:eastAsia="Times New Roman" w:hAnsi="Times New Roman" w:cs="Times New Roman"/>
            <w:sz w:val="24"/>
            <w:szCs w:val="24"/>
          </w:rPr>
          <w:t xml:space="preserve"> et al., 2014; Rhee et al., 2009; Norris et al., 2013; </w:t>
        </w:r>
        <w:proofErr w:type="spellStart"/>
        <w:r>
          <w:rPr>
            <w:rFonts w:ascii="Times New Roman" w:eastAsia="Times New Roman" w:hAnsi="Times New Roman" w:cs="Times New Roman"/>
            <w:sz w:val="24"/>
            <w:szCs w:val="24"/>
          </w:rPr>
          <w:t>Lyte</w:t>
        </w:r>
        <w:proofErr w:type="spellEnd"/>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2011)</w:t>
        </w:r>
      </w:hyperlink>
      <w:r>
        <w:rPr>
          <w:rFonts w:ascii="Times New Roman" w:eastAsia="Times New Roman" w:hAnsi="Times New Roman" w:cs="Times New Roman"/>
          <w:sz w:val="24"/>
          <w:szCs w:val="24"/>
        </w:rPr>
        <w:t xml:space="preserve">. The nutrient composition of food influences both individual members of the microbiota and microbial consortia. For example, </w:t>
      </w:r>
      <w:proofErr w:type="spellStart"/>
      <w:r>
        <w:rPr>
          <w:rFonts w:ascii="Times New Roman" w:eastAsia="Times New Roman" w:hAnsi="Times New Roman" w:cs="Times New Roman"/>
          <w:sz w:val="24"/>
          <w:szCs w:val="24"/>
        </w:rPr>
        <w:t>Prevotella</w:t>
      </w:r>
      <w:proofErr w:type="spellEnd"/>
      <w:r>
        <w:rPr>
          <w:rFonts w:ascii="Times New Roman" w:eastAsia="Times New Roman" w:hAnsi="Times New Roman" w:cs="Times New Roman"/>
          <w:sz w:val="24"/>
          <w:szCs w:val="24"/>
        </w:rPr>
        <w:t xml:space="preserve"> thrives on carbohydrates, while </w:t>
      </w:r>
      <w:proofErr w:type="spellStart"/>
      <w:r>
        <w:rPr>
          <w:rFonts w:ascii="Times New Roman" w:eastAsia="Times New Roman" w:hAnsi="Times New Roman" w:cs="Times New Roman"/>
          <w:sz w:val="24"/>
          <w:szCs w:val="24"/>
        </w:rPr>
        <w:t>Bifidobacteria</w:t>
      </w:r>
      <w:proofErr w:type="spellEnd"/>
      <w:r>
        <w:rPr>
          <w:rFonts w:ascii="Times New Roman" w:eastAsia="Times New Roman" w:hAnsi="Times New Roman" w:cs="Times New Roman"/>
          <w:sz w:val="24"/>
          <w:szCs w:val="24"/>
        </w:rPr>
        <w:t xml:space="preserve"> benefit from dietary fibre </w:t>
      </w:r>
      <w:hyperlink r:id="rId68">
        <w:r>
          <w:rPr>
            <w:rFonts w:ascii="Times New Roman" w:eastAsia="Times New Roman" w:hAnsi="Times New Roman" w:cs="Times New Roman"/>
            <w:sz w:val="24"/>
            <w:szCs w:val="24"/>
          </w:rPr>
          <w:t>(González-Rodríguez et al., 2013)</w:t>
        </w:r>
      </w:hyperlink>
      <w:r>
        <w:rPr>
          <w:rFonts w:ascii="Times New Roman" w:eastAsia="Times New Roman" w:hAnsi="Times New Roman" w:cs="Times New Roman"/>
          <w:sz w:val="24"/>
          <w:szCs w:val="24"/>
        </w:rPr>
        <w:t xml:space="preserve">, and Bacteroidetes prefer certain lipids </w:t>
      </w:r>
      <w:hyperlink r:id="rId69">
        <w:r>
          <w:rPr>
            <w:rFonts w:ascii="Times New Roman" w:eastAsia="Times New Roman" w:hAnsi="Times New Roman" w:cs="Times New Roman"/>
            <w:sz w:val="24"/>
            <w:szCs w:val="24"/>
          </w:rPr>
          <w:t>(Wu et al., 2011)</w:t>
        </w:r>
      </w:hyperlink>
      <w:r>
        <w:rPr>
          <w:rFonts w:ascii="Times New Roman" w:eastAsia="Times New Roman" w:hAnsi="Times New Roman" w:cs="Times New Roman"/>
          <w:sz w:val="24"/>
          <w:szCs w:val="24"/>
        </w:rPr>
        <w:t xml:space="preserve">. Other research suggests a link between appetite and gut flora composition </w:t>
      </w:r>
      <w:hyperlink r:id="rId7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Alcock</w:t>
        </w:r>
        <w:proofErr w:type="spellEnd"/>
        <w:r>
          <w:rPr>
            <w:rFonts w:ascii="Times New Roman" w:eastAsia="Times New Roman" w:hAnsi="Times New Roman" w:cs="Times New Roman"/>
            <w:sz w:val="24"/>
            <w:szCs w:val="24"/>
          </w:rPr>
          <w:t xml:space="preserve"> et al., 2014)</w:t>
        </w:r>
      </w:hyperlink>
      <w:r>
        <w:rPr>
          <w:rFonts w:ascii="Times New Roman" w:eastAsia="Times New Roman" w:hAnsi="Times New Roman" w:cs="Times New Roman"/>
          <w:sz w:val="24"/>
          <w:szCs w:val="24"/>
        </w:rPr>
        <w:t xml:space="preserve">. For example, </w:t>
      </w:r>
      <w:proofErr w:type="spellStart"/>
      <w:r>
        <w:rPr>
          <w:rFonts w:ascii="Times New Roman" w:eastAsia="Times New Roman" w:hAnsi="Times New Roman" w:cs="Times New Roman"/>
          <w:sz w:val="24"/>
          <w:szCs w:val="24"/>
        </w:rPr>
        <w:t>Rezzi</w:t>
      </w:r>
      <w:proofErr w:type="spellEnd"/>
      <w:r>
        <w:rPr>
          <w:rFonts w:ascii="Times New Roman" w:eastAsia="Times New Roman" w:hAnsi="Times New Roman" w:cs="Times New Roman"/>
          <w:sz w:val="24"/>
          <w:szCs w:val="24"/>
        </w:rPr>
        <w:t xml:space="preserve"> et al. (2007) found different microbial metabolites in urine samples from those who had a strong craving for chocolate compared to those who were not interested in chocolate. In the neuroendocrine pathway, microbes produce a variety of peptides that are analogues of hormones involved in eating behaviour and also generate appetite-regulating </w:t>
      </w:r>
      <w:r>
        <w:rPr>
          <w:rFonts w:ascii="Times New Roman" w:eastAsia="Times New Roman" w:hAnsi="Times New Roman" w:cs="Times New Roman"/>
          <w:sz w:val="24"/>
          <w:szCs w:val="24"/>
        </w:rPr>
        <w:lastRenderedPageBreak/>
        <w:t xml:space="preserve">hormones e.g.,  ghrelin, leptin, glucagon-like peptide 1 (GLP1) and peptide YY (PYY) </w:t>
      </w:r>
      <w:hyperlink r:id="rId7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Roels</w:t>
        </w:r>
        <w:proofErr w:type="spellEnd"/>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2021)</w:t>
        </w:r>
      </w:hyperlink>
      <w:r>
        <w:rPr>
          <w:rFonts w:ascii="Times New Roman" w:eastAsia="Times New Roman" w:hAnsi="Times New Roman" w:cs="Times New Roman"/>
          <w:sz w:val="24"/>
          <w:szCs w:val="24"/>
        </w:rPr>
        <w:t>.</w:t>
      </w:r>
    </w:p>
    <w:p w14:paraId="00000120" w14:textId="77777777" w:rsidR="00CB4215" w:rsidRDefault="00CB4215">
      <w:pPr>
        <w:spacing w:line="480" w:lineRule="auto"/>
        <w:rPr>
          <w:rFonts w:ascii="Times New Roman" w:eastAsia="Times New Roman" w:hAnsi="Times New Roman" w:cs="Times New Roman"/>
          <w:sz w:val="24"/>
          <w:szCs w:val="24"/>
        </w:rPr>
      </w:pPr>
    </w:p>
    <w:p w14:paraId="00000121" w14:textId="77777777" w:rsidR="00CB4215" w:rsidRDefault="000530B4">
      <w:pPr>
        <w:pStyle w:val="Heading5"/>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1.5.1.2 Homeostatic system</w:t>
      </w:r>
    </w:p>
    <w:p w14:paraId="00000122" w14:textId="51143D55"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'homeostatic' model of eating behaviour is fundamentally based on the influence of genetics on appetite-related hormones and peptides </w:t>
      </w:r>
      <w:hyperlink r:id="rId72">
        <w:r>
          <w:rPr>
            <w:rFonts w:ascii="Times New Roman" w:eastAsia="Times New Roman" w:hAnsi="Times New Roman" w:cs="Times New Roman"/>
            <w:sz w:val="24"/>
            <w:szCs w:val="24"/>
          </w:rPr>
          <w:t>(Mela and Rogers</w:t>
        </w:r>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1998)</w:t>
        </w:r>
      </w:hyperlink>
      <w:r>
        <w:rPr>
          <w:rFonts w:ascii="Times New Roman" w:eastAsia="Times New Roman" w:hAnsi="Times New Roman" w:cs="Times New Roman"/>
          <w:sz w:val="24"/>
          <w:szCs w:val="24"/>
        </w:rPr>
        <w:t xml:space="preserve">. The hormones such as, ghrelin, cholecystokinin (CCK), insulin and leptin are central components to this model. Ghrelin is a 28-amino acid peptide that is mainly synthesised in the stomach and pancreas and is responsible for stimulating food intake and hunger by interacting with receptors in the </w:t>
      </w:r>
      <w:r w:rsidRPr="00D03B56">
        <w:rPr>
          <w:rFonts w:ascii="Times New Roman" w:eastAsia="Times New Roman" w:hAnsi="Times New Roman" w:cs="Times New Roman"/>
          <w:sz w:val="24"/>
          <w:szCs w:val="24"/>
        </w:rPr>
        <w:t xml:space="preserve">hypothalamus </w:t>
      </w:r>
      <w:hyperlink r:id="rId73">
        <w:r w:rsidRPr="00D03B56">
          <w:rPr>
            <w:rFonts w:ascii="Times New Roman" w:eastAsia="Times New Roman" w:hAnsi="Times New Roman" w:cs="Times New Roman"/>
            <w:sz w:val="24"/>
            <w:szCs w:val="24"/>
          </w:rPr>
          <w:t>(</w:t>
        </w:r>
        <w:r w:rsidR="00B35D93" w:rsidRPr="00D03B56">
          <w:rPr>
            <w:rFonts w:ascii="Times New Roman" w:eastAsia="Times New Roman" w:hAnsi="Times New Roman" w:cs="Times New Roman"/>
            <w:sz w:val="24"/>
            <w:szCs w:val="24"/>
          </w:rPr>
          <w:t>Austin and Marks, 2009</w:t>
        </w:r>
        <w:r w:rsidRPr="00D03B56">
          <w:rPr>
            <w:rFonts w:ascii="Times New Roman" w:eastAsia="Times New Roman" w:hAnsi="Times New Roman" w:cs="Times New Roman"/>
            <w:sz w:val="24"/>
            <w:szCs w:val="24"/>
          </w:rPr>
          <w:t>)</w:t>
        </w:r>
      </w:hyperlink>
      <w:r w:rsidRPr="00D03B56">
        <w:rPr>
          <w:rFonts w:ascii="Times New Roman" w:eastAsia="Times New Roman" w:hAnsi="Times New Roman" w:cs="Times New Roman"/>
          <w:sz w:val="24"/>
          <w:szCs w:val="24"/>
        </w:rPr>
        <w:t xml:space="preserve">. Plasma ghrelin levels increase before a meal and are then suppressed by the consumption of food </w:t>
      </w:r>
      <w:hyperlink r:id="rId74">
        <w:r w:rsidRPr="00D03B56">
          <w:rPr>
            <w:rFonts w:ascii="Times New Roman" w:eastAsia="Times New Roman" w:hAnsi="Times New Roman" w:cs="Times New Roman"/>
            <w:sz w:val="24"/>
            <w:szCs w:val="24"/>
          </w:rPr>
          <w:t>(Callahan et al., 2004)</w:t>
        </w:r>
      </w:hyperlink>
      <w:r w:rsidRPr="00D03B56">
        <w:rPr>
          <w:rFonts w:ascii="Times New Roman" w:eastAsia="Times New Roman" w:hAnsi="Times New Roman" w:cs="Times New Roman"/>
          <w:sz w:val="24"/>
          <w:szCs w:val="24"/>
        </w:rPr>
        <w:t xml:space="preserve">. Leptin has been shown to be an important regulator of energy balance and body weight, and an increase in leptin insensitivity increases the risk of obesity </w:t>
      </w:r>
      <w:hyperlink r:id="rId75">
        <w:r w:rsidRPr="00D03B56">
          <w:rPr>
            <w:rFonts w:ascii="Times New Roman" w:eastAsia="Times New Roman" w:hAnsi="Times New Roman" w:cs="Times New Roman"/>
            <w:sz w:val="24"/>
            <w:szCs w:val="24"/>
          </w:rPr>
          <w:t>(</w:t>
        </w:r>
        <w:proofErr w:type="spellStart"/>
        <w:r w:rsidRPr="00D03B56">
          <w:rPr>
            <w:rFonts w:ascii="Times New Roman" w:eastAsia="Times New Roman" w:hAnsi="Times New Roman" w:cs="Times New Roman"/>
            <w:sz w:val="24"/>
            <w:szCs w:val="24"/>
          </w:rPr>
          <w:t>Gruzdeva</w:t>
        </w:r>
        <w:proofErr w:type="spellEnd"/>
        <w:r w:rsidRPr="00D03B56">
          <w:rPr>
            <w:rFonts w:ascii="Times New Roman" w:eastAsia="Times New Roman" w:hAnsi="Times New Roman" w:cs="Times New Roman"/>
            <w:sz w:val="24"/>
            <w:szCs w:val="24"/>
          </w:rPr>
          <w:t xml:space="preserve"> et al., 2019)</w:t>
        </w:r>
      </w:hyperlink>
      <w:r w:rsidRPr="00D03B56">
        <w:rPr>
          <w:rFonts w:ascii="Times New Roman" w:eastAsia="Times New Roman" w:hAnsi="Times New Roman" w:cs="Times New Roman"/>
          <w:sz w:val="24"/>
          <w:szCs w:val="24"/>
        </w:rPr>
        <w:t xml:space="preserve">. Conversely, hormones such as cholecystokinin (CCK) and leptin act in opposition to ghrelin, promoting satiety and reducing energy intake </w:t>
      </w:r>
      <w:hyperlink r:id="rId76">
        <w:r w:rsidRPr="00D03B56">
          <w:rPr>
            <w:rFonts w:ascii="Times New Roman" w:eastAsia="Times New Roman" w:hAnsi="Times New Roman" w:cs="Times New Roman"/>
            <w:sz w:val="24"/>
            <w:szCs w:val="24"/>
          </w:rPr>
          <w:t>(</w:t>
        </w:r>
        <w:proofErr w:type="spellStart"/>
        <w:r w:rsidRPr="00D03B56">
          <w:rPr>
            <w:rFonts w:ascii="Times New Roman" w:eastAsia="Times New Roman" w:hAnsi="Times New Roman" w:cs="Times New Roman"/>
            <w:sz w:val="24"/>
            <w:szCs w:val="24"/>
          </w:rPr>
          <w:t>Dockray</w:t>
        </w:r>
        <w:proofErr w:type="spellEnd"/>
        <w:r w:rsidR="00D50C0D" w:rsidRPr="00D03B56">
          <w:rPr>
            <w:rFonts w:ascii="Times New Roman" w:eastAsia="Times New Roman" w:hAnsi="Times New Roman" w:cs="Times New Roman"/>
            <w:sz w:val="24"/>
            <w:szCs w:val="24"/>
          </w:rPr>
          <w:t>,</w:t>
        </w:r>
        <w:r w:rsidRPr="00D03B56">
          <w:rPr>
            <w:rFonts w:ascii="Times New Roman" w:eastAsia="Times New Roman" w:hAnsi="Times New Roman" w:cs="Times New Roman"/>
            <w:sz w:val="24"/>
            <w:szCs w:val="24"/>
          </w:rPr>
          <w:t xml:space="preserve"> 2009)</w:t>
        </w:r>
      </w:hyperlink>
      <w:r w:rsidRPr="00D03B56">
        <w:rPr>
          <w:rFonts w:ascii="Times New Roman" w:eastAsia="Times New Roman" w:hAnsi="Times New Roman" w:cs="Times New Roman"/>
          <w:sz w:val="24"/>
          <w:szCs w:val="24"/>
        </w:rPr>
        <w:t>. Leptin variants were found to be significantly associated with increased snacking in a large case-control study of 17,000 women with overweight and obesity</w:t>
      </w:r>
      <w:r w:rsidR="00D429D4" w:rsidRPr="00D03B56">
        <w:rPr>
          <w:rFonts w:ascii="Times New Roman" w:eastAsia="Times New Roman" w:hAnsi="Times New Roman" w:cs="Times New Roman"/>
          <w:sz w:val="24"/>
          <w:szCs w:val="24"/>
        </w:rPr>
        <w:t xml:space="preserve"> (</w:t>
      </w:r>
      <w:proofErr w:type="spellStart"/>
      <w:r w:rsidR="00D429D4" w:rsidRPr="00D03B56">
        <w:rPr>
          <w:rFonts w:ascii="Times New Roman" w:eastAsia="Times New Roman" w:hAnsi="Times New Roman" w:cs="Times New Roman"/>
          <w:sz w:val="24"/>
          <w:szCs w:val="24"/>
        </w:rPr>
        <w:t>Gruzdeva</w:t>
      </w:r>
      <w:proofErr w:type="spellEnd"/>
      <w:r w:rsidR="00D429D4" w:rsidRPr="00D03B56">
        <w:rPr>
          <w:rFonts w:ascii="Times New Roman" w:eastAsia="Times New Roman" w:hAnsi="Times New Roman" w:cs="Times New Roman"/>
          <w:sz w:val="24"/>
          <w:szCs w:val="24"/>
        </w:rPr>
        <w:t xml:space="preserve"> et al., 2019)</w:t>
      </w:r>
      <w:r w:rsidRPr="00D03B56">
        <w:rPr>
          <w:rFonts w:ascii="Times New Roman" w:eastAsia="Times New Roman" w:hAnsi="Times New Roman" w:cs="Times New Roman"/>
          <w:sz w:val="24"/>
          <w:szCs w:val="24"/>
        </w:rPr>
        <w:t xml:space="preserve">. Meanwhile, CCK variants were associated with larger meal sizes </w:t>
      </w:r>
      <w:hyperlink r:id="rId77">
        <w:r w:rsidRPr="00D03B56">
          <w:rPr>
            <w:rFonts w:ascii="Times New Roman" w:eastAsia="Times New Roman" w:hAnsi="Times New Roman" w:cs="Times New Roman"/>
            <w:sz w:val="24"/>
            <w:szCs w:val="24"/>
          </w:rPr>
          <w:t xml:space="preserve">(de </w:t>
        </w:r>
        <w:proofErr w:type="spellStart"/>
        <w:r w:rsidRPr="00D03B56">
          <w:rPr>
            <w:rFonts w:ascii="Times New Roman" w:eastAsia="Times New Roman" w:hAnsi="Times New Roman" w:cs="Times New Roman"/>
            <w:sz w:val="24"/>
            <w:szCs w:val="24"/>
          </w:rPr>
          <w:t>Krom</w:t>
        </w:r>
        <w:proofErr w:type="spellEnd"/>
        <w:r w:rsidRPr="00D03B56">
          <w:rPr>
            <w:rFonts w:ascii="Times New Roman" w:eastAsia="Times New Roman" w:hAnsi="Times New Roman" w:cs="Times New Roman"/>
            <w:sz w:val="24"/>
            <w:szCs w:val="24"/>
          </w:rPr>
          <w:t xml:space="preserve"> et al., 2007)</w:t>
        </w:r>
      </w:hyperlink>
      <w:r w:rsidRPr="00D03B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123" w14:textId="77777777" w:rsidR="00CB4215" w:rsidRDefault="00CB4215">
      <w:pPr>
        <w:spacing w:line="480" w:lineRule="auto"/>
        <w:rPr>
          <w:rFonts w:ascii="Times New Roman" w:eastAsia="Times New Roman" w:hAnsi="Times New Roman" w:cs="Times New Roman"/>
          <w:sz w:val="24"/>
          <w:szCs w:val="24"/>
        </w:rPr>
      </w:pPr>
    </w:p>
    <w:p w14:paraId="00000124" w14:textId="77777777" w:rsidR="00CB4215" w:rsidRDefault="000530B4">
      <w:pPr>
        <w:pStyle w:val="Heading5"/>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1.5.1.3 Hedonic system</w:t>
      </w:r>
    </w:p>
    <w:p w14:paraId="00000125" w14:textId="7650CCEF"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Alongside homeostatic influence on energy intake, the non-homeostatic (hedonic) system influences energy intake and contributes significantly to the prevalence of obesity. The 'hedonic' system comprises intrinsic, learned, and motivated behaviours associated with neurological reward, which operate through the dopaminergic and </w:t>
      </w:r>
      <w:proofErr w:type="spellStart"/>
      <w:r>
        <w:rPr>
          <w:rFonts w:ascii="Times New Roman" w:eastAsia="Times New Roman" w:hAnsi="Times New Roman" w:cs="Times New Roman"/>
          <w:sz w:val="24"/>
          <w:szCs w:val="24"/>
        </w:rPr>
        <w:t>opioidergic</w:t>
      </w:r>
      <w:proofErr w:type="spellEnd"/>
      <w:r>
        <w:rPr>
          <w:rFonts w:ascii="Times New Roman" w:eastAsia="Times New Roman" w:hAnsi="Times New Roman" w:cs="Times New Roman"/>
          <w:sz w:val="24"/>
          <w:szCs w:val="24"/>
        </w:rPr>
        <w:t xml:space="preserve"> systems, </w:t>
      </w:r>
      <w:r>
        <w:rPr>
          <w:rFonts w:ascii="Times New Roman" w:eastAsia="Times New Roman" w:hAnsi="Times New Roman" w:cs="Times New Roman"/>
          <w:sz w:val="24"/>
          <w:szCs w:val="24"/>
        </w:rPr>
        <w:lastRenderedPageBreak/>
        <w:t xml:space="preserve">influencing brain regions including the hypothalamus, ventral striatum, amygdala, and frontal and temporal cortices </w:t>
      </w:r>
      <w:hyperlink r:id="rId78">
        <w:r>
          <w:rPr>
            <w:rFonts w:ascii="Times New Roman" w:eastAsia="Times New Roman" w:hAnsi="Times New Roman" w:cs="Times New Roman"/>
            <w:sz w:val="24"/>
            <w:szCs w:val="24"/>
          </w:rPr>
          <w:t>(Arias-</w:t>
        </w:r>
        <w:proofErr w:type="spellStart"/>
        <w:r>
          <w:rPr>
            <w:rFonts w:ascii="Times New Roman" w:eastAsia="Times New Roman" w:hAnsi="Times New Roman" w:cs="Times New Roman"/>
            <w:sz w:val="24"/>
            <w:szCs w:val="24"/>
          </w:rPr>
          <w:t>Carrión</w:t>
        </w:r>
        <w:proofErr w:type="spellEnd"/>
        <w:r>
          <w:rPr>
            <w:rFonts w:ascii="Times New Roman" w:eastAsia="Times New Roman" w:hAnsi="Times New Roman" w:cs="Times New Roman"/>
            <w:sz w:val="24"/>
            <w:szCs w:val="24"/>
          </w:rPr>
          <w:t xml:space="preserve"> et al., 2010; Berthoud</w:t>
        </w:r>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2011; Volkow et al., 2011)</w:t>
        </w:r>
      </w:hyperlink>
      <w:r>
        <w:rPr>
          <w:rFonts w:ascii="Times New Roman" w:eastAsia="Times New Roman" w:hAnsi="Times New Roman" w:cs="Times New Roman"/>
          <w:sz w:val="24"/>
          <w:szCs w:val="24"/>
        </w:rPr>
        <w:t xml:space="preserve">. If eating was determined exclusively by homeostatic principles, food consumption would be driven solely by physiological needs, theoretically leading to the majority of individuals maintaining a healthy body weight </w:t>
      </w:r>
      <w:hyperlink r:id="rId79">
        <w:r>
          <w:rPr>
            <w:rFonts w:ascii="Times New Roman" w:eastAsia="Times New Roman" w:hAnsi="Times New Roman" w:cs="Times New Roman"/>
            <w:sz w:val="24"/>
            <w:szCs w:val="24"/>
          </w:rPr>
          <w:t xml:space="preserve">(Palma and </w:t>
        </w:r>
        <w:proofErr w:type="spellStart"/>
        <w:r>
          <w:rPr>
            <w:rFonts w:ascii="Times New Roman" w:eastAsia="Times New Roman" w:hAnsi="Times New Roman" w:cs="Times New Roman"/>
            <w:sz w:val="24"/>
            <w:szCs w:val="24"/>
          </w:rPr>
          <w:t>Iriarte</w:t>
        </w:r>
        <w:proofErr w:type="spellEnd"/>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xml:space="preserve">. Thus, food intake in humans is a complex interplay between homeostatic regulation and hedonic pleasure. The current food-rich environment contributes to obesity by increasing the motivation to consume a wide variety of palatable foods </w:t>
      </w:r>
      <w:hyperlink r:id="rId80">
        <w:r>
          <w:rPr>
            <w:rFonts w:ascii="Times New Roman" w:eastAsia="Times New Roman" w:hAnsi="Times New Roman" w:cs="Times New Roman"/>
            <w:sz w:val="24"/>
            <w:szCs w:val="24"/>
          </w:rPr>
          <w:t xml:space="preserve">(Hernández Ruiz de </w:t>
        </w:r>
        <w:proofErr w:type="spellStart"/>
        <w:r>
          <w:rPr>
            <w:rFonts w:ascii="Times New Roman" w:eastAsia="Times New Roman" w:hAnsi="Times New Roman" w:cs="Times New Roman"/>
            <w:sz w:val="24"/>
            <w:szCs w:val="24"/>
          </w:rPr>
          <w:t>Eguilaz</w:t>
        </w:r>
        <w:proofErr w:type="spellEnd"/>
        <w:r>
          <w:rPr>
            <w:rFonts w:ascii="Times New Roman" w:eastAsia="Times New Roman" w:hAnsi="Times New Roman" w:cs="Times New Roman"/>
            <w:sz w:val="24"/>
            <w:szCs w:val="24"/>
          </w:rPr>
          <w:t xml:space="preserve"> et al., 2018)</w:t>
        </w:r>
      </w:hyperlink>
      <w:r>
        <w:rPr>
          <w:rFonts w:ascii="Times New Roman" w:eastAsia="Times New Roman" w:hAnsi="Times New Roman" w:cs="Times New Roman"/>
          <w:sz w:val="24"/>
          <w:szCs w:val="24"/>
        </w:rPr>
        <w:t xml:space="preserve">. With regard to macronutrients, it is generally accepted that fats play an important role in determining the taste, texture and odour of foods, which are closely linked to excessive consumption and have an influence on long-term energy balance and weight control </w:t>
      </w:r>
      <w:hyperlink r:id="rId8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Drewnowski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Almiron-Roig</w:t>
        </w:r>
        <w:proofErr w:type="spellEnd"/>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2010)</w:t>
        </w:r>
      </w:hyperlink>
      <w:r>
        <w:rPr>
          <w:rFonts w:ascii="Times New Roman" w:eastAsia="Times New Roman" w:hAnsi="Times New Roman" w:cs="Times New Roman"/>
          <w:sz w:val="24"/>
          <w:szCs w:val="24"/>
        </w:rPr>
        <w:t xml:space="preserve">. Behavioural evidence suggests that participants living with overweight and obesity have a greater preference for foods with a higher fat content and show a link between the higher proportion of dietary energy derived from fat and increased weight </w:t>
      </w:r>
      <w:hyperlink r:id="rId82">
        <w:r>
          <w:rPr>
            <w:rFonts w:ascii="Times New Roman" w:eastAsia="Times New Roman" w:hAnsi="Times New Roman" w:cs="Times New Roman"/>
            <w:sz w:val="24"/>
            <w:szCs w:val="24"/>
          </w:rPr>
          <w:t xml:space="preserve">(Mela and </w:t>
        </w:r>
        <w:proofErr w:type="spellStart"/>
        <w:r>
          <w:rPr>
            <w:rFonts w:ascii="Times New Roman" w:eastAsia="Times New Roman" w:hAnsi="Times New Roman" w:cs="Times New Roman"/>
            <w:sz w:val="24"/>
            <w:szCs w:val="24"/>
          </w:rPr>
          <w:t>Sacchetti</w:t>
        </w:r>
        <w:proofErr w:type="spellEnd"/>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1991; </w:t>
        </w:r>
        <w:proofErr w:type="spellStart"/>
        <w:r>
          <w:rPr>
            <w:rFonts w:ascii="Times New Roman" w:eastAsia="Times New Roman" w:hAnsi="Times New Roman" w:cs="Times New Roman"/>
            <w:sz w:val="24"/>
            <w:szCs w:val="24"/>
          </w:rPr>
          <w:t>Drewnowski</w:t>
        </w:r>
        <w:proofErr w:type="spellEnd"/>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1985; </w:t>
        </w:r>
        <w:proofErr w:type="spellStart"/>
        <w:r>
          <w:rPr>
            <w:rFonts w:ascii="Times New Roman" w:eastAsia="Times New Roman" w:hAnsi="Times New Roman" w:cs="Times New Roman"/>
            <w:sz w:val="24"/>
            <w:szCs w:val="24"/>
          </w:rPr>
          <w:t>Lissner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Heitmann</w:t>
        </w:r>
        <w:proofErr w:type="spellEnd"/>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1995)</w:t>
        </w:r>
      </w:hyperlink>
      <w:r>
        <w:rPr>
          <w:rFonts w:ascii="Times New Roman" w:eastAsia="Times New Roman" w:hAnsi="Times New Roman" w:cs="Times New Roman"/>
          <w:sz w:val="24"/>
          <w:szCs w:val="24"/>
        </w:rPr>
        <w:t xml:space="preserve">. Furthermore, numerous studies have demonstrated a relationship between increased BMI and the preference for and intake of highly palatable foods, usually high in fat </w:t>
      </w:r>
      <w:hyperlink r:id="rId83">
        <w:r>
          <w:rPr>
            <w:rFonts w:ascii="Times New Roman" w:eastAsia="Times New Roman" w:hAnsi="Times New Roman" w:cs="Times New Roman"/>
            <w:sz w:val="24"/>
            <w:szCs w:val="24"/>
          </w:rPr>
          <w:t>(Battle and Brownell</w:t>
        </w:r>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1996; Berge et al., 2013)</w:t>
        </w:r>
      </w:hyperlink>
      <w:r>
        <w:rPr>
          <w:rFonts w:ascii="Times New Roman" w:eastAsia="Times New Roman" w:hAnsi="Times New Roman" w:cs="Times New Roman"/>
          <w:sz w:val="24"/>
          <w:szCs w:val="24"/>
        </w:rPr>
        <w:t>. The hedonic system reinforces behaviours that satisfy the acquisition of food.</w:t>
      </w:r>
    </w:p>
    <w:p w14:paraId="00000126" w14:textId="77777777" w:rsidR="00CB4215" w:rsidRDefault="00CB4215">
      <w:pPr>
        <w:spacing w:line="480" w:lineRule="auto"/>
        <w:rPr>
          <w:rFonts w:ascii="Times New Roman" w:eastAsia="Times New Roman" w:hAnsi="Times New Roman" w:cs="Times New Roman"/>
          <w:sz w:val="24"/>
          <w:szCs w:val="24"/>
        </w:rPr>
      </w:pPr>
    </w:p>
    <w:p w14:paraId="00000127" w14:textId="0D92505C"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perception of food reward is closely linked to craving, which is referred to a strong urge for a specific food </w:t>
      </w:r>
      <w:hyperlink r:id="rId84">
        <w:r>
          <w:rPr>
            <w:rFonts w:ascii="Times New Roman" w:eastAsia="Times New Roman" w:hAnsi="Times New Roman" w:cs="Times New Roman"/>
            <w:sz w:val="24"/>
            <w:szCs w:val="24"/>
          </w:rPr>
          <w:t>(Rebello and Greenway</w:t>
        </w:r>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w:t>
        </w:r>
      </w:hyperlink>
      <w:r>
        <w:rPr>
          <w:rFonts w:ascii="Times New Roman" w:eastAsia="Times New Roman" w:hAnsi="Times New Roman" w:cs="Times New Roman"/>
          <w:sz w:val="24"/>
          <w:szCs w:val="24"/>
        </w:rPr>
        <w:t xml:space="preserve">. The hypothalamus is recognised as a key brain region that regulates food intake in terms of calorie and nutrient consumption </w:t>
      </w:r>
      <w:hyperlink r:id="rId85">
        <w:r>
          <w:rPr>
            <w:rFonts w:ascii="Times New Roman" w:eastAsia="Times New Roman" w:hAnsi="Times New Roman" w:cs="Times New Roman"/>
            <w:sz w:val="24"/>
            <w:szCs w:val="24"/>
          </w:rPr>
          <w:t>(van Vliet-</w:t>
        </w:r>
        <w:proofErr w:type="spellStart"/>
        <w:r>
          <w:rPr>
            <w:rFonts w:ascii="Times New Roman" w:eastAsia="Times New Roman" w:hAnsi="Times New Roman" w:cs="Times New Roman"/>
            <w:sz w:val="24"/>
            <w:szCs w:val="24"/>
          </w:rPr>
          <w:t>Ostaptchouk</w:t>
        </w:r>
        <w:proofErr w:type="spellEnd"/>
        <w:r>
          <w:rPr>
            <w:rFonts w:ascii="Times New Roman" w:eastAsia="Times New Roman" w:hAnsi="Times New Roman" w:cs="Times New Roman"/>
            <w:sz w:val="24"/>
            <w:szCs w:val="24"/>
          </w:rPr>
          <w:t xml:space="preserve"> et al., 2009; </w:t>
        </w:r>
        <w:proofErr w:type="spellStart"/>
        <w:r>
          <w:rPr>
            <w:rFonts w:ascii="Times New Roman" w:eastAsia="Times New Roman" w:hAnsi="Times New Roman" w:cs="Times New Roman"/>
            <w:sz w:val="24"/>
            <w:szCs w:val="24"/>
          </w:rPr>
          <w:t>Blouet</w:t>
        </w:r>
        <w:proofErr w:type="spellEnd"/>
        <w:r>
          <w:rPr>
            <w:rFonts w:ascii="Times New Roman" w:eastAsia="Times New Roman" w:hAnsi="Times New Roman" w:cs="Times New Roman"/>
            <w:sz w:val="24"/>
            <w:szCs w:val="24"/>
          </w:rPr>
          <w:t xml:space="preserve"> and Schwartz</w:t>
        </w:r>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2010; Coll et al., 2007)</w:t>
        </w:r>
      </w:hyperlink>
      <w:r>
        <w:rPr>
          <w:rFonts w:ascii="Times New Roman" w:eastAsia="Times New Roman" w:hAnsi="Times New Roman" w:cs="Times New Roman"/>
          <w:sz w:val="24"/>
          <w:szCs w:val="24"/>
        </w:rPr>
        <w:t xml:space="preserve">. Several neurotransmitters and neuropeptides, including dopamine (DA), cannabinoids, opioids, serotonin, orexin, leptin and ghrelin, are involved in the pleasurable effects of food </w:t>
      </w:r>
      <w:hyperlink r:id="rId86">
        <w:r>
          <w:rPr>
            <w:rFonts w:ascii="Times New Roman" w:eastAsia="Times New Roman" w:hAnsi="Times New Roman" w:cs="Times New Roman"/>
            <w:sz w:val="24"/>
            <w:szCs w:val="24"/>
          </w:rPr>
          <w:t>(Cason et al., 2010; Cota et al., 2006; Atkinson</w:t>
        </w:r>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2008)</w:t>
        </w:r>
      </w:hyperlink>
      <w:r>
        <w:rPr>
          <w:rFonts w:ascii="Times New Roman" w:eastAsia="Times New Roman" w:hAnsi="Times New Roman" w:cs="Times New Roman"/>
          <w:sz w:val="24"/>
          <w:szCs w:val="24"/>
        </w:rPr>
        <w:t xml:space="preserve">. Dopamine is a key neurotransmitter that regulates the modulation of pleasure, including both natural and drug-induced rewards. This regulatory function is largely mediated by dopamine projections from the ventral tegmental area (VTA) to the nucleus </w:t>
      </w:r>
      <w:proofErr w:type="spellStart"/>
      <w:r>
        <w:rPr>
          <w:rFonts w:ascii="Times New Roman" w:eastAsia="Times New Roman" w:hAnsi="Times New Roman" w:cs="Times New Roman"/>
          <w:sz w:val="24"/>
          <w:szCs w:val="24"/>
        </w:rPr>
        <w:t>accumbens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NAc</w:t>
      </w:r>
      <w:proofErr w:type="spellEnd"/>
      <w:r>
        <w:rPr>
          <w:rFonts w:ascii="Times New Roman" w:eastAsia="Times New Roman" w:hAnsi="Times New Roman" w:cs="Times New Roman"/>
          <w:sz w:val="24"/>
          <w:szCs w:val="24"/>
        </w:rPr>
        <w:t xml:space="preserve">) </w:t>
      </w:r>
      <w:hyperlink r:id="rId87">
        <w:r>
          <w:rPr>
            <w:rFonts w:ascii="Times New Roman" w:eastAsia="Times New Roman" w:hAnsi="Times New Roman" w:cs="Times New Roman"/>
            <w:sz w:val="24"/>
            <w:szCs w:val="24"/>
          </w:rPr>
          <w:t>(Wise</w:t>
        </w:r>
        <w:r w:rsidR="00D50C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w:t>
        </w:r>
      </w:hyperlink>
      <w:r>
        <w:rPr>
          <w:rFonts w:ascii="Times New Roman" w:eastAsia="Times New Roman" w:hAnsi="Times New Roman" w:cs="Times New Roman"/>
          <w:sz w:val="24"/>
          <w:szCs w:val="24"/>
        </w:rPr>
        <w:t xml:space="preserve">. Dopamine signalling is important in translating desire into action, potentially increasing motivation to acquire rewarding stimuli </w:t>
      </w:r>
      <w:hyperlink r:id="rId88">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Mogenson</w:t>
        </w:r>
        <w:proofErr w:type="spellEnd"/>
        <w:r>
          <w:rPr>
            <w:rFonts w:ascii="Times New Roman" w:eastAsia="Times New Roman" w:hAnsi="Times New Roman" w:cs="Times New Roman"/>
            <w:sz w:val="24"/>
            <w:szCs w:val="24"/>
          </w:rPr>
          <w:t xml:space="preserve"> et al., 1980)</w:t>
        </w:r>
      </w:hyperlink>
      <w:r>
        <w:rPr>
          <w:rFonts w:ascii="Times New Roman" w:eastAsia="Times New Roman" w:hAnsi="Times New Roman" w:cs="Times New Roman"/>
          <w:sz w:val="24"/>
          <w:szCs w:val="24"/>
        </w:rPr>
        <w:t xml:space="preserve">. Neuroimaging studies have shown that individuals with obesity show increased activation in brain areas involved in the motivational effects of food cues when exposed to high-calorie items, potentially increasing the risk of obesity </w:t>
      </w:r>
      <w:hyperlink r:id="rId8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Stoeckel</w:t>
        </w:r>
        <w:proofErr w:type="spellEnd"/>
        <w:r>
          <w:rPr>
            <w:rFonts w:ascii="Times New Roman" w:eastAsia="Times New Roman" w:hAnsi="Times New Roman" w:cs="Times New Roman"/>
            <w:sz w:val="24"/>
            <w:szCs w:val="24"/>
          </w:rPr>
          <w:t xml:space="preserve"> et al., 2008)</w:t>
        </w:r>
      </w:hyperlink>
      <w:r>
        <w:rPr>
          <w:rFonts w:ascii="Times New Roman" w:eastAsia="Times New Roman" w:hAnsi="Times New Roman" w:cs="Times New Roman"/>
          <w:sz w:val="24"/>
          <w:szCs w:val="24"/>
        </w:rPr>
        <w:t>. Hedonic hunger significantly influences eating behaviour by driving food consumption for pleasure rather than energy needs, potentially leading to cravings and overeating, especially of high-calorie, nutrient-poor foods. This type of hunger can override signals of satiety and fullness, contributing to unhealthy eating patterns and increasing the risk of obesity.</w:t>
      </w:r>
    </w:p>
    <w:p w14:paraId="00000128" w14:textId="77777777" w:rsidR="00CB4215" w:rsidRDefault="00CB4215">
      <w:pPr>
        <w:spacing w:line="480" w:lineRule="auto"/>
        <w:rPr>
          <w:rFonts w:ascii="Times New Roman" w:eastAsia="Times New Roman" w:hAnsi="Times New Roman" w:cs="Times New Roman"/>
          <w:sz w:val="24"/>
          <w:szCs w:val="24"/>
        </w:rPr>
      </w:pPr>
    </w:p>
    <w:p w14:paraId="0000012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internal drivers of energy intake are known to greatly influence eating behaviour, the main aim of this thesis is to investigate the role of a non-physiological factor, the meal timing context, on eating behaviour. Therefore, subsequent sections review evidence of external drivers of energy intake.</w:t>
      </w:r>
    </w:p>
    <w:p w14:paraId="0000012A" w14:textId="77777777" w:rsidR="00CB4215" w:rsidRDefault="00CB4215">
      <w:pPr>
        <w:spacing w:line="480" w:lineRule="auto"/>
        <w:rPr>
          <w:rFonts w:ascii="Times New Roman" w:eastAsia="Times New Roman" w:hAnsi="Times New Roman" w:cs="Times New Roman"/>
          <w:sz w:val="24"/>
          <w:szCs w:val="24"/>
        </w:rPr>
      </w:pPr>
    </w:p>
    <w:p w14:paraId="0000012B"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1.5.2 External drivers of eating behaviour</w:t>
      </w:r>
    </w:p>
    <w:p w14:paraId="0000012C" w14:textId="3D97C0EE"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genetics and biological signalling play a role in regulating energy intake, research has also investigated the influence of external drivers of eating behaviour. External indicators appear to override and undermine internal signals, posing a significant challenge to the regulation of food intake, particularly in the obesogenic environment </w:t>
      </w:r>
      <w:hyperlink r:id="rId9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Bilman</w:t>
        </w:r>
        <w:proofErr w:type="spellEnd"/>
        <w:r>
          <w:rPr>
            <w:rFonts w:ascii="Times New Roman" w:eastAsia="Times New Roman" w:hAnsi="Times New Roman" w:cs="Times New Roman"/>
            <w:sz w:val="24"/>
            <w:szCs w:val="24"/>
          </w:rPr>
          <w:t xml:space="preserve"> et al., 2017)</w:t>
        </w:r>
      </w:hyperlink>
      <w:r>
        <w:rPr>
          <w:rFonts w:ascii="Times New Roman" w:eastAsia="Times New Roman" w:hAnsi="Times New Roman" w:cs="Times New Roman"/>
          <w:sz w:val="24"/>
          <w:szCs w:val="24"/>
        </w:rPr>
        <w:t xml:space="preserve">. The externality theory of obesity was developed by Schachter and colleagues (1974) and </w:t>
      </w:r>
      <w:r>
        <w:rPr>
          <w:rFonts w:ascii="Times New Roman" w:eastAsia="Times New Roman" w:hAnsi="Times New Roman" w:cs="Times New Roman"/>
          <w:sz w:val="24"/>
          <w:szCs w:val="24"/>
        </w:rPr>
        <w:lastRenderedPageBreak/>
        <w:t>states that individuals who are more responsive to external cues to eat and less sensitive to internal signals of hunger and satiety are more likely to experience obesity and overconsumption. For instance, Schachter et al. (1968) conducted a laboratory study in which they manipulated the time of dinner to investigate the effect of time manipulation on food consumption in participants with obesity and normal weight. Schachter and colleagues (1968) found that participants with obesity consumed more calories when they believed they were eating after their usual dinner time than when they believed they were eating before their dinner time. However, there was no such effect for participants with normal weight. Based on Schachter's theory, people who are highly responsive to external food cues and less responsive to hunger and satiety signals may be prone to overconsumption in today's obesogenic environment due to the prevalence of palatable food cues (Schachter et al., 1974). It has recently become clear that food cue exposure (exposure to the sight or smell of food) influences appetite and food intake. Previous studies have shown that exposure to the sight and smell of food increases reported hunger, food intake and BMI (</w:t>
      </w:r>
      <w:proofErr w:type="spellStart"/>
      <w:r>
        <w:rPr>
          <w:rFonts w:ascii="Times New Roman" w:eastAsia="Times New Roman" w:hAnsi="Times New Roman" w:cs="Times New Roman"/>
          <w:sz w:val="24"/>
          <w:szCs w:val="24"/>
        </w:rPr>
        <w:t>Pursey</w:t>
      </w:r>
      <w:proofErr w:type="spellEnd"/>
      <w:r>
        <w:rPr>
          <w:rFonts w:ascii="Times New Roman" w:eastAsia="Times New Roman" w:hAnsi="Times New Roman" w:cs="Times New Roman"/>
          <w:sz w:val="24"/>
          <w:szCs w:val="24"/>
        </w:rPr>
        <w:t xml:space="preserve"> et al., 2014; Ferriday and </w:t>
      </w:r>
      <w:proofErr w:type="spellStart"/>
      <w:r>
        <w:rPr>
          <w:rFonts w:ascii="Times New Roman" w:eastAsia="Times New Roman" w:hAnsi="Times New Roman" w:cs="Times New Roman"/>
          <w:sz w:val="24"/>
          <w:szCs w:val="24"/>
        </w:rPr>
        <w:t>Brunstrom</w:t>
      </w:r>
      <w:proofErr w:type="spellEnd"/>
      <w:r w:rsidR="003706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2011; van den Akker et al., 2014). In the obesogenic environment, external stimuli associated with food and the setting in which food is consumed influence subjective sensations of hunger and satiety, which could promote passive consumption </w:t>
      </w:r>
      <w:hyperlink r:id="rId91">
        <w:r>
          <w:rPr>
            <w:rFonts w:ascii="Times New Roman" w:eastAsia="Times New Roman" w:hAnsi="Times New Roman" w:cs="Times New Roman"/>
            <w:sz w:val="24"/>
            <w:szCs w:val="24"/>
          </w:rPr>
          <w:t>(Mela</w:t>
        </w:r>
        <w:r w:rsidR="003106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 Van </w:t>
        </w:r>
        <w:proofErr w:type="spellStart"/>
        <w:r>
          <w:rPr>
            <w:rFonts w:ascii="Times New Roman" w:eastAsia="Times New Roman" w:hAnsi="Times New Roman" w:cs="Times New Roman"/>
            <w:sz w:val="24"/>
            <w:szCs w:val="24"/>
          </w:rPr>
          <w:t>Kleef</w:t>
        </w:r>
        <w:proofErr w:type="spellEnd"/>
        <w:r>
          <w:rPr>
            <w:rFonts w:ascii="Times New Roman" w:eastAsia="Times New Roman" w:hAnsi="Times New Roman" w:cs="Times New Roman"/>
            <w:sz w:val="24"/>
            <w:szCs w:val="24"/>
          </w:rPr>
          <w:t xml:space="preserve"> et al., 2012)</w:t>
        </w:r>
      </w:hyperlink>
      <w:r>
        <w:rPr>
          <w:rFonts w:ascii="Times New Roman" w:eastAsia="Times New Roman" w:hAnsi="Times New Roman" w:cs="Times New Roman"/>
          <w:sz w:val="24"/>
          <w:szCs w:val="24"/>
        </w:rPr>
        <w:t xml:space="preserve">. For example, portion size is described as the size of a meal or food item, as well as every single component of a meal </w:t>
      </w:r>
      <w:hyperlink r:id="rId92">
        <w:r>
          <w:rPr>
            <w:rFonts w:ascii="Times New Roman" w:eastAsia="Times New Roman" w:hAnsi="Times New Roman" w:cs="Times New Roman"/>
            <w:sz w:val="24"/>
            <w:szCs w:val="24"/>
          </w:rPr>
          <w:t xml:space="preserve">(Berg and </w:t>
        </w:r>
        <w:proofErr w:type="spellStart"/>
        <w:r>
          <w:rPr>
            <w:rFonts w:ascii="Times New Roman" w:eastAsia="Times New Roman" w:hAnsi="Times New Roman" w:cs="Times New Roman"/>
            <w:sz w:val="24"/>
            <w:szCs w:val="24"/>
          </w:rPr>
          <w:t>Forslund</w:t>
        </w:r>
        <w:proofErr w:type="spellEnd"/>
        <w:r w:rsidR="003106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2015)</w:t>
        </w:r>
      </w:hyperlink>
      <w:r>
        <w:rPr>
          <w:rFonts w:ascii="Times New Roman" w:eastAsia="Times New Roman" w:hAnsi="Times New Roman" w:cs="Times New Roman"/>
          <w:sz w:val="24"/>
          <w:szCs w:val="24"/>
        </w:rPr>
        <w:t xml:space="preserve">. Observational and experimental studies have shown that larger portions of entire meals </w:t>
      </w:r>
      <w:hyperlink r:id="rId9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Levitsky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Youn</w:t>
        </w:r>
        <w:proofErr w:type="spellEnd"/>
        <w:r w:rsidR="003106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2004)</w:t>
        </w:r>
      </w:hyperlink>
      <w:r>
        <w:rPr>
          <w:rFonts w:ascii="Times New Roman" w:eastAsia="Times New Roman" w:hAnsi="Times New Roman" w:cs="Times New Roman"/>
          <w:sz w:val="24"/>
          <w:szCs w:val="24"/>
        </w:rPr>
        <w:t xml:space="preserve"> or specific foods </w:t>
      </w:r>
      <w:hyperlink r:id="rId94">
        <w:r>
          <w:rPr>
            <w:rFonts w:ascii="Times New Roman" w:eastAsia="Times New Roman" w:hAnsi="Times New Roman" w:cs="Times New Roman"/>
            <w:sz w:val="24"/>
            <w:szCs w:val="24"/>
          </w:rPr>
          <w:t>(Rolls</w:t>
        </w:r>
        <w:r w:rsidR="003106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xml:space="preserve"> such as sandwiches result in higher energy intake in adults </w:t>
      </w:r>
      <w:hyperlink r:id="rId95">
        <w:r>
          <w:rPr>
            <w:rFonts w:ascii="Times New Roman" w:eastAsia="Times New Roman" w:hAnsi="Times New Roman" w:cs="Times New Roman"/>
            <w:sz w:val="24"/>
            <w:szCs w:val="24"/>
          </w:rPr>
          <w:t>(Jeffery et al., 2007; Kelly et al., 2009; Young and Nestle</w:t>
        </w:r>
        <w:r w:rsidR="003106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xml:space="preserve">. In addition, a meta-analysis of 14 studies found that decreasing portion size resulted in a reduction in overall calorie consumption </w:t>
      </w:r>
      <w:hyperlink r:id="rId96">
        <w:r>
          <w:rPr>
            <w:rFonts w:ascii="Times New Roman" w:eastAsia="Times New Roman" w:hAnsi="Times New Roman" w:cs="Times New Roman"/>
            <w:sz w:val="24"/>
            <w:szCs w:val="24"/>
          </w:rPr>
          <w:t>(Robinson et al., 2023)</w:t>
        </w:r>
      </w:hyperlink>
      <w:r>
        <w:rPr>
          <w:rFonts w:ascii="Times New Roman" w:eastAsia="Times New Roman" w:hAnsi="Times New Roman" w:cs="Times New Roman"/>
          <w:sz w:val="24"/>
          <w:szCs w:val="24"/>
        </w:rPr>
        <w:t xml:space="preserve">. </w:t>
      </w:r>
    </w:p>
    <w:p w14:paraId="0000012D" w14:textId="77777777" w:rsidR="00CB4215" w:rsidRDefault="00CB4215">
      <w:pPr>
        <w:spacing w:line="480" w:lineRule="auto"/>
        <w:rPr>
          <w:rFonts w:ascii="Times New Roman" w:eastAsia="Times New Roman" w:hAnsi="Times New Roman" w:cs="Times New Roman"/>
          <w:sz w:val="24"/>
          <w:szCs w:val="24"/>
        </w:rPr>
      </w:pPr>
    </w:p>
    <w:p w14:paraId="0000012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Taken together, both internal and external drivers of energy intake are interconnected. Eating behaviour is an important determinant of energy balance and controlling the motivation to eat (commonly referred to as appetite control) can be used as a means of preventing excess energy intake and obesity </w:t>
      </w:r>
      <w:hyperlink r:id="rId97">
        <w:r>
          <w:rPr>
            <w:rFonts w:ascii="Times New Roman" w:eastAsia="Times New Roman" w:hAnsi="Times New Roman" w:cs="Times New Roman"/>
            <w:sz w:val="24"/>
            <w:szCs w:val="24"/>
          </w:rPr>
          <w:t>(Hopkins et al., 2015)</w:t>
        </w:r>
      </w:hyperlink>
      <w:r>
        <w:rPr>
          <w:rFonts w:ascii="Times New Roman" w:eastAsia="Times New Roman" w:hAnsi="Times New Roman" w:cs="Times New Roman"/>
          <w:sz w:val="24"/>
          <w:szCs w:val="24"/>
        </w:rPr>
        <w:t>. Therefore, subsequent sections review evidence of homeostatic and hedonic processes that regulate appetite and influence on body weight.</w:t>
      </w:r>
    </w:p>
    <w:p w14:paraId="0000012F" w14:textId="77777777" w:rsidR="00CB4215" w:rsidRDefault="00CB4215">
      <w:pPr>
        <w:spacing w:line="480" w:lineRule="auto"/>
        <w:rPr>
          <w:rFonts w:ascii="Times New Roman" w:eastAsia="Times New Roman" w:hAnsi="Times New Roman" w:cs="Times New Roman"/>
          <w:sz w:val="24"/>
          <w:szCs w:val="24"/>
        </w:rPr>
      </w:pPr>
    </w:p>
    <w:p w14:paraId="00000130" w14:textId="77777777" w:rsidR="00CB4215" w:rsidRDefault="000530B4">
      <w:pPr>
        <w:pStyle w:val="Heading3"/>
        <w:spacing w:line="480" w:lineRule="auto"/>
        <w:rPr>
          <w:rFonts w:ascii="Times New Roman" w:eastAsia="Times New Roman" w:hAnsi="Times New Roman" w:cs="Times New Roman"/>
          <w:b/>
          <w:color w:val="000000"/>
        </w:rPr>
      </w:pPr>
      <w:bookmarkStart w:id="18" w:name="_Toc172984774"/>
      <w:r>
        <w:rPr>
          <w:rFonts w:ascii="Times New Roman" w:eastAsia="Times New Roman" w:hAnsi="Times New Roman" w:cs="Times New Roman"/>
          <w:b/>
          <w:color w:val="000000"/>
        </w:rPr>
        <w:t>1.6 Appetite control</w:t>
      </w:r>
      <w:bookmarkEnd w:id="18"/>
    </w:p>
    <w:p w14:paraId="00000131"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sections introduced the external driver of food intake. However, it is also essential to investigate the internal physiological mechanisms that regulate appetite and food consumption. Appetite control can be understood as a complex system involving three levels of the psychobiological system: psychological and behavioural events, peripheral physiological and metabolic events, and neurotransmitter and metabolic interactions in the brain (Blundell, 1991). This thesis focuses primarily on the behavioural level of the system, which includes the events and behaviours that occur before, during and after eating, and is referred to as the satiety cascade.</w:t>
      </w:r>
    </w:p>
    <w:p w14:paraId="00000132" w14:textId="77777777" w:rsidR="00CB4215" w:rsidRDefault="00CB4215">
      <w:pPr>
        <w:spacing w:line="480" w:lineRule="auto"/>
        <w:rPr>
          <w:rFonts w:ascii="Times New Roman" w:eastAsia="Times New Roman" w:hAnsi="Times New Roman" w:cs="Times New Roman"/>
          <w:sz w:val="24"/>
          <w:szCs w:val="24"/>
        </w:rPr>
      </w:pPr>
    </w:p>
    <w:p w14:paraId="00000133"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1.6.1 The Satiety Cascade</w:t>
      </w:r>
    </w:p>
    <w:p w14:paraId="00000134" w14:textId="7B663823"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satiety cascade was developed for understanding the eating patterns throughout the day and to provide a conceptual framework for analysing the influence of foods on satiety and satiation (see Figure 1.2) </w:t>
      </w:r>
      <w:hyperlink r:id="rId98">
        <w:r>
          <w:rPr>
            <w:rFonts w:ascii="Times New Roman" w:eastAsia="Times New Roman" w:hAnsi="Times New Roman" w:cs="Times New Roman"/>
            <w:sz w:val="24"/>
            <w:szCs w:val="24"/>
          </w:rPr>
          <w:t>(Blundell et al., 2010)</w:t>
        </w:r>
      </w:hyperlink>
      <w:r>
        <w:rPr>
          <w:rFonts w:ascii="Times New Roman" w:eastAsia="Times New Roman" w:hAnsi="Times New Roman" w:cs="Times New Roman"/>
          <w:sz w:val="24"/>
          <w:szCs w:val="24"/>
        </w:rPr>
        <w:t xml:space="preserve">. Satiation has been defined as the sensation of fullness in the absence of hunger and the process that terminates eating, influencing food intake </w:t>
      </w:r>
      <w:hyperlink r:id="rId99">
        <w:r>
          <w:rPr>
            <w:rFonts w:ascii="Times New Roman" w:eastAsia="Times New Roman" w:hAnsi="Times New Roman" w:cs="Times New Roman"/>
            <w:sz w:val="24"/>
            <w:szCs w:val="24"/>
          </w:rPr>
          <w:t>(Blundell and Tremblay</w:t>
        </w:r>
        <w:r w:rsidR="002B28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1995)</w:t>
        </w:r>
      </w:hyperlink>
      <w:r>
        <w:rPr>
          <w:rFonts w:ascii="Times New Roman" w:eastAsia="Times New Roman" w:hAnsi="Times New Roman" w:cs="Times New Roman"/>
          <w:sz w:val="24"/>
          <w:szCs w:val="24"/>
        </w:rPr>
        <w:t xml:space="preserve">. Satiety is defined as the state that is experienced after eating which inhibits further eating, influencing the frequency of eating sessions </w:t>
      </w:r>
      <w:hyperlink r:id="rId100">
        <w:r>
          <w:rPr>
            <w:rFonts w:ascii="Times New Roman" w:eastAsia="Times New Roman" w:hAnsi="Times New Roman" w:cs="Times New Roman"/>
            <w:sz w:val="24"/>
            <w:szCs w:val="24"/>
          </w:rPr>
          <w:t xml:space="preserve">(Rogers and </w:t>
        </w:r>
        <w:proofErr w:type="spellStart"/>
        <w:r>
          <w:rPr>
            <w:rFonts w:ascii="Times New Roman" w:eastAsia="Times New Roman" w:hAnsi="Times New Roman" w:cs="Times New Roman"/>
            <w:sz w:val="24"/>
            <w:szCs w:val="24"/>
          </w:rPr>
          <w:lastRenderedPageBreak/>
          <w:t>Brunstrom</w:t>
        </w:r>
        <w:proofErr w:type="spellEnd"/>
        <w:r w:rsidR="002B28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 Yeomans</w:t>
        </w:r>
        <w:r w:rsidR="002B28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2010)</w:t>
        </w:r>
      </w:hyperlink>
      <w:r>
        <w:rPr>
          <w:rFonts w:ascii="Times New Roman" w:eastAsia="Times New Roman" w:hAnsi="Times New Roman" w:cs="Times New Roman"/>
          <w:sz w:val="24"/>
          <w:szCs w:val="24"/>
        </w:rPr>
        <w:t>. Specifically, the Satiety Cascade describes how food consumption is followed by a series of sensory, cognitive, post-</w:t>
      </w:r>
      <w:proofErr w:type="spellStart"/>
      <w:r>
        <w:rPr>
          <w:rFonts w:ascii="Times New Roman" w:eastAsia="Times New Roman" w:hAnsi="Times New Roman" w:cs="Times New Roman"/>
          <w:sz w:val="24"/>
          <w:szCs w:val="24"/>
        </w:rPr>
        <w:t>ingestive</w:t>
      </w:r>
      <w:proofErr w:type="spellEnd"/>
      <w:r>
        <w:rPr>
          <w:rFonts w:ascii="Times New Roman" w:eastAsia="Times New Roman" w:hAnsi="Times New Roman" w:cs="Times New Roman"/>
          <w:sz w:val="24"/>
          <w:szCs w:val="24"/>
        </w:rPr>
        <w:t xml:space="preserve"> and post-absorptive influences. Initially, sensory cues inhibited the consumption of additional food after a meal. 'Sensory specific satiety' introduced by Rolls et al. (1981) suggests that the feeling of satiety is specific to the sensory properties of the food being consumed and that the enjoyment of eating foods with similar sensory properties is reduced. Foods with different sensory characteristics maintain their palatability and promote consumption. After a meal, cognitive factors hinder further consumption. </w:t>
      </w:r>
      <w:proofErr w:type="gramStart"/>
      <w:r>
        <w:rPr>
          <w:rFonts w:ascii="Times New Roman" w:eastAsia="Times New Roman" w:hAnsi="Times New Roman" w:cs="Times New Roman"/>
          <w:sz w:val="24"/>
          <w:szCs w:val="24"/>
        </w:rPr>
        <w:t>In particular, people</w:t>
      </w:r>
      <w:proofErr w:type="gramEnd"/>
      <w:r>
        <w:rPr>
          <w:rFonts w:ascii="Times New Roman" w:eastAsia="Times New Roman" w:hAnsi="Times New Roman" w:cs="Times New Roman"/>
          <w:sz w:val="24"/>
          <w:szCs w:val="24"/>
        </w:rPr>
        <w:t xml:space="preserve"> are aware that they have recently eaten and typically have a general understanding of the portion size of their last meal. This knowledge tends to help suppress their appetite for </w:t>
      </w:r>
      <w:proofErr w:type="gramStart"/>
      <w:r>
        <w:rPr>
          <w:rFonts w:ascii="Times New Roman" w:eastAsia="Times New Roman" w:hAnsi="Times New Roman" w:cs="Times New Roman"/>
          <w:sz w:val="24"/>
          <w:szCs w:val="24"/>
        </w:rPr>
        <w:t>a period of time</w:t>
      </w:r>
      <w:proofErr w:type="gramEnd"/>
      <w:r>
        <w:rPr>
          <w:rFonts w:ascii="Times New Roman" w:eastAsia="Times New Roman" w:hAnsi="Times New Roman" w:cs="Times New Roman"/>
          <w:sz w:val="24"/>
          <w:szCs w:val="24"/>
        </w:rPr>
        <w:t xml:space="preserve">. After a meal, the brain is informed that food is being processed by a variety of signals that originate from the gastrointestinal tract. Once nutrients are accessible to peripheral and brain tissues, post-absorptive signals sustain the feeling of fullness until the energy from the previous meal has been used up and stored. At the end of this phase, hunger signals are reactivated to inform the brain that additional sources of energy need to be sought, obtained and consumed. This marks the end of the 'satiety cascade' and the start of a new episode of eating </w:t>
      </w:r>
      <w:hyperlink r:id="rId10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Bellisle</w:t>
        </w:r>
        <w:proofErr w:type="spellEnd"/>
        <w:r w:rsidR="002B28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2008)</w:t>
        </w:r>
      </w:hyperlink>
      <w:r>
        <w:rPr>
          <w:rFonts w:ascii="Times New Roman" w:eastAsia="Times New Roman" w:hAnsi="Times New Roman" w:cs="Times New Roman"/>
          <w:sz w:val="24"/>
          <w:szCs w:val="24"/>
        </w:rPr>
        <w:t>.</w:t>
      </w:r>
    </w:p>
    <w:p w14:paraId="0000013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D9CE2BB" wp14:editId="56B2DE7F">
            <wp:extent cx="5731200" cy="36068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a:stretch>
                      <a:fillRect/>
                    </a:stretch>
                  </pic:blipFill>
                  <pic:spPr>
                    <a:xfrm>
                      <a:off x="0" y="0"/>
                      <a:ext cx="5731200" cy="3606800"/>
                    </a:xfrm>
                    <a:prstGeom prst="rect">
                      <a:avLst/>
                    </a:prstGeom>
                    <a:ln/>
                  </pic:spPr>
                </pic:pic>
              </a:graphicData>
            </a:graphic>
          </wp:inline>
        </w:drawing>
      </w:r>
    </w:p>
    <w:p w14:paraId="00000136" w14:textId="77777777" w:rsidR="00CB4215" w:rsidRDefault="000530B4">
      <w:pPr>
        <w:pBdr>
          <w:top w:val="nil"/>
          <w:left w:val="nil"/>
          <w:bottom w:val="nil"/>
          <w:right w:val="nil"/>
          <w:between w:val="nil"/>
        </w:pBdr>
        <w:spacing w:after="200" w:line="240" w:lineRule="auto"/>
        <w:rPr>
          <w:rFonts w:ascii="Times New Roman" w:eastAsia="Times New Roman" w:hAnsi="Times New Roman" w:cs="Times New Roman"/>
          <w:color w:val="000000"/>
          <w:sz w:val="20"/>
          <w:szCs w:val="20"/>
        </w:rPr>
      </w:pPr>
      <w:bookmarkStart w:id="19" w:name="_heading=h.44sinio" w:colFirst="0" w:colLast="0"/>
      <w:bookmarkEnd w:id="19"/>
      <w:r>
        <w:rPr>
          <w:rFonts w:ascii="Times New Roman" w:eastAsia="Times New Roman" w:hAnsi="Times New Roman" w:cs="Times New Roman"/>
          <w:i/>
          <w:color w:val="000000"/>
          <w:sz w:val="20"/>
          <w:szCs w:val="20"/>
        </w:rPr>
        <w:t xml:space="preserve">Figure 1.2. </w:t>
      </w:r>
      <w:r>
        <w:rPr>
          <w:rFonts w:ascii="Times New Roman" w:eastAsia="Times New Roman" w:hAnsi="Times New Roman" w:cs="Times New Roman"/>
          <w:color w:val="000000"/>
          <w:sz w:val="20"/>
          <w:szCs w:val="20"/>
        </w:rPr>
        <w:t>Satiety cascade from Blundell modified by Mela (Mela, 2006).</w:t>
      </w:r>
    </w:p>
    <w:p w14:paraId="00000137" w14:textId="77777777" w:rsidR="00CB4215" w:rsidRPr="002B2827" w:rsidRDefault="00CB4215">
      <w:pPr>
        <w:rPr>
          <w:rFonts w:ascii="Times New Roman" w:hAnsi="Times New Roman" w:cs="Times New Roman"/>
          <w:sz w:val="24"/>
          <w:szCs w:val="24"/>
        </w:rPr>
      </w:pPr>
    </w:p>
    <w:p w14:paraId="00000138"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1.6.2 Non-homeostatic factors involved in appetite control</w:t>
      </w:r>
    </w:p>
    <w:p w14:paraId="00000139" w14:textId="621184FB"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non-homeostatic factors such as food hedonics (such as food palatability and reward) and eating behaviour traits involve appetite control overriding homeostatic signals to promote eating in the absence of physiological hunger </w:t>
      </w:r>
      <w:hyperlink r:id="rId103">
        <w:r>
          <w:rPr>
            <w:rFonts w:ascii="Times New Roman" w:eastAsia="Times New Roman" w:hAnsi="Times New Roman" w:cs="Times New Roman"/>
            <w:sz w:val="24"/>
            <w:szCs w:val="24"/>
          </w:rPr>
          <w:t>(Berthoud</w:t>
        </w:r>
        <w:r w:rsidR="002A33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 Mela</w:t>
        </w:r>
        <w:r w:rsidR="002B28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w:t>
        </w:r>
      </w:hyperlink>
      <w:r>
        <w:rPr>
          <w:rFonts w:ascii="Times New Roman" w:eastAsia="Times New Roman" w:hAnsi="Times New Roman" w:cs="Times New Roman"/>
          <w:sz w:val="24"/>
          <w:szCs w:val="24"/>
        </w:rPr>
        <w:t xml:space="preserve">. Although homeostasis is the predominant conceptual position for investigating appetite control, the field of hedonic processes has received significant attention in recent years. Hedonic eating is typically defined as the feeling of pleasure or satisfaction associated with the process of consuming food and involves two different processes: ‘liking’ and ‘wanting’ </w:t>
      </w:r>
      <w:hyperlink r:id="rId104">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Berridge</w:t>
        </w:r>
        <w:proofErr w:type="spellEnd"/>
        <w:r>
          <w:rPr>
            <w:rFonts w:ascii="Times New Roman" w:eastAsia="Times New Roman" w:hAnsi="Times New Roman" w:cs="Times New Roman"/>
            <w:sz w:val="24"/>
            <w:szCs w:val="24"/>
          </w:rPr>
          <w:t xml:space="preserve"> and Robinson</w:t>
        </w:r>
        <w:r w:rsidR="00E85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2003)</w:t>
        </w:r>
      </w:hyperlink>
      <w:r>
        <w:rPr>
          <w:rFonts w:ascii="Times New Roman" w:eastAsia="Times New Roman" w:hAnsi="Times New Roman" w:cs="Times New Roman"/>
          <w:sz w:val="24"/>
          <w:szCs w:val="24"/>
        </w:rPr>
        <w:t xml:space="preserve">. Liking refers to the level of sensory pleasure derived from eating, while desire refers to the motivation or attraction towards certain foods </w:t>
      </w:r>
      <w:hyperlink r:id="rId105">
        <w:r>
          <w:rPr>
            <w:rFonts w:ascii="Times New Roman" w:eastAsia="Times New Roman" w:hAnsi="Times New Roman" w:cs="Times New Roman"/>
            <w:sz w:val="24"/>
            <w:szCs w:val="24"/>
          </w:rPr>
          <w:t>(Finlayson and Dalton</w:t>
        </w:r>
        <w:r w:rsidR="00E85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xml:space="preserve">. Rogers and Blundell (1990) showed that consuming a palatable preload before a test meal led to a rapid recovery of hunger, in contrast to consuming either a tasteless or no </w:t>
      </w:r>
      <w:r>
        <w:rPr>
          <w:rFonts w:ascii="Times New Roman" w:eastAsia="Times New Roman" w:hAnsi="Times New Roman" w:cs="Times New Roman"/>
          <w:sz w:val="24"/>
          <w:szCs w:val="24"/>
        </w:rPr>
        <w:lastRenderedPageBreak/>
        <w:t xml:space="preserve">preload. Moreover, other research has demonstrated that higher perceptions of pleasantness or liking for foods with similar sensory qualities are related to lower levels of satiety </w:t>
      </w:r>
      <w:hyperlink r:id="rId106">
        <w:r>
          <w:rPr>
            <w:rFonts w:ascii="Times New Roman" w:eastAsia="Times New Roman" w:hAnsi="Times New Roman" w:cs="Times New Roman"/>
            <w:sz w:val="24"/>
            <w:szCs w:val="24"/>
          </w:rPr>
          <w:t xml:space="preserve">(Finlayson et al., 2008; </w:t>
        </w:r>
        <w:proofErr w:type="spellStart"/>
        <w:r>
          <w:rPr>
            <w:rFonts w:ascii="Times New Roman" w:eastAsia="Times New Roman" w:hAnsi="Times New Roman" w:cs="Times New Roman"/>
            <w:sz w:val="24"/>
            <w:szCs w:val="24"/>
          </w:rPr>
          <w:t>Griffioen</w:t>
        </w:r>
        <w:proofErr w:type="spellEnd"/>
        <w:r>
          <w:rPr>
            <w:rFonts w:ascii="Times New Roman" w:eastAsia="Times New Roman" w:hAnsi="Times New Roman" w:cs="Times New Roman"/>
            <w:sz w:val="24"/>
            <w:szCs w:val="24"/>
          </w:rPr>
          <w:t>-Roose et al., 2010; Blundell et al., 2010)</w:t>
        </w:r>
      </w:hyperlink>
      <w:r>
        <w:rPr>
          <w:rFonts w:ascii="Times New Roman" w:eastAsia="Times New Roman" w:hAnsi="Times New Roman" w:cs="Times New Roman"/>
          <w:sz w:val="24"/>
          <w:szCs w:val="24"/>
        </w:rPr>
        <w:t xml:space="preserve">. Studies have shown that the biochemical processes underlying pleasurable experiences involve glutamate, opioid, endocannabinoid and dopamine pathways. These pathways are likely to play a role in the biological basis of processes such as wanting and liking, which are associated with the selection and consumption of food </w:t>
      </w:r>
      <w:hyperlink r:id="rId10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Berridge</w:t>
        </w:r>
        <w:proofErr w:type="spellEnd"/>
        <w:r w:rsidR="00E85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1996)</w:t>
        </w:r>
      </w:hyperlink>
      <w:r>
        <w:rPr>
          <w:rFonts w:ascii="Times New Roman" w:eastAsia="Times New Roman" w:hAnsi="Times New Roman" w:cs="Times New Roman"/>
          <w:sz w:val="24"/>
          <w:szCs w:val="24"/>
        </w:rPr>
        <w:t xml:space="preserve">. Taken together, having outlined the control of human appetite involving the interaction between homeostatic and hedonic control, the following section will develop into how these factors manifest in the daily eating choices and patterns. </w:t>
      </w:r>
    </w:p>
    <w:p w14:paraId="0000013A" w14:textId="77777777" w:rsidR="00CB4215" w:rsidRDefault="00CB4215">
      <w:pPr>
        <w:spacing w:line="480" w:lineRule="auto"/>
        <w:rPr>
          <w:rFonts w:ascii="Times New Roman" w:eastAsia="Times New Roman" w:hAnsi="Times New Roman" w:cs="Times New Roman"/>
          <w:sz w:val="24"/>
          <w:szCs w:val="24"/>
        </w:rPr>
      </w:pPr>
    </w:p>
    <w:p w14:paraId="0000013B" w14:textId="77777777" w:rsidR="00CB4215" w:rsidRDefault="000530B4">
      <w:pPr>
        <w:pStyle w:val="Heading3"/>
        <w:spacing w:line="480" w:lineRule="auto"/>
        <w:rPr>
          <w:rFonts w:ascii="Times New Roman" w:eastAsia="Times New Roman" w:hAnsi="Times New Roman" w:cs="Times New Roman"/>
          <w:b/>
          <w:color w:val="000000"/>
        </w:rPr>
      </w:pPr>
      <w:bookmarkStart w:id="20" w:name="_Toc172984775"/>
      <w:r>
        <w:rPr>
          <w:rFonts w:ascii="Times New Roman" w:eastAsia="Times New Roman" w:hAnsi="Times New Roman" w:cs="Times New Roman"/>
          <w:b/>
          <w:color w:val="000000"/>
        </w:rPr>
        <w:t>1.7 Eating behaviour and eating patterns</w:t>
      </w:r>
      <w:bookmarkEnd w:id="20"/>
    </w:p>
    <w:p w14:paraId="0000013C" w14:textId="0AF15C5C"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Eating pattern is determined by the distribution of eating episodes throughout the day and the types of foods chosen for consumption </w:t>
      </w:r>
      <w:hyperlink r:id="rId108">
        <w:r>
          <w:rPr>
            <w:rFonts w:ascii="Times New Roman" w:eastAsia="Times New Roman" w:hAnsi="Times New Roman" w:cs="Times New Roman"/>
            <w:sz w:val="24"/>
            <w:szCs w:val="24"/>
          </w:rPr>
          <w:t>(Blundell et al., 2005)</w:t>
        </w:r>
      </w:hyperlink>
      <w:r>
        <w:rPr>
          <w:rFonts w:ascii="Times New Roman" w:eastAsia="Times New Roman" w:hAnsi="Times New Roman" w:cs="Times New Roman"/>
          <w:sz w:val="24"/>
          <w:szCs w:val="24"/>
        </w:rPr>
        <w:t xml:space="preserve"> and differ around the world </w:t>
      </w:r>
      <w:hyperlink r:id="rId10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Rozin</w:t>
        </w:r>
        <w:proofErr w:type="spellEnd"/>
        <w:r>
          <w:rPr>
            <w:rFonts w:ascii="Times New Roman" w:eastAsia="Times New Roman" w:hAnsi="Times New Roman" w:cs="Times New Roman"/>
            <w:sz w:val="24"/>
            <w:szCs w:val="24"/>
          </w:rPr>
          <w:t xml:space="preserve"> et al., 1999)</w:t>
        </w:r>
      </w:hyperlink>
      <w:r>
        <w:rPr>
          <w:rFonts w:ascii="Times New Roman" w:eastAsia="Times New Roman" w:hAnsi="Times New Roman" w:cs="Times New Roman"/>
          <w:sz w:val="24"/>
          <w:szCs w:val="24"/>
        </w:rPr>
        <w:t xml:space="preserve">. In western societies, it is generally accepted that the optimal daily food consumption should be split into three main meals: breakfast, lunch and evening meal </w:t>
      </w:r>
      <w:hyperlink r:id="rId110">
        <w:r>
          <w:rPr>
            <w:rFonts w:ascii="Times New Roman" w:eastAsia="Times New Roman" w:hAnsi="Times New Roman" w:cs="Times New Roman"/>
            <w:sz w:val="24"/>
            <w:szCs w:val="24"/>
          </w:rPr>
          <w:t>(Paoli et al.</w:t>
        </w:r>
        <w:r w:rsidR="00213F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2019)</w:t>
        </w:r>
      </w:hyperlink>
      <w:r>
        <w:rPr>
          <w:rFonts w:ascii="Times New Roman" w:eastAsia="Times New Roman" w:hAnsi="Times New Roman" w:cs="Times New Roman"/>
          <w:sz w:val="24"/>
          <w:szCs w:val="24"/>
        </w:rPr>
        <w:t xml:space="preserve">. Furthermore, early studies conducted in US and UK have shown that breakfast accounts for 15-25% of daily energy consumption, lunch accounts for 30-40%, and dinner accounts for 35-45% </w:t>
      </w:r>
      <w:hyperlink r:id="rId111">
        <w:r>
          <w:rPr>
            <w:rFonts w:ascii="Times New Roman" w:eastAsia="Times New Roman" w:hAnsi="Times New Roman" w:cs="Times New Roman"/>
            <w:sz w:val="24"/>
            <w:szCs w:val="24"/>
          </w:rPr>
          <w:t>(Betts et al., 2014; Clayton and James</w:t>
        </w:r>
        <w:r w:rsidR="00E85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 Clayton et al., 2016; Kant and </w:t>
        </w:r>
        <w:proofErr w:type="spellStart"/>
        <w:r>
          <w:rPr>
            <w:rFonts w:ascii="Times New Roman" w:eastAsia="Times New Roman" w:hAnsi="Times New Roman" w:cs="Times New Roman"/>
            <w:sz w:val="24"/>
            <w:szCs w:val="24"/>
          </w:rPr>
          <w:t>Graubard</w:t>
        </w:r>
        <w:proofErr w:type="spellEnd"/>
        <w:r w:rsidR="00E85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 </w:t>
        </w:r>
        <w:proofErr w:type="spellStart"/>
        <w:r>
          <w:rPr>
            <w:rFonts w:ascii="Times New Roman" w:eastAsia="Times New Roman" w:hAnsi="Times New Roman" w:cs="Times New Roman"/>
            <w:sz w:val="24"/>
            <w:szCs w:val="24"/>
          </w:rPr>
          <w:t>Schusdziarra</w:t>
        </w:r>
        <w:proofErr w:type="spellEnd"/>
        <w:r>
          <w:rPr>
            <w:rFonts w:ascii="Times New Roman" w:eastAsia="Times New Roman" w:hAnsi="Times New Roman" w:cs="Times New Roman"/>
            <w:sz w:val="24"/>
            <w:szCs w:val="24"/>
          </w:rPr>
          <w:t xml:space="preserve"> et al., 2011)</w:t>
        </w:r>
      </w:hyperlink>
      <w:r>
        <w:rPr>
          <w:rFonts w:ascii="Times New Roman" w:eastAsia="Times New Roman" w:hAnsi="Times New Roman" w:cs="Times New Roman"/>
          <w:sz w:val="24"/>
          <w:szCs w:val="24"/>
        </w:rPr>
        <w:t xml:space="preserve">. Snacks tend to contain up to 20% of daily energy intake </w:t>
      </w:r>
      <w:hyperlink r:id="rId112">
        <w:r>
          <w:rPr>
            <w:rFonts w:ascii="Times New Roman" w:eastAsia="Times New Roman" w:hAnsi="Times New Roman" w:cs="Times New Roman"/>
            <w:sz w:val="24"/>
            <w:szCs w:val="24"/>
          </w:rPr>
          <w:t xml:space="preserve">(Myhre et al., 2015; </w:t>
        </w:r>
        <w:proofErr w:type="spellStart"/>
        <w:r>
          <w:rPr>
            <w:rFonts w:ascii="Times New Roman" w:eastAsia="Times New Roman" w:hAnsi="Times New Roman" w:cs="Times New Roman"/>
            <w:sz w:val="24"/>
            <w:szCs w:val="24"/>
          </w:rPr>
          <w:t>Ovaskainen</w:t>
        </w:r>
        <w:proofErr w:type="spellEnd"/>
        <w:r>
          <w:rPr>
            <w:rFonts w:ascii="Times New Roman" w:eastAsia="Times New Roman" w:hAnsi="Times New Roman" w:cs="Times New Roman"/>
            <w:sz w:val="24"/>
            <w:szCs w:val="24"/>
          </w:rPr>
          <w:t xml:space="preserve"> et al., 2006; </w:t>
        </w:r>
        <w:proofErr w:type="spellStart"/>
        <w:r>
          <w:rPr>
            <w:rFonts w:ascii="Times New Roman" w:eastAsia="Times New Roman" w:hAnsi="Times New Roman" w:cs="Times New Roman"/>
            <w:sz w:val="24"/>
            <w:szCs w:val="24"/>
          </w:rPr>
          <w:t>Piernas</w:t>
        </w:r>
        <w:proofErr w:type="spellEnd"/>
        <w:r>
          <w:rPr>
            <w:rFonts w:ascii="Times New Roman" w:eastAsia="Times New Roman" w:hAnsi="Times New Roman" w:cs="Times New Roman"/>
            <w:sz w:val="24"/>
            <w:szCs w:val="24"/>
          </w:rPr>
          <w:t xml:space="preserve"> and Popkin</w:t>
        </w:r>
        <w:r w:rsidR="00E85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2010)</w:t>
        </w:r>
      </w:hyperlink>
      <w:r>
        <w:rPr>
          <w:rFonts w:ascii="Times New Roman" w:eastAsia="Times New Roman" w:hAnsi="Times New Roman" w:cs="Times New Roman"/>
          <w:sz w:val="24"/>
          <w:szCs w:val="24"/>
        </w:rPr>
        <w:t xml:space="preserve">. Moreover, meals have been described according to three constructs, including pattern (e.g.,  frequency, regularity and timing of meals), format (e.g., types of food combinations, sequencing of foods, and nutrient composition) and context (e.g., at home or at a restaurant </w:t>
      </w:r>
      <w:r>
        <w:rPr>
          <w:rFonts w:ascii="Times New Roman" w:eastAsia="Times New Roman" w:hAnsi="Times New Roman" w:cs="Times New Roman"/>
          <w:sz w:val="24"/>
          <w:szCs w:val="24"/>
        </w:rPr>
        <w:lastRenderedPageBreak/>
        <w:t xml:space="preserve">and eating with others or in front of the television) </w:t>
      </w:r>
      <w:hyperlink r:id="rId113">
        <w:r>
          <w:rPr>
            <w:rFonts w:ascii="Times New Roman" w:eastAsia="Times New Roman" w:hAnsi="Times New Roman" w:cs="Times New Roman"/>
            <w:sz w:val="24"/>
            <w:szCs w:val="24"/>
          </w:rPr>
          <w:t>(Leech et al., 2015)</w:t>
        </w:r>
      </w:hyperlink>
      <w:r>
        <w:rPr>
          <w:rFonts w:ascii="Times New Roman" w:eastAsia="Times New Roman" w:hAnsi="Times New Roman" w:cs="Times New Roman"/>
          <w:sz w:val="24"/>
          <w:szCs w:val="24"/>
        </w:rPr>
        <w:t xml:space="preserve">. Therefore, meals can differ between individuals over the course of a day due to different types and quantities of foods in different locations, for different reasons and at different times </w:t>
      </w:r>
      <w:hyperlink r:id="rId114">
        <w:r>
          <w:rPr>
            <w:rFonts w:ascii="Times New Roman" w:eastAsia="Times New Roman" w:hAnsi="Times New Roman" w:cs="Times New Roman"/>
            <w:sz w:val="24"/>
            <w:szCs w:val="24"/>
          </w:rPr>
          <w:t xml:space="preserve">(Mason and </w:t>
        </w:r>
        <w:proofErr w:type="spellStart"/>
        <w:r>
          <w:rPr>
            <w:rFonts w:ascii="Times New Roman" w:eastAsia="Times New Roman" w:hAnsi="Times New Roman" w:cs="Times New Roman"/>
            <w:sz w:val="24"/>
            <w:szCs w:val="24"/>
          </w:rPr>
          <w:t>Epel</w:t>
        </w:r>
        <w:proofErr w:type="spellEnd"/>
        <w:r w:rsidR="00E85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2015)</w:t>
        </w:r>
      </w:hyperlink>
      <w:r>
        <w:rPr>
          <w:rFonts w:ascii="Times New Roman" w:eastAsia="Times New Roman" w:hAnsi="Times New Roman" w:cs="Times New Roman"/>
          <w:sz w:val="24"/>
          <w:szCs w:val="24"/>
        </w:rPr>
        <w:t>. The following sections introduce the specific characteristics of eating behaviours and eating patterns that can result in higher energy intake and increase the risk of obesity.</w:t>
      </w:r>
    </w:p>
    <w:p w14:paraId="0000013D" w14:textId="77777777" w:rsidR="00CB4215" w:rsidRDefault="00CB4215">
      <w:pPr>
        <w:spacing w:line="480" w:lineRule="auto"/>
        <w:rPr>
          <w:rFonts w:ascii="Times New Roman" w:eastAsia="Times New Roman" w:hAnsi="Times New Roman" w:cs="Times New Roman"/>
          <w:sz w:val="24"/>
          <w:szCs w:val="24"/>
        </w:rPr>
      </w:pPr>
    </w:p>
    <w:p w14:paraId="0000013E"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1.7.1 Meal frequency</w:t>
      </w:r>
    </w:p>
    <w:p w14:paraId="0000013F" w14:textId="6870D9C3"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Meal frequency, a component of dietary and nutritional practices, refers to the number of eating episodes per day, which have habituated people to a pattern of three daily meals (breakfast, lunch and evening meal) with or without snacks </w:t>
      </w:r>
      <w:hyperlink r:id="rId115">
        <w:r>
          <w:rPr>
            <w:rFonts w:ascii="Times New Roman" w:eastAsia="Times New Roman" w:hAnsi="Times New Roman" w:cs="Times New Roman"/>
            <w:sz w:val="24"/>
            <w:szCs w:val="24"/>
          </w:rPr>
          <w:t>(Carroll</w:t>
        </w:r>
        <w:r w:rsidR="00213F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2013; Paoli et al., 2019)</w:t>
        </w:r>
      </w:hyperlink>
      <w:r>
        <w:rPr>
          <w:rFonts w:ascii="Times New Roman" w:eastAsia="Times New Roman" w:hAnsi="Times New Roman" w:cs="Times New Roman"/>
          <w:sz w:val="24"/>
          <w:szCs w:val="24"/>
        </w:rPr>
        <w:t xml:space="preserve">. Previous studies found significant associations between increased meal frequency and higher BMI </w:t>
      </w:r>
      <w:hyperlink r:id="rId11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Bertéus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Forslund</w:t>
        </w:r>
        <w:proofErr w:type="spellEnd"/>
        <w:r>
          <w:rPr>
            <w:rFonts w:ascii="Times New Roman" w:eastAsia="Times New Roman" w:hAnsi="Times New Roman" w:cs="Times New Roman"/>
            <w:sz w:val="24"/>
            <w:szCs w:val="24"/>
          </w:rPr>
          <w:t xml:space="preserve"> et al., 2002; </w:t>
        </w:r>
        <w:proofErr w:type="spellStart"/>
        <w:r>
          <w:rPr>
            <w:rFonts w:ascii="Times New Roman" w:eastAsia="Times New Roman" w:hAnsi="Times New Roman" w:cs="Times New Roman"/>
            <w:sz w:val="24"/>
            <w:szCs w:val="24"/>
          </w:rPr>
          <w:t>Bertéus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Forslund</w:t>
        </w:r>
        <w:proofErr w:type="spellEnd"/>
        <w:r>
          <w:rPr>
            <w:rFonts w:ascii="Times New Roman" w:eastAsia="Times New Roman" w:hAnsi="Times New Roman" w:cs="Times New Roman"/>
            <w:sz w:val="24"/>
            <w:szCs w:val="24"/>
          </w:rPr>
          <w:t xml:space="preserve"> et al., 2005; Huang et al., 2005; </w:t>
        </w:r>
        <w:proofErr w:type="spellStart"/>
        <w:r>
          <w:rPr>
            <w:rFonts w:ascii="Times New Roman" w:eastAsia="Times New Roman" w:hAnsi="Times New Roman" w:cs="Times New Roman"/>
            <w:sz w:val="24"/>
            <w:szCs w:val="24"/>
          </w:rPr>
          <w:t>Yannakoulia</w:t>
        </w:r>
        <w:proofErr w:type="spellEnd"/>
        <w:r>
          <w:rPr>
            <w:rFonts w:ascii="Times New Roman" w:eastAsia="Times New Roman" w:hAnsi="Times New Roman" w:cs="Times New Roman"/>
            <w:sz w:val="24"/>
            <w:szCs w:val="24"/>
          </w:rPr>
          <w:t xml:space="preserve"> et al., 2007; van der Heijden et al., 2007; Howarth et al., 2007; Murakami and Livingstone</w:t>
        </w:r>
        <w:r w:rsidR="00E85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xml:space="preserve">. Furthermore, a meta-analysis of randomised controlled studies by </w:t>
      </w:r>
      <w:proofErr w:type="spellStart"/>
      <w:r>
        <w:rPr>
          <w:rFonts w:ascii="Times New Roman" w:eastAsia="Times New Roman" w:hAnsi="Times New Roman" w:cs="Times New Roman"/>
          <w:sz w:val="24"/>
          <w:szCs w:val="24"/>
        </w:rPr>
        <w:t>Schwingshackl</w:t>
      </w:r>
      <w:proofErr w:type="spellEnd"/>
      <w:r>
        <w:rPr>
          <w:rFonts w:ascii="Times New Roman" w:eastAsia="Times New Roman" w:hAnsi="Times New Roman" w:cs="Times New Roman"/>
          <w:sz w:val="24"/>
          <w:szCs w:val="24"/>
        </w:rPr>
        <w:t xml:space="preserve"> et al. (2020) examined the effect of meal frequency on anthropometric outcomes and total energy intake in people with obesity. The analysis suggested that reducing meal frequency to twice daily contributed to a decrease in body weight and waist circumference compared to a six-meal-per-day pattern. Conversely, many epidemiologic studies indicate that increased meal frequency is related to reduced body weight and body fatness </w:t>
      </w:r>
      <w:hyperlink r:id="rId117">
        <w:r>
          <w:rPr>
            <w:rFonts w:ascii="Times New Roman" w:eastAsia="Times New Roman" w:hAnsi="Times New Roman" w:cs="Times New Roman"/>
            <w:sz w:val="24"/>
            <w:szCs w:val="24"/>
          </w:rPr>
          <w:t xml:space="preserve">(Ma et al., 2003; </w:t>
        </w:r>
        <w:proofErr w:type="spellStart"/>
        <w:r>
          <w:rPr>
            <w:rFonts w:ascii="Times New Roman" w:eastAsia="Times New Roman" w:hAnsi="Times New Roman" w:cs="Times New Roman"/>
            <w:sz w:val="24"/>
            <w:szCs w:val="24"/>
          </w:rPr>
          <w:t>Ruidavets</w:t>
        </w:r>
        <w:proofErr w:type="spellEnd"/>
        <w:r>
          <w:rPr>
            <w:rFonts w:ascii="Times New Roman" w:eastAsia="Times New Roman" w:hAnsi="Times New Roman" w:cs="Times New Roman"/>
            <w:sz w:val="24"/>
            <w:szCs w:val="24"/>
          </w:rPr>
          <w:t xml:space="preserve"> et al., 2002; </w:t>
        </w:r>
        <w:proofErr w:type="spellStart"/>
        <w:r>
          <w:rPr>
            <w:rFonts w:ascii="Times New Roman" w:eastAsia="Times New Roman" w:hAnsi="Times New Roman" w:cs="Times New Roman"/>
            <w:sz w:val="24"/>
            <w:szCs w:val="24"/>
          </w:rPr>
          <w:t>Toschke</w:t>
        </w:r>
        <w:proofErr w:type="spellEnd"/>
        <w:r>
          <w:rPr>
            <w:rFonts w:ascii="Times New Roman" w:eastAsia="Times New Roman" w:hAnsi="Times New Roman" w:cs="Times New Roman"/>
            <w:sz w:val="24"/>
            <w:szCs w:val="24"/>
          </w:rPr>
          <w:t xml:space="preserve"> et al., 2005; </w:t>
        </w:r>
        <w:proofErr w:type="spellStart"/>
        <w:r>
          <w:rPr>
            <w:rFonts w:ascii="Times New Roman" w:eastAsia="Times New Roman" w:hAnsi="Times New Roman" w:cs="Times New Roman"/>
            <w:sz w:val="24"/>
            <w:szCs w:val="24"/>
          </w:rPr>
          <w:t>Toschke</w:t>
        </w:r>
        <w:proofErr w:type="spellEnd"/>
        <w:r>
          <w:rPr>
            <w:rFonts w:ascii="Times New Roman" w:eastAsia="Times New Roman" w:hAnsi="Times New Roman" w:cs="Times New Roman"/>
            <w:sz w:val="24"/>
            <w:szCs w:val="24"/>
          </w:rPr>
          <w:t xml:space="preserve"> et al., 2009</w:t>
        </w:r>
      </w:hyperlink>
      <w:r>
        <w:rPr>
          <w:rFonts w:ascii="Times New Roman" w:eastAsia="Times New Roman" w:hAnsi="Times New Roman" w:cs="Times New Roman"/>
          <w:sz w:val="24"/>
          <w:szCs w:val="24"/>
        </w:rPr>
        <w:t xml:space="preserve">; </w:t>
      </w:r>
      <w:hyperlink r:id="rId118">
        <w:r>
          <w:rPr>
            <w:rFonts w:ascii="Times New Roman" w:eastAsia="Times New Roman" w:hAnsi="Times New Roman" w:cs="Times New Roman"/>
            <w:sz w:val="24"/>
            <w:szCs w:val="24"/>
          </w:rPr>
          <w:t xml:space="preserve">Drummond et al., 1998; Titan et al., 2001; Marín-Guerrero et al., 2008; </w:t>
        </w:r>
        <w:proofErr w:type="spellStart"/>
        <w:r>
          <w:rPr>
            <w:rFonts w:ascii="Times New Roman" w:eastAsia="Times New Roman" w:hAnsi="Times New Roman" w:cs="Times New Roman"/>
            <w:sz w:val="24"/>
            <w:szCs w:val="24"/>
          </w:rPr>
          <w:t>Holmbäck</w:t>
        </w:r>
        <w:proofErr w:type="spellEnd"/>
        <w:r>
          <w:rPr>
            <w:rFonts w:ascii="Times New Roman" w:eastAsia="Times New Roman" w:hAnsi="Times New Roman" w:cs="Times New Roman"/>
            <w:sz w:val="24"/>
            <w:szCs w:val="24"/>
          </w:rPr>
          <w:t xml:space="preserve"> et al., 2010; Smith et al., 2012)</w:t>
        </w:r>
      </w:hyperlink>
      <w:r>
        <w:rPr>
          <w:rFonts w:ascii="Times New Roman" w:eastAsia="Times New Roman" w:hAnsi="Times New Roman" w:cs="Times New Roman"/>
          <w:sz w:val="24"/>
          <w:szCs w:val="24"/>
        </w:rPr>
        <w:t xml:space="preserve">. There are some possible explanations for inconsistent findings. Firstly, the assessment of meal frequency has often relied on a series of self-report questions </w:t>
      </w:r>
      <w:hyperlink r:id="rId119">
        <w:r>
          <w:rPr>
            <w:rFonts w:ascii="Times New Roman" w:eastAsia="Times New Roman" w:hAnsi="Times New Roman" w:cs="Times New Roman"/>
            <w:sz w:val="24"/>
            <w:szCs w:val="24"/>
          </w:rPr>
          <w:t xml:space="preserve">(Titan et al., 2001; Marín-Guerrero et al., 2008; </w:t>
        </w:r>
        <w:proofErr w:type="spellStart"/>
        <w:r>
          <w:rPr>
            <w:rFonts w:ascii="Times New Roman" w:eastAsia="Times New Roman" w:hAnsi="Times New Roman" w:cs="Times New Roman"/>
            <w:sz w:val="24"/>
            <w:szCs w:val="24"/>
          </w:rPr>
          <w:t>Holmbäck</w:t>
        </w:r>
        <w:proofErr w:type="spellEnd"/>
        <w:r>
          <w:rPr>
            <w:rFonts w:ascii="Times New Roman" w:eastAsia="Times New Roman" w:hAnsi="Times New Roman" w:cs="Times New Roman"/>
            <w:sz w:val="24"/>
            <w:szCs w:val="24"/>
          </w:rPr>
          <w:t xml:space="preserve"> et al., 2010; Smith et al., 2012; </w:t>
        </w:r>
        <w:proofErr w:type="spellStart"/>
        <w:r>
          <w:rPr>
            <w:rFonts w:ascii="Times New Roman" w:eastAsia="Times New Roman" w:hAnsi="Times New Roman" w:cs="Times New Roman"/>
            <w:sz w:val="24"/>
            <w:szCs w:val="24"/>
          </w:rPr>
          <w:t>Bertéus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Forslund</w:t>
        </w:r>
        <w:proofErr w:type="spellEnd"/>
        <w:r>
          <w:rPr>
            <w:rFonts w:ascii="Times New Roman" w:eastAsia="Times New Roman" w:hAnsi="Times New Roman" w:cs="Times New Roman"/>
            <w:sz w:val="24"/>
            <w:szCs w:val="24"/>
          </w:rPr>
          <w:t xml:space="preserve"> et al., 2002; Howarth et al., 2007)</w:t>
        </w:r>
      </w:hyperlink>
      <w:r>
        <w:rPr>
          <w:rFonts w:ascii="Times New Roman" w:eastAsia="Times New Roman" w:hAnsi="Times New Roman" w:cs="Times New Roman"/>
          <w:sz w:val="24"/>
          <w:szCs w:val="24"/>
        </w:rPr>
        <w:t xml:space="preserve">, and the validity of such questions has </w:t>
      </w:r>
      <w:r>
        <w:rPr>
          <w:rFonts w:ascii="Times New Roman" w:eastAsia="Times New Roman" w:hAnsi="Times New Roman" w:cs="Times New Roman"/>
          <w:sz w:val="24"/>
          <w:szCs w:val="24"/>
        </w:rPr>
        <w:lastRenderedPageBreak/>
        <w:t xml:space="preserve">not been examined. Several studies have assessed meal frequency by analysing data on dietary habits, such as food diaries (see more details in Chapter 3) </w:t>
      </w:r>
      <w:hyperlink r:id="rId120">
        <w:r>
          <w:rPr>
            <w:rFonts w:ascii="Times New Roman" w:eastAsia="Times New Roman" w:hAnsi="Times New Roman" w:cs="Times New Roman"/>
            <w:sz w:val="24"/>
            <w:szCs w:val="24"/>
          </w:rPr>
          <w:t>(Drummond et al., 1998; Ma et al., 2003; Murakami and Livingstone</w:t>
        </w:r>
        <w:r w:rsidR="00E85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xml:space="preserve">. Secondly, the literature on meal frequency does not establish a consensus on the definition of a snack, a meal, or an eating occasion. For example, some research has depended on participants' self-identification of meals, snacks, or eating occasions </w:t>
      </w:r>
      <w:hyperlink r:id="rId121">
        <w:r>
          <w:rPr>
            <w:rFonts w:ascii="Times New Roman" w:eastAsia="Times New Roman" w:hAnsi="Times New Roman" w:cs="Times New Roman"/>
            <w:sz w:val="24"/>
            <w:szCs w:val="24"/>
          </w:rPr>
          <w:t xml:space="preserve">(Titan et al., 2001; Marín-Guerrero et al., 2008; </w:t>
        </w:r>
        <w:proofErr w:type="spellStart"/>
        <w:r>
          <w:rPr>
            <w:rFonts w:ascii="Times New Roman" w:eastAsia="Times New Roman" w:hAnsi="Times New Roman" w:cs="Times New Roman"/>
            <w:sz w:val="24"/>
            <w:szCs w:val="24"/>
          </w:rPr>
          <w:t>Holmbäck</w:t>
        </w:r>
        <w:proofErr w:type="spellEnd"/>
        <w:r>
          <w:rPr>
            <w:rFonts w:ascii="Times New Roman" w:eastAsia="Times New Roman" w:hAnsi="Times New Roman" w:cs="Times New Roman"/>
            <w:sz w:val="24"/>
            <w:szCs w:val="24"/>
          </w:rPr>
          <w:t xml:space="preserve"> et al., 2010; </w:t>
        </w:r>
        <w:proofErr w:type="spellStart"/>
        <w:r>
          <w:rPr>
            <w:rFonts w:ascii="Times New Roman" w:eastAsia="Times New Roman" w:hAnsi="Times New Roman" w:cs="Times New Roman"/>
            <w:sz w:val="24"/>
            <w:szCs w:val="24"/>
          </w:rPr>
          <w:t>Bertéus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Forslund</w:t>
        </w:r>
        <w:proofErr w:type="spellEnd"/>
        <w:r>
          <w:rPr>
            <w:rFonts w:ascii="Times New Roman" w:eastAsia="Times New Roman" w:hAnsi="Times New Roman" w:cs="Times New Roman"/>
            <w:sz w:val="24"/>
            <w:szCs w:val="24"/>
          </w:rPr>
          <w:t xml:space="preserve"> et al., 2002; </w:t>
        </w:r>
        <w:proofErr w:type="spellStart"/>
        <w:r>
          <w:rPr>
            <w:rFonts w:ascii="Times New Roman" w:eastAsia="Times New Roman" w:hAnsi="Times New Roman" w:cs="Times New Roman"/>
            <w:sz w:val="24"/>
            <w:szCs w:val="24"/>
          </w:rPr>
          <w:t>Bertéus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Forslund</w:t>
        </w:r>
        <w:proofErr w:type="spellEnd"/>
        <w:r>
          <w:rPr>
            <w:rFonts w:ascii="Times New Roman" w:eastAsia="Times New Roman" w:hAnsi="Times New Roman" w:cs="Times New Roman"/>
            <w:sz w:val="24"/>
            <w:szCs w:val="24"/>
          </w:rPr>
          <w:t xml:space="preserve"> et al., 2005)</w:t>
        </w:r>
      </w:hyperlink>
      <w:r>
        <w:rPr>
          <w:rFonts w:ascii="Times New Roman" w:eastAsia="Times New Roman" w:hAnsi="Times New Roman" w:cs="Times New Roman"/>
          <w:sz w:val="24"/>
          <w:szCs w:val="24"/>
        </w:rPr>
        <w:t xml:space="preserve">. However, the frequency of meals is a dynamic and personalised component of dietary habits. Therefore, more research is needed to understand and optimise meal frequency for a healthy lifestyle. </w:t>
      </w:r>
    </w:p>
    <w:p w14:paraId="00000140" w14:textId="77777777" w:rsidR="00CB4215" w:rsidRDefault="00CB4215">
      <w:pPr>
        <w:spacing w:line="480" w:lineRule="auto"/>
        <w:rPr>
          <w:rFonts w:ascii="Times New Roman" w:eastAsia="Times New Roman" w:hAnsi="Times New Roman" w:cs="Times New Roman"/>
          <w:sz w:val="24"/>
          <w:szCs w:val="24"/>
        </w:rPr>
      </w:pPr>
    </w:p>
    <w:p w14:paraId="00000141"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1.7.2 Skipping breakfast</w:t>
      </w:r>
    </w:p>
    <w:p w14:paraId="00000142" w14:textId="4C5EEB5A"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Breakfast is generally considered the first meal of the day, which follows an overnight fast and has been shown to be associated with improved cognitive functions, memory recall and reduction in obesity </w:t>
      </w:r>
      <w:hyperlink r:id="rId122">
        <w:r>
          <w:rPr>
            <w:rFonts w:ascii="Times New Roman" w:eastAsia="Times New Roman" w:hAnsi="Times New Roman" w:cs="Times New Roman"/>
            <w:sz w:val="24"/>
            <w:szCs w:val="24"/>
          </w:rPr>
          <w:t>(O’Neil et al., 2014)</w:t>
        </w:r>
      </w:hyperlink>
      <w:r>
        <w:rPr>
          <w:rFonts w:ascii="Times New Roman" w:eastAsia="Times New Roman" w:hAnsi="Times New Roman" w:cs="Times New Roman"/>
          <w:sz w:val="24"/>
          <w:szCs w:val="24"/>
        </w:rPr>
        <w:t xml:space="preserve">. However, there is a growing trend in the prevalence of breakfast skipping among children, adolescents and adults </w:t>
      </w:r>
      <w:hyperlink r:id="rId123">
        <w:r>
          <w:rPr>
            <w:rFonts w:ascii="Times New Roman" w:eastAsia="Times New Roman" w:hAnsi="Times New Roman" w:cs="Times New Roman"/>
            <w:sz w:val="24"/>
            <w:szCs w:val="24"/>
          </w:rPr>
          <w:t>(Greenwood and Stanford</w:t>
        </w:r>
        <w:r w:rsidR="004A7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2008; Howden et al., 1993)</w:t>
        </w:r>
      </w:hyperlink>
      <w:r>
        <w:rPr>
          <w:rFonts w:ascii="Times New Roman" w:eastAsia="Times New Roman" w:hAnsi="Times New Roman" w:cs="Times New Roman"/>
          <w:sz w:val="24"/>
          <w:szCs w:val="24"/>
        </w:rPr>
        <w:t xml:space="preserve">. A systematic review by Ma et al. (2020) examined the association between breakfast skipping and the incidence of overweight and obesity in 45 cohorts and cross-sectional studies showed that skipping breakfast was significantly related to increased risk of overweight/obesity. While skipping breakfast has been linked to higher risk of obesity in the UK </w:t>
      </w:r>
      <w:hyperlink r:id="rId124">
        <w:r>
          <w:rPr>
            <w:rFonts w:ascii="Times New Roman" w:eastAsia="Times New Roman" w:hAnsi="Times New Roman" w:cs="Times New Roman"/>
            <w:sz w:val="24"/>
            <w:szCs w:val="24"/>
          </w:rPr>
          <w:t>(Harding et al., 2008)</w:t>
        </w:r>
      </w:hyperlink>
      <w:r>
        <w:rPr>
          <w:rFonts w:ascii="Times New Roman" w:eastAsia="Times New Roman" w:hAnsi="Times New Roman" w:cs="Times New Roman"/>
          <w:sz w:val="24"/>
          <w:szCs w:val="24"/>
        </w:rPr>
        <w:t xml:space="preserve">, Hong Kong </w:t>
      </w:r>
      <w:hyperlink r:id="rId125">
        <w:r>
          <w:rPr>
            <w:rFonts w:ascii="Times New Roman" w:eastAsia="Times New Roman" w:hAnsi="Times New Roman" w:cs="Times New Roman"/>
            <w:sz w:val="24"/>
            <w:szCs w:val="24"/>
          </w:rPr>
          <w:t>(So et al., 2011)</w:t>
        </w:r>
      </w:hyperlink>
      <w:r>
        <w:rPr>
          <w:rFonts w:ascii="Times New Roman" w:eastAsia="Times New Roman" w:hAnsi="Times New Roman" w:cs="Times New Roman"/>
          <w:sz w:val="24"/>
          <w:szCs w:val="24"/>
        </w:rPr>
        <w:t xml:space="preserve">, and the USA </w:t>
      </w:r>
      <w:hyperlink r:id="rId126">
        <w:r>
          <w:rPr>
            <w:rFonts w:ascii="Times New Roman" w:eastAsia="Times New Roman" w:hAnsi="Times New Roman" w:cs="Times New Roman"/>
            <w:sz w:val="24"/>
            <w:szCs w:val="24"/>
          </w:rPr>
          <w:t>(Laska et al., 2012)</w:t>
        </w:r>
      </w:hyperlink>
      <w:r>
        <w:rPr>
          <w:rFonts w:ascii="Times New Roman" w:eastAsia="Times New Roman" w:hAnsi="Times New Roman" w:cs="Times New Roman"/>
          <w:sz w:val="24"/>
          <w:szCs w:val="24"/>
        </w:rPr>
        <w:t xml:space="preserve">, no associations were observed in Australia </w:t>
      </w:r>
      <w:hyperlink r:id="rId127">
        <w:r>
          <w:rPr>
            <w:rFonts w:ascii="Times New Roman" w:eastAsia="Times New Roman" w:hAnsi="Times New Roman" w:cs="Times New Roman"/>
            <w:sz w:val="24"/>
            <w:szCs w:val="24"/>
          </w:rPr>
          <w:t>(Williams</w:t>
        </w:r>
        <w:r w:rsidR="004A7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2007)</w:t>
        </w:r>
      </w:hyperlink>
      <w:r>
        <w:rPr>
          <w:rFonts w:ascii="Times New Roman" w:eastAsia="Times New Roman" w:hAnsi="Times New Roman" w:cs="Times New Roman"/>
          <w:sz w:val="24"/>
          <w:szCs w:val="24"/>
        </w:rPr>
        <w:t xml:space="preserve">, Portugal </w:t>
      </w:r>
      <w:hyperlink r:id="rId128">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Mota</w:t>
        </w:r>
        <w:proofErr w:type="spellEnd"/>
        <w:r>
          <w:rPr>
            <w:rFonts w:ascii="Times New Roman" w:eastAsia="Times New Roman" w:hAnsi="Times New Roman" w:cs="Times New Roman"/>
            <w:sz w:val="24"/>
            <w:szCs w:val="24"/>
          </w:rPr>
          <w:t xml:space="preserve"> et al., 2008)</w:t>
        </w:r>
      </w:hyperlink>
      <w:r>
        <w:rPr>
          <w:rFonts w:ascii="Times New Roman" w:eastAsia="Times New Roman" w:hAnsi="Times New Roman" w:cs="Times New Roman"/>
          <w:sz w:val="24"/>
          <w:szCs w:val="24"/>
        </w:rPr>
        <w:t xml:space="preserve">, and Saudi Arabia </w:t>
      </w:r>
      <w:hyperlink r:id="rId12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Abalkhail</w:t>
        </w:r>
        <w:proofErr w:type="spellEnd"/>
        <w:r>
          <w:rPr>
            <w:rFonts w:ascii="Times New Roman" w:eastAsia="Times New Roman" w:hAnsi="Times New Roman" w:cs="Times New Roman"/>
            <w:sz w:val="24"/>
            <w:szCs w:val="24"/>
          </w:rPr>
          <w:t xml:space="preserve"> and Shawky</w:t>
        </w:r>
        <w:r w:rsidR="00213F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2002)</w:t>
        </w:r>
      </w:hyperlink>
      <w:r>
        <w:rPr>
          <w:rFonts w:ascii="Times New Roman" w:eastAsia="Times New Roman" w:hAnsi="Times New Roman" w:cs="Times New Roman"/>
          <w:sz w:val="24"/>
          <w:szCs w:val="24"/>
        </w:rPr>
        <w:t xml:space="preserve">. Indeed, a meta-analysis of 13 randomised controlled clinical studies showed that participants who habitually consumed breakfast had a greater total daily energy intake compared to those who did not eat breakfast (Sievert et al., 2018). Considering that regularly skipping breakfast may be a form of </w:t>
      </w:r>
      <w:r>
        <w:rPr>
          <w:rFonts w:ascii="Times New Roman" w:eastAsia="Times New Roman" w:hAnsi="Times New Roman" w:cs="Times New Roman"/>
          <w:sz w:val="24"/>
          <w:szCs w:val="24"/>
        </w:rPr>
        <w:lastRenderedPageBreak/>
        <w:t xml:space="preserve">intermittent fasting (episodic periods of little or no calorie consumption), the possible explanation for the association between skipping breakfast, reduced energy intake, and lower BMI might be found in intermittent fasting (see more details in section 1.10). It has been shown that intermittent fasting is related to increased weight loss in people with obesity </w:t>
      </w:r>
      <w:hyperlink r:id="rId130">
        <w:r>
          <w:rPr>
            <w:rFonts w:ascii="Times New Roman" w:eastAsia="Times New Roman" w:hAnsi="Times New Roman" w:cs="Times New Roman"/>
            <w:sz w:val="24"/>
            <w:szCs w:val="24"/>
          </w:rPr>
          <w:t>(Harvie and Howell</w:t>
        </w:r>
        <w:r w:rsidR="004A7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2017)</w:t>
        </w:r>
      </w:hyperlink>
      <w:r>
        <w:rPr>
          <w:rFonts w:ascii="Times New Roman" w:eastAsia="Times New Roman" w:hAnsi="Times New Roman" w:cs="Times New Roman"/>
          <w:sz w:val="24"/>
          <w:szCs w:val="24"/>
        </w:rPr>
        <w:t xml:space="preserve">. While there are arguments for skipping breakfast, the UK’s national guidelines advise that skipping breakfast will not help lose weight (NHS, 2022). Furthermore, several underlying mechanisms have been proposed to explain the skipping breakfast and increased risk of obesity. First, regarding dietary behaviour, skipping breakfast leads to a reduced sense of satiety </w:t>
      </w:r>
      <w:hyperlink r:id="rId131">
        <w:r>
          <w:rPr>
            <w:rFonts w:ascii="Times New Roman" w:eastAsia="Times New Roman" w:hAnsi="Times New Roman" w:cs="Times New Roman"/>
            <w:sz w:val="24"/>
            <w:szCs w:val="24"/>
          </w:rPr>
          <w:t>(Benton et al., 2001)</w:t>
        </w:r>
      </w:hyperlink>
      <w:r>
        <w:rPr>
          <w:rFonts w:ascii="Times New Roman" w:eastAsia="Times New Roman" w:hAnsi="Times New Roman" w:cs="Times New Roman"/>
          <w:sz w:val="24"/>
          <w:szCs w:val="24"/>
        </w:rPr>
        <w:t xml:space="preserve"> and subsequently results in an increased overall energy intake </w:t>
      </w:r>
      <w:hyperlink r:id="rId132">
        <w:r>
          <w:rPr>
            <w:rFonts w:ascii="Times New Roman" w:eastAsia="Times New Roman" w:hAnsi="Times New Roman" w:cs="Times New Roman"/>
            <w:sz w:val="24"/>
            <w:szCs w:val="24"/>
          </w:rPr>
          <w:t xml:space="preserve">(Nicklas et al., 2000; </w:t>
        </w:r>
        <w:proofErr w:type="spellStart"/>
        <w:r>
          <w:rPr>
            <w:rFonts w:ascii="Times New Roman" w:eastAsia="Times New Roman" w:hAnsi="Times New Roman" w:cs="Times New Roman"/>
            <w:sz w:val="24"/>
            <w:szCs w:val="24"/>
          </w:rPr>
          <w:t>Sjöberg</w:t>
        </w:r>
        <w:proofErr w:type="spellEnd"/>
        <w:r>
          <w:rPr>
            <w:rFonts w:ascii="Times New Roman" w:eastAsia="Times New Roman" w:hAnsi="Times New Roman" w:cs="Times New Roman"/>
            <w:sz w:val="24"/>
            <w:szCs w:val="24"/>
          </w:rPr>
          <w:t xml:space="preserve"> et al., 2003; Williams</w:t>
        </w:r>
        <w:r w:rsidR="004A7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2007)</w:t>
        </w:r>
      </w:hyperlink>
      <w:r>
        <w:rPr>
          <w:rFonts w:ascii="Times New Roman" w:eastAsia="Times New Roman" w:hAnsi="Times New Roman" w:cs="Times New Roman"/>
          <w:sz w:val="24"/>
          <w:szCs w:val="24"/>
        </w:rPr>
        <w:t xml:space="preserve">. Secondly, the increased circulating levels of insulin in response to food consumption, which are the result of a prolonged fasting state and the skipping of breakfast, may result in weight gain and increased fat storage </w:t>
      </w:r>
      <w:hyperlink r:id="rId13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Farshchi</w:t>
        </w:r>
        <w:proofErr w:type="spellEnd"/>
        <w:r>
          <w:rPr>
            <w:rFonts w:ascii="Times New Roman" w:eastAsia="Times New Roman" w:hAnsi="Times New Roman" w:cs="Times New Roman"/>
            <w:sz w:val="24"/>
            <w:szCs w:val="24"/>
          </w:rPr>
          <w:t xml:space="preserve"> et al., 2005)</w:t>
        </w:r>
      </w:hyperlink>
      <w:r>
        <w:rPr>
          <w:rFonts w:ascii="Times New Roman" w:eastAsia="Times New Roman" w:hAnsi="Times New Roman" w:cs="Times New Roman"/>
          <w:sz w:val="24"/>
          <w:szCs w:val="24"/>
        </w:rPr>
        <w:t xml:space="preserve">. Although skipping breakfast is not the only eating behaviour contributing to weight gain, several studies in the United States and Finland have shown that people who eat breakfast tend to have a more favourable macronutrient composition and healthier behaviours, such as regular physical activity </w:t>
      </w:r>
      <w:hyperlink r:id="rId134">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Sjöberg</w:t>
        </w:r>
        <w:proofErr w:type="spellEnd"/>
        <w:r>
          <w:rPr>
            <w:rFonts w:ascii="Times New Roman" w:eastAsia="Times New Roman" w:hAnsi="Times New Roman" w:cs="Times New Roman"/>
            <w:sz w:val="24"/>
            <w:szCs w:val="24"/>
          </w:rPr>
          <w:t xml:space="preserve"> et al., 2003; Song et al., 2005)</w:t>
        </w:r>
      </w:hyperlink>
      <w:r>
        <w:rPr>
          <w:rFonts w:ascii="Times New Roman" w:eastAsia="Times New Roman" w:hAnsi="Times New Roman" w:cs="Times New Roman"/>
          <w:sz w:val="24"/>
          <w:szCs w:val="24"/>
        </w:rPr>
        <w:t xml:space="preserve">. These factors are associated with a reduced risk of obesity. However, the influence of breakfast on diet quality and health varies, and breakfast choices should be consistent with a nutritious eating pattern and can be customised to meet diverse dietary needs and accommodate individual preferences, habits, and cultural traditions  </w:t>
      </w:r>
      <w:hyperlink r:id="rId135">
        <w:r>
          <w:rPr>
            <w:rFonts w:ascii="Times New Roman" w:eastAsia="Times New Roman" w:hAnsi="Times New Roman" w:cs="Times New Roman"/>
            <w:sz w:val="24"/>
            <w:szCs w:val="24"/>
          </w:rPr>
          <w:t>(O’Neil et al., 2014)</w:t>
        </w:r>
      </w:hyperlink>
      <w:r>
        <w:rPr>
          <w:rFonts w:ascii="Times New Roman" w:eastAsia="Times New Roman" w:hAnsi="Times New Roman" w:cs="Times New Roman"/>
          <w:sz w:val="24"/>
          <w:szCs w:val="24"/>
        </w:rPr>
        <w:t xml:space="preserve">. Overall, recognising the importance of breakfast in the daily nutritional intake highlights the critical role of consistent meal timing in promoting balanced nutrition. </w:t>
      </w:r>
    </w:p>
    <w:p w14:paraId="00000143" w14:textId="77777777" w:rsidR="00CB4215" w:rsidRDefault="00CB4215">
      <w:pPr>
        <w:spacing w:line="480" w:lineRule="auto"/>
        <w:rPr>
          <w:rFonts w:ascii="Times New Roman" w:eastAsia="Times New Roman" w:hAnsi="Times New Roman" w:cs="Times New Roman"/>
          <w:sz w:val="24"/>
          <w:szCs w:val="24"/>
        </w:rPr>
      </w:pPr>
    </w:p>
    <w:p w14:paraId="00000144" w14:textId="77777777" w:rsidR="00CB4215" w:rsidRDefault="000530B4" w:rsidP="004A7B3F">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1.7.3 Snacking</w:t>
      </w:r>
    </w:p>
    <w:p w14:paraId="00000146" w14:textId="173CD191"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Snacking is commonly described as the consumption of food or drink outside of regular mealtimes. However, it is important to note that the exact definition of snacking varies between studies. Some studies define snacking as a specific time interval after a meal, such as 15 minutes, while others define snacking based on the amount of food consumed, such as portion sizes smaller than those typically consumed at regular meals, or the number of calories consumed </w:t>
      </w:r>
      <w:hyperlink r:id="rId13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Chapelot</w:t>
        </w:r>
        <w:proofErr w:type="spellEnd"/>
        <w:r w:rsidR="004A7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Piernas</w:t>
        </w:r>
        <w:proofErr w:type="spellEnd"/>
        <w:r>
          <w:rPr>
            <w:rFonts w:ascii="Times New Roman" w:eastAsia="Times New Roman" w:hAnsi="Times New Roman" w:cs="Times New Roman"/>
            <w:sz w:val="24"/>
            <w:szCs w:val="24"/>
          </w:rPr>
          <w:t xml:space="preserve"> and Popkin</w:t>
        </w:r>
        <w:r w:rsidR="004A7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2010; Chaplin and Smith</w:t>
        </w:r>
        <w:r w:rsidR="004A7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w:t>
        </w:r>
      </w:hyperlink>
      <w:r>
        <w:rPr>
          <w:rFonts w:ascii="Times New Roman" w:eastAsia="Times New Roman" w:hAnsi="Times New Roman" w:cs="Times New Roman"/>
          <w:sz w:val="24"/>
          <w:szCs w:val="24"/>
        </w:rPr>
        <w:t xml:space="preserve">. Snacking has been found as a factor increasing the risk of overweight or obesity </w:t>
      </w:r>
      <w:hyperlink r:id="rId13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Bertéus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Forslund</w:t>
        </w:r>
        <w:proofErr w:type="spellEnd"/>
        <w:r>
          <w:rPr>
            <w:rFonts w:ascii="Times New Roman" w:eastAsia="Times New Roman" w:hAnsi="Times New Roman" w:cs="Times New Roman"/>
            <w:sz w:val="24"/>
            <w:szCs w:val="24"/>
          </w:rPr>
          <w:t xml:space="preserve"> et al., 2005; </w:t>
        </w:r>
        <w:proofErr w:type="spellStart"/>
        <w:r>
          <w:rPr>
            <w:rFonts w:ascii="Times New Roman" w:eastAsia="Times New Roman" w:hAnsi="Times New Roman" w:cs="Times New Roman"/>
            <w:sz w:val="24"/>
            <w:szCs w:val="24"/>
          </w:rPr>
          <w:t>Scherwitz</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Kesten</w:t>
        </w:r>
        <w:proofErr w:type="spellEnd"/>
        <w:r w:rsidR="004A7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2005; McCarthy et al., 2006; Howarth et al., 2007)</w:t>
        </w:r>
      </w:hyperlink>
      <w:r>
        <w:rPr>
          <w:rFonts w:ascii="Times New Roman" w:eastAsia="Times New Roman" w:hAnsi="Times New Roman" w:cs="Times New Roman"/>
          <w:sz w:val="24"/>
          <w:szCs w:val="24"/>
        </w:rPr>
        <w:t xml:space="preserve">. For example, a comprehensive review of 33 studies found an association between the increased consumption of high-energy-density snacks and increased BMI </w:t>
      </w:r>
      <w:hyperlink r:id="rId138">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Skoczek-Rubińska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Bajerska</w:t>
        </w:r>
        <w:proofErr w:type="spellEnd"/>
        <w:r w:rsidR="004A7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2021)</w:t>
        </w:r>
      </w:hyperlink>
      <w:r>
        <w:rPr>
          <w:rFonts w:ascii="Times New Roman" w:eastAsia="Times New Roman" w:hAnsi="Times New Roman" w:cs="Times New Roman"/>
          <w:sz w:val="24"/>
          <w:szCs w:val="24"/>
        </w:rPr>
        <w:t xml:space="preserve">. Furthermore, it has been reported that people with obesity are prone to eat energy-dense </w:t>
      </w:r>
      <w:r w:rsidRPr="00D03B56">
        <w:rPr>
          <w:rFonts w:ascii="Times New Roman" w:eastAsia="Times New Roman" w:hAnsi="Times New Roman" w:cs="Times New Roman"/>
          <w:sz w:val="24"/>
          <w:szCs w:val="24"/>
        </w:rPr>
        <w:t xml:space="preserve">snacks, such as crisps, sweets and soft drinks, and less likely to eat fresh whole grains, fruit and vegetables than people with normal body weight </w:t>
      </w:r>
      <w:hyperlink r:id="rId139">
        <w:r w:rsidRPr="00D03B56">
          <w:rPr>
            <w:rFonts w:ascii="Times New Roman" w:eastAsia="Times New Roman" w:hAnsi="Times New Roman" w:cs="Times New Roman"/>
            <w:sz w:val="24"/>
            <w:szCs w:val="24"/>
          </w:rPr>
          <w:t>(</w:t>
        </w:r>
        <w:proofErr w:type="spellStart"/>
        <w:r w:rsidRPr="00D03B56">
          <w:rPr>
            <w:rFonts w:ascii="Times New Roman" w:eastAsia="Times New Roman" w:hAnsi="Times New Roman" w:cs="Times New Roman"/>
            <w:sz w:val="24"/>
            <w:szCs w:val="24"/>
          </w:rPr>
          <w:t>Skoczek-Rubińska</w:t>
        </w:r>
        <w:proofErr w:type="spellEnd"/>
        <w:r w:rsidRPr="00D03B56">
          <w:rPr>
            <w:rFonts w:ascii="Times New Roman" w:eastAsia="Times New Roman" w:hAnsi="Times New Roman" w:cs="Times New Roman"/>
            <w:sz w:val="24"/>
            <w:szCs w:val="24"/>
          </w:rPr>
          <w:t xml:space="preserve"> et al., 2020)</w:t>
        </w:r>
      </w:hyperlink>
      <w:r w:rsidRPr="00D03B56">
        <w:rPr>
          <w:rFonts w:ascii="Times New Roman" w:eastAsia="Times New Roman" w:hAnsi="Times New Roman" w:cs="Times New Roman"/>
          <w:sz w:val="24"/>
          <w:szCs w:val="24"/>
        </w:rPr>
        <w:t xml:space="preserve">. Previous research suggests that snacks tend to be highly processed and higher in fat, sugar and salt </w:t>
      </w:r>
      <w:hyperlink r:id="rId140">
        <w:r w:rsidRPr="00D03B56">
          <w:rPr>
            <w:rFonts w:ascii="Times New Roman" w:eastAsia="Times New Roman" w:hAnsi="Times New Roman" w:cs="Times New Roman"/>
            <w:sz w:val="24"/>
            <w:szCs w:val="24"/>
          </w:rPr>
          <w:t>(Duffey et al., 2013)</w:t>
        </w:r>
      </w:hyperlink>
      <w:r w:rsidRPr="00D03B56">
        <w:rPr>
          <w:rFonts w:ascii="Times New Roman" w:eastAsia="Times New Roman" w:hAnsi="Times New Roman" w:cs="Times New Roman"/>
          <w:sz w:val="24"/>
          <w:szCs w:val="24"/>
        </w:rPr>
        <w:t>. However, the relationship between snacking, energy intake and overweight or obesity is complex</w:t>
      </w:r>
      <w:r>
        <w:rPr>
          <w:rFonts w:ascii="Times New Roman" w:eastAsia="Times New Roman" w:hAnsi="Times New Roman" w:cs="Times New Roman"/>
          <w:sz w:val="24"/>
          <w:szCs w:val="24"/>
        </w:rPr>
        <w:t xml:space="preserve"> and may be influenced by the nutritional content of snacks </w:t>
      </w:r>
      <w:hyperlink r:id="rId14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Skoczek-Rubińska</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Bertéus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Forslund</w:t>
        </w:r>
        <w:proofErr w:type="spellEnd"/>
        <w:r>
          <w:rPr>
            <w:rFonts w:ascii="Times New Roman" w:eastAsia="Times New Roman" w:hAnsi="Times New Roman" w:cs="Times New Roman"/>
            <w:sz w:val="24"/>
            <w:szCs w:val="24"/>
          </w:rPr>
          <w:t xml:space="preserve"> et al., 2002; Howarth et al., 2007; </w:t>
        </w:r>
        <w:proofErr w:type="spellStart"/>
        <w:r>
          <w:rPr>
            <w:rFonts w:ascii="Times New Roman" w:eastAsia="Times New Roman" w:hAnsi="Times New Roman" w:cs="Times New Roman"/>
            <w:sz w:val="24"/>
            <w:szCs w:val="24"/>
          </w:rPr>
          <w:t>Schüz</w:t>
        </w:r>
        <w:proofErr w:type="spellEnd"/>
        <w:r>
          <w:rPr>
            <w:rFonts w:ascii="Times New Roman" w:eastAsia="Times New Roman" w:hAnsi="Times New Roman" w:cs="Times New Roman"/>
            <w:sz w:val="24"/>
            <w:szCs w:val="24"/>
          </w:rPr>
          <w:t xml:space="preserve"> et al., 2017)</w:t>
        </w:r>
      </w:hyperlink>
      <w:r>
        <w:rPr>
          <w:rFonts w:ascii="Times New Roman" w:eastAsia="Times New Roman" w:hAnsi="Times New Roman" w:cs="Times New Roman"/>
          <w:sz w:val="24"/>
          <w:szCs w:val="24"/>
        </w:rPr>
        <w:t xml:space="preserve">. For example, healthy snacks such as whole fruits and vegetables are associated with improved diet quality and reduced body weight </w:t>
      </w:r>
      <w:hyperlink r:id="rId142">
        <w:r>
          <w:rPr>
            <w:rFonts w:ascii="Times New Roman" w:eastAsia="Times New Roman" w:hAnsi="Times New Roman" w:cs="Times New Roman"/>
            <w:sz w:val="24"/>
            <w:szCs w:val="24"/>
          </w:rPr>
          <w:t>(Barnes et al., 2015)</w:t>
        </w:r>
      </w:hyperlink>
      <w:r>
        <w:rPr>
          <w:rFonts w:ascii="Times New Roman" w:eastAsia="Times New Roman" w:hAnsi="Times New Roman" w:cs="Times New Roman"/>
          <w:sz w:val="24"/>
          <w:szCs w:val="24"/>
        </w:rPr>
        <w:t>. The choice of snacks therefore plays a role in body weight and energy intake.</w:t>
      </w:r>
    </w:p>
    <w:p w14:paraId="134070A9" w14:textId="77777777" w:rsidR="00986F5C" w:rsidRDefault="00986F5C">
      <w:pPr>
        <w:spacing w:line="480" w:lineRule="auto"/>
        <w:rPr>
          <w:rFonts w:ascii="Times New Roman" w:eastAsia="Times New Roman" w:hAnsi="Times New Roman" w:cs="Times New Roman"/>
          <w:sz w:val="24"/>
          <w:szCs w:val="24"/>
        </w:rPr>
      </w:pPr>
    </w:p>
    <w:p w14:paraId="00000147"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1.7.4 Eating away from home</w:t>
      </w:r>
    </w:p>
    <w:p w14:paraId="00000148" w14:textId="2558658F"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global trend towards more frequent eating away from home. For example, a study in Benin found that food prepared outside the home accounted for about 45% of total daily energy intake </w:t>
      </w:r>
      <w:hyperlink r:id="rId14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Nago</w:t>
        </w:r>
        <w:proofErr w:type="spellEnd"/>
        <w:r>
          <w:rPr>
            <w:rFonts w:ascii="Times New Roman" w:eastAsia="Times New Roman" w:hAnsi="Times New Roman" w:cs="Times New Roman"/>
            <w:sz w:val="24"/>
            <w:szCs w:val="24"/>
          </w:rPr>
          <w:t xml:space="preserve"> et al., 2010)</w:t>
        </w:r>
      </w:hyperlink>
      <w:r>
        <w:rPr>
          <w:rFonts w:ascii="Times New Roman" w:eastAsia="Times New Roman" w:hAnsi="Times New Roman" w:cs="Times New Roman"/>
          <w:sz w:val="24"/>
          <w:szCs w:val="24"/>
        </w:rPr>
        <w:t xml:space="preserve">. A systematic review of 15 prospective studies by </w:t>
      </w:r>
      <w:proofErr w:type="spellStart"/>
      <w:r>
        <w:rPr>
          <w:rFonts w:ascii="Times New Roman" w:eastAsia="Times New Roman" w:hAnsi="Times New Roman" w:cs="Times New Roman"/>
          <w:sz w:val="24"/>
          <w:szCs w:val="24"/>
        </w:rPr>
        <w:t>Nago</w:t>
      </w:r>
      <w:proofErr w:type="spellEnd"/>
      <w:r>
        <w:rPr>
          <w:rFonts w:ascii="Times New Roman" w:eastAsia="Times New Roman" w:hAnsi="Times New Roman" w:cs="Times New Roman"/>
          <w:sz w:val="24"/>
          <w:szCs w:val="24"/>
        </w:rPr>
        <w:t xml:space="preserve"> et al. (2014) indicated that frequent out-of-home eating is related to increased risk of overweight and obesity. Food and drink consumption out of home is usually high in energy content, which could be a possible contributor to excessive energy intake and increase the risk of obesity </w:t>
      </w:r>
      <w:hyperlink r:id="rId144">
        <w:r>
          <w:rPr>
            <w:rFonts w:ascii="Times New Roman" w:eastAsia="Times New Roman" w:hAnsi="Times New Roman" w:cs="Times New Roman"/>
            <w:sz w:val="24"/>
            <w:szCs w:val="24"/>
          </w:rPr>
          <w:t>(Guthrie et al., 2002; Orfanos et al., 2007</w:t>
        </w:r>
      </w:hyperlink>
      <w:r>
        <w:rPr>
          <w:rFonts w:ascii="Times New Roman" w:eastAsia="Times New Roman" w:hAnsi="Times New Roman" w:cs="Times New Roman"/>
          <w:sz w:val="24"/>
          <w:szCs w:val="24"/>
        </w:rPr>
        <w:t xml:space="preserve">; </w:t>
      </w:r>
      <w:hyperlink r:id="rId145">
        <w:r>
          <w:rPr>
            <w:rFonts w:ascii="Times New Roman" w:eastAsia="Times New Roman" w:hAnsi="Times New Roman" w:cs="Times New Roman"/>
            <w:sz w:val="24"/>
            <w:szCs w:val="24"/>
          </w:rPr>
          <w:t>Graham et al., 2019)</w:t>
        </w:r>
      </w:hyperlink>
      <w:r>
        <w:rPr>
          <w:rFonts w:ascii="Times New Roman" w:eastAsia="Times New Roman" w:hAnsi="Times New Roman" w:cs="Times New Roman"/>
          <w:sz w:val="24"/>
          <w:szCs w:val="24"/>
        </w:rPr>
        <w:t xml:space="preserve">. Other studies have also suggested that eating away from home leads to poorer diet quality, characterised by higher intakes of energy, fats, sugars and sodium, and lower intakes of fibre, dairy products, fruits, vegetables and essential micronutrients </w:t>
      </w:r>
      <w:hyperlink r:id="rId14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Gesteiro</w:t>
        </w:r>
        <w:proofErr w:type="spellEnd"/>
        <w:r>
          <w:rPr>
            <w:rFonts w:ascii="Times New Roman" w:eastAsia="Times New Roman" w:hAnsi="Times New Roman" w:cs="Times New Roman"/>
            <w:sz w:val="24"/>
            <w:szCs w:val="24"/>
          </w:rPr>
          <w:t xml:space="preserve"> et al., 2022)</w:t>
        </w:r>
      </w:hyperlink>
      <w:r>
        <w:rPr>
          <w:rFonts w:ascii="Times New Roman" w:eastAsia="Times New Roman" w:hAnsi="Times New Roman" w:cs="Times New Roman"/>
          <w:sz w:val="24"/>
          <w:szCs w:val="24"/>
        </w:rPr>
        <w:t xml:space="preserve">. The potential explanations for the association between frequent eating out and higher risk of obesity include more foods with high energy density </w:t>
      </w:r>
      <w:hyperlink r:id="rId147">
        <w:r>
          <w:rPr>
            <w:rFonts w:ascii="Times New Roman" w:eastAsia="Times New Roman" w:hAnsi="Times New Roman" w:cs="Times New Roman"/>
            <w:sz w:val="24"/>
            <w:szCs w:val="24"/>
          </w:rPr>
          <w:t>(Rolls</w:t>
        </w:r>
        <w:r w:rsidR="00986F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2009)</w:t>
        </w:r>
      </w:hyperlink>
      <w:r>
        <w:rPr>
          <w:rFonts w:ascii="Times New Roman" w:eastAsia="Times New Roman" w:hAnsi="Times New Roman" w:cs="Times New Roman"/>
          <w:sz w:val="24"/>
          <w:szCs w:val="24"/>
        </w:rPr>
        <w:t xml:space="preserve">, large portion size </w:t>
      </w:r>
      <w:hyperlink r:id="rId148">
        <w:r>
          <w:rPr>
            <w:rFonts w:ascii="Times New Roman" w:eastAsia="Times New Roman" w:hAnsi="Times New Roman" w:cs="Times New Roman"/>
            <w:sz w:val="24"/>
            <w:szCs w:val="24"/>
          </w:rPr>
          <w:t>(Young and Nestle</w:t>
        </w:r>
        <w:r w:rsidR="00986F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2002)</w:t>
        </w:r>
      </w:hyperlink>
      <w:r>
        <w:rPr>
          <w:rFonts w:ascii="Times New Roman" w:eastAsia="Times New Roman" w:hAnsi="Times New Roman" w:cs="Times New Roman"/>
          <w:sz w:val="24"/>
          <w:szCs w:val="24"/>
        </w:rPr>
        <w:t xml:space="preserve">, low prices </w:t>
      </w:r>
      <w:hyperlink r:id="rId149">
        <w:r>
          <w:rPr>
            <w:rFonts w:ascii="Times New Roman" w:eastAsia="Times New Roman" w:hAnsi="Times New Roman" w:cs="Times New Roman"/>
            <w:sz w:val="24"/>
            <w:szCs w:val="24"/>
          </w:rPr>
          <w:t>(Nielsen and Popkin</w:t>
        </w:r>
        <w:r w:rsidR="00986F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2003)</w:t>
        </w:r>
      </w:hyperlink>
      <w:r>
        <w:rPr>
          <w:rFonts w:ascii="Times New Roman" w:eastAsia="Times New Roman" w:hAnsi="Times New Roman" w:cs="Times New Roman"/>
          <w:sz w:val="24"/>
          <w:szCs w:val="24"/>
        </w:rPr>
        <w:t xml:space="preserve">, high-fat content </w:t>
      </w:r>
      <w:hyperlink r:id="rId150">
        <w:r>
          <w:rPr>
            <w:rFonts w:ascii="Times New Roman" w:eastAsia="Times New Roman" w:hAnsi="Times New Roman" w:cs="Times New Roman"/>
            <w:sz w:val="24"/>
            <w:szCs w:val="24"/>
          </w:rPr>
          <w:t>(Guthrie et al., 2002)</w:t>
        </w:r>
      </w:hyperlink>
      <w:r>
        <w:rPr>
          <w:rFonts w:ascii="Times New Roman" w:eastAsia="Times New Roman" w:hAnsi="Times New Roman" w:cs="Times New Roman"/>
          <w:sz w:val="24"/>
          <w:szCs w:val="24"/>
        </w:rPr>
        <w:t xml:space="preserve">, and excessive amounts of sugar and sugar-sweetened beverages </w:t>
      </w:r>
      <w:hyperlink r:id="rId15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Vandevijvere</w:t>
        </w:r>
        <w:proofErr w:type="spellEnd"/>
        <w:r>
          <w:rPr>
            <w:rFonts w:ascii="Times New Roman" w:eastAsia="Times New Roman" w:hAnsi="Times New Roman" w:cs="Times New Roman"/>
            <w:sz w:val="24"/>
            <w:szCs w:val="24"/>
          </w:rPr>
          <w:t xml:space="preserve"> et al., 2009)</w:t>
        </w:r>
      </w:hyperlink>
      <w:r>
        <w:rPr>
          <w:rFonts w:ascii="Times New Roman" w:eastAsia="Times New Roman" w:hAnsi="Times New Roman" w:cs="Times New Roman"/>
          <w:sz w:val="24"/>
          <w:szCs w:val="24"/>
        </w:rPr>
        <w:t xml:space="preserve">. In addition, there is also a link between the local food environment and the prevalence of obesity. Several studies have reported an association between more fast-food restaurants and increased prevalence of obesity </w:t>
      </w:r>
      <w:hyperlink r:id="rId152">
        <w:r>
          <w:rPr>
            <w:rFonts w:ascii="Times New Roman" w:eastAsia="Times New Roman" w:hAnsi="Times New Roman" w:cs="Times New Roman"/>
            <w:sz w:val="24"/>
            <w:szCs w:val="24"/>
          </w:rPr>
          <w:t>(Mujahid et al., 2008; Spence et al., 2009)</w:t>
        </w:r>
      </w:hyperlink>
      <w:r>
        <w:rPr>
          <w:rFonts w:ascii="Times New Roman" w:eastAsia="Times New Roman" w:hAnsi="Times New Roman" w:cs="Times New Roman"/>
          <w:sz w:val="24"/>
          <w:szCs w:val="24"/>
        </w:rPr>
        <w:t xml:space="preserve">. Therefore, eating outside from home should be considered in future nutritional policy. Psychological theory helps to further explain why individuals have certain eating behaviours and how these behaviours are influenced by internal and external environmental factors. </w:t>
      </w:r>
    </w:p>
    <w:p w14:paraId="00000149" w14:textId="77777777" w:rsidR="00CB4215" w:rsidRDefault="00CB4215">
      <w:pPr>
        <w:spacing w:line="480" w:lineRule="auto"/>
        <w:rPr>
          <w:rFonts w:ascii="Times New Roman" w:eastAsia="Times New Roman" w:hAnsi="Times New Roman" w:cs="Times New Roman"/>
          <w:sz w:val="24"/>
          <w:szCs w:val="24"/>
        </w:rPr>
      </w:pPr>
    </w:p>
    <w:p w14:paraId="0000014B" w14:textId="55B009C5" w:rsidR="00CB4215" w:rsidRPr="006C51FD" w:rsidRDefault="000530B4" w:rsidP="006C51FD">
      <w:pPr>
        <w:pStyle w:val="Heading3"/>
        <w:spacing w:line="480" w:lineRule="auto"/>
        <w:rPr>
          <w:rFonts w:ascii="Times New Roman" w:eastAsia="Times New Roman" w:hAnsi="Times New Roman" w:cs="Times New Roman"/>
          <w:b/>
          <w:color w:val="000000"/>
        </w:rPr>
      </w:pPr>
      <w:bookmarkStart w:id="21" w:name="_Toc172984776"/>
      <w:r>
        <w:rPr>
          <w:rFonts w:ascii="Times New Roman" w:eastAsia="Times New Roman" w:hAnsi="Times New Roman" w:cs="Times New Roman"/>
          <w:b/>
          <w:color w:val="000000"/>
        </w:rPr>
        <w:lastRenderedPageBreak/>
        <w:t>1.8 Psychological theory</w:t>
      </w:r>
      <w:bookmarkEnd w:id="21"/>
    </w:p>
    <w:p w14:paraId="42B20B62" w14:textId="77777777" w:rsidR="00986F5C" w:rsidRPr="00D03B56"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Behavioural Susceptibility </w:t>
      </w:r>
      <w:r w:rsidRPr="00D03B56">
        <w:rPr>
          <w:rFonts w:ascii="Times New Roman" w:eastAsia="Times New Roman" w:hAnsi="Times New Roman" w:cs="Times New Roman"/>
          <w:sz w:val="24"/>
          <w:szCs w:val="24"/>
        </w:rPr>
        <w:t xml:space="preserve">Theory referred in section </w:t>
      </w:r>
      <w:r w:rsidR="00D31EB2" w:rsidRPr="00D03B56">
        <w:rPr>
          <w:rFonts w:ascii="Times New Roman" w:eastAsia="Times New Roman" w:hAnsi="Times New Roman" w:cs="Times New Roman"/>
          <w:sz w:val="24"/>
          <w:szCs w:val="24"/>
        </w:rPr>
        <w:t>1.3</w:t>
      </w:r>
      <w:r w:rsidRPr="00D03B56">
        <w:rPr>
          <w:rFonts w:ascii="Times New Roman" w:eastAsia="Times New Roman" w:hAnsi="Times New Roman" w:cs="Times New Roman"/>
          <w:sz w:val="24"/>
          <w:szCs w:val="24"/>
        </w:rPr>
        <w:t xml:space="preserve">, an individual's food intake is influenced by genetic predispositions that determine appetitive traits that interact with the environment </w:t>
      </w:r>
      <w:hyperlink r:id="rId153">
        <w:r w:rsidRPr="00D03B56">
          <w:rPr>
            <w:rFonts w:ascii="Times New Roman" w:eastAsia="Times New Roman" w:hAnsi="Times New Roman" w:cs="Times New Roman"/>
            <w:sz w:val="24"/>
            <w:szCs w:val="24"/>
          </w:rPr>
          <w:t>(Llewellyn and Wardle</w:t>
        </w:r>
        <w:r w:rsidR="00986F5C" w:rsidRPr="00D03B56">
          <w:rPr>
            <w:rFonts w:ascii="Times New Roman" w:eastAsia="Times New Roman" w:hAnsi="Times New Roman" w:cs="Times New Roman"/>
            <w:sz w:val="24"/>
            <w:szCs w:val="24"/>
          </w:rPr>
          <w:t>,</w:t>
        </w:r>
        <w:r w:rsidRPr="00D03B56">
          <w:rPr>
            <w:rFonts w:ascii="Times New Roman" w:eastAsia="Times New Roman" w:hAnsi="Times New Roman" w:cs="Times New Roman"/>
            <w:sz w:val="24"/>
            <w:szCs w:val="24"/>
          </w:rPr>
          <w:t xml:space="preserve"> 2015)</w:t>
        </w:r>
      </w:hyperlink>
      <w:r w:rsidRPr="00D03B56">
        <w:rPr>
          <w:rFonts w:ascii="Times New Roman" w:eastAsia="Times New Roman" w:hAnsi="Times New Roman" w:cs="Times New Roman"/>
          <w:sz w:val="24"/>
          <w:szCs w:val="24"/>
        </w:rPr>
        <w:t xml:space="preserve">. Appetite can be characterised by two key components: eating onset, which refers to the ability to recognise signals that initiate eating, and eating offset, which refers to the ability to recognise signals that indicate the end of eating. Individuals with increased sensitivity to food cues, such as the smell, sight and taste of food, are more prone to eat when presented with tempting opportunities. Conversely, those with reduced gut signalling or reduced sensitivity to satiety cues are more likely to eat for longer after starting a meal. The Behavioural Susceptibility Theory suggests that genetic risk influences individuals through two appetitive traits, which make them </w:t>
      </w:r>
      <w:proofErr w:type="gramStart"/>
      <w:r w:rsidRPr="00D03B56">
        <w:rPr>
          <w:rFonts w:ascii="Times New Roman" w:eastAsia="Times New Roman" w:hAnsi="Times New Roman" w:cs="Times New Roman"/>
          <w:sz w:val="24"/>
          <w:szCs w:val="24"/>
        </w:rPr>
        <w:t>more or less susceptible</w:t>
      </w:r>
      <w:proofErr w:type="gramEnd"/>
      <w:r w:rsidRPr="00D03B56">
        <w:rPr>
          <w:rFonts w:ascii="Times New Roman" w:eastAsia="Times New Roman" w:hAnsi="Times New Roman" w:cs="Times New Roman"/>
          <w:sz w:val="24"/>
          <w:szCs w:val="24"/>
        </w:rPr>
        <w:t xml:space="preserve"> to the effects of the food environment. In an environment with abundant food options, genes that make individuals more responsive to food (food responsiveness) or less responsive to feelings of fullness (satiety responsiveness) are more likely to overconsumption and develop obesity. </w:t>
      </w:r>
    </w:p>
    <w:p w14:paraId="10219FEF" w14:textId="77777777" w:rsidR="00986F5C" w:rsidRPr="00D03B56" w:rsidRDefault="00986F5C">
      <w:pPr>
        <w:spacing w:line="480" w:lineRule="auto"/>
        <w:rPr>
          <w:rFonts w:ascii="Times New Roman" w:eastAsia="Times New Roman" w:hAnsi="Times New Roman" w:cs="Times New Roman"/>
          <w:sz w:val="24"/>
          <w:szCs w:val="24"/>
        </w:rPr>
      </w:pPr>
    </w:p>
    <w:p w14:paraId="0000014C" w14:textId="436B8D89" w:rsidR="00CB4215"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In 2001, Wardle developed the first comprehensive</w:t>
      </w:r>
      <w:r>
        <w:rPr>
          <w:rFonts w:ascii="Times New Roman" w:eastAsia="Times New Roman" w:hAnsi="Times New Roman" w:cs="Times New Roman"/>
          <w:sz w:val="24"/>
          <w:szCs w:val="24"/>
        </w:rPr>
        <w:t xml:space="preserve"> psychometric assessment tool for measuring children's appetite, known as the Child Eating Behaviour Questionnaire (CEBQ) </w:t>
      </w:r>
      <w:hyperlink r:id="rId154">
        <w:r>
          <w:rPr>
            <w:rFonts w:ascii="Times New Roman" w:eastAsia="Times New Roman" w:hAnsi="Times New Roman" w:cs="Times New Roman"/>
            <w:sz w:val="24"/>
            <w:szCs w:val="24"/>
          </w:rPr>
          <w:t>(Wardle et al., 2001)</w:t>
        </w:r>
      </w:hyperlink>
      <w:r>
        <w:rPr>
          <w:rFonts w:ascii="Times New Roman" w:eastAsia="Times New Roman" w:hAnsi="Times New Roman" w:cs="Times New Roman"/>
          <w:sz w:val="24"/>
          <w:szCs w:val="24"/>
        </w:rPr>
        <w:t xml:space="preserve">. This questionnaire provides a reliable, low-cost measure of appetite in large groups of infants and children. The parent-report measure assesses eight appetitive traits, including 'food responsiveness' and 'satiety responsiveness'. In addition, the Behavioural Susceptibility Theory has been supported by numerous studies that have investigated the relationships between 'food responsiveness', 'satiety responsiveness' and adiposity outcomes in infancy and childhood in large population-based cohorts </w:t>
      </w:r>
      <w:hyperlink r:id="rId155">
        <w:r>
          <w:rPr>
            <w:rFonts w:ascii="Times New Roman" w:eastAsia="Times New Roman" w:hAnsi="Times New Roman" w:cs="Times New Roman"/>
            <w:sz w:val="24"/>
            <w:szCs w:val="24"/>
          </w:rPr>
          <w:t xml:space="preserve">(Boswell et al., 2018; Braden et al., 2014; </w:t>
        </w:r>
        <w:proofErr w:type="spellStart"/>
        <w:r>
          <w:rPr>
            <w:rFonts w:ascii="Times New Roman" w:eastAsia="Times New Roman" w:hAnsi="Times New Roman" w:cs="Times New Roman"/>
            <w:sz w:val="24"/>
            <w:szCs w:val="24"/>
          </w:rPr>
          <w:t>Domoff</w:t>
        </w:r>
        <w:proofErr w:type="spellEnd"/>
        <w:r>
          <w:rPr>
            <w:rFonts w:ascii="Times New Roman" w:eastAsia="Times New Roman" w:hAnsi="Times New Roman" w:cs="Times New Roman"/>
            <w:sz w:val="24"/>
            <w:szCs w:val="24"/>
          </w:rPr>
          <w:t xml:space="preserve"> et al., 2015)</w:t>
        </w:r>
      </w:hyperlink>
      <w:r>
        <w:rPr>
          <w:rFonts w:ascii="Times New Roman" w:eastAsia="Times New Roman" w:hAnsi="Times New Roman" w:cs="Times New Roman"/>
          <w:sz w:val="24"/>
          <w:szCs w:val="24"/>
        </w:rPr>
        <w:t xml:space="preserve">. The Child Eating Behaviour </w:t>
      </w:r>
      <w:r>
        <w:rPr>
          <w:rFonts w:ascii="Times New Roman" w:eastAsia="Times New Roman" w:hAnsi="Times New Roman" w:cs="Times New Roman"/>
          <w:sz w:val="24"/>
          <w:szCs w:val="24"/>
        </w:rPr>
        <w:lastRenderedPageBreak/>
        <w:t xml:space="preserve">Questionnaire (CEBQ) has also been adapted to measure in adults (Adult Eating Behaviour Questionnaire) (see more details in Chapter 3). The Behavioural Susceptibility Theory provides a conceptual framework for understanding the interplay between genes and the environment that influences the risk of obesity. However,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studies investigating the Behavioural Susceptibility Theory have focused on recruiting participants from wealthy, high-income countries in the Western world </w:t>
      </w:r>
      <w:hyperlink r:id="rId156">
        <w:r>
          <w:rPr>
            <w:rFonts w:ascii="Times New Roman" w:eastAsia="Times New Roman" w:hAnsi="Times New Roman" w:cs="Times New Roman"/>
            <w:sz w:val="24"/>
            <w:szCs w:val="24"/>
          </w:rPr>
          <w:t>(Llewellyn et al., 2023)</w:t>
        </w:r>
      </w:hyperlink>
      <w:r>
        <w:rPr>
          <w:rFonts w:ascii="Times New Roman" w:eastAsia="Times New Roman" w:hAnsi="Times New Roman" w:cs="Times New Roman"/>
          <w:sz w:val="24"/>
          <w:szCs w:val="24"/>
        </w:rPr>
        <w:t>. Further research is needed in samples that include a wide range of socioeconomic and ethnic backgrounds to test the validity of the Behavioural Susceptibility Theory in populations with cultural differences in eating behaviours. In addition to eating behaviour traits (food responsiveness and satiety responsiveness) proposed in the Behavioural Susceptibility Theory, there have been multiple eating behaviour traits identified, which will be discussed in the next section.</w:t>
      </w:r>
    </w:p>
    <w:p w14:paraId="0000014D" w14:textId="77777777" w:rsidR="00CB4215" w:rsidRDefault="00CB4215">
      <w:pPr>
        <w:spacing w:line="480" w:lineRule="auto"/>
        <w:rPr>
          <w:rFonts w:ascii="Times New Roman" w:eastAsia="Times New Roman" w:hAnsi="Times New Roman" w:cs="Times New Roman"/>
          <w:sz w:val="24"/>
          <w:szCs w:val="24"/>
        </w:rPr>
      </w:pPr>
    </w:p>
    <w:p w14:paraId="0000014E" w14:textId="77777777" w:rsidR="00CB4215" w:rsidRDefault="000530B4">
      <w:pPr>
        <w:pStyle w:val="Heading3"/>
        <w:spacing w:line="480" w:lineRule="auto"/>
        <w:rPr>
          <w:rFonts w:ascii="Times New Roman" w:eastAsia="Times New Roman" w:hAnsi="Times New Roman" w:cs="Times New Roman"/>
          <w:b/>
          <w:color w:val="000000"/>
        </w:rPr>
      </w:pPr>
      <w:bookmarkStart w:id="22" w:name="_Toc172984777"/>
      <w:r>
        <w:rPr>
          <w:rFonts w:ascii="Times New Roman" w:eastAsia="Times New Roman" w:hAnsi="Times New Roman" w:cs="Times New Roman"/>
          <w:b/>
          <w:color w:val="000000"/>
        </w:rPr>
        <w:t>1.9 Eating behaviour traits</w:t>
      </w:r>
      <w:bookmarkEnd w:id="22"/>
    </w:p>
    <w:p w14:paraId="00000150" w14:textId="1E7C0F2A"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individual's eating behaviour traits are characteristics which influence the tendency to consume or make food choices on a consistent, long-term basis </w:t>
      </w:r>
      <w:hyperlink r:id="rId157">
        <w:r>
          <w:rPr>
            <w:rFonts w:ascii="Times New Roman" w:eastAsia="Times New Roman" w:hAnsi="Times New Roman" w:cs="Times New Roman"/>
            <w:sz w:val="24"/>
            <w:szCs w:val="24"/>
          </w:rPr>
          <w:t>(Blundell et al., 2005)</w:t>
        </w:r>
      </w:hyperlink>
      <w:r>
        <w:rPr>
          <w:rFonts w:ascii="Times New Roman" w:eastAsia="Times New Roman" w:hAnsi="Times New Roman" w:cs="Times New Roman"/>
          <w:sz w:val="24"/>
          <w:szCs w:val="24"/>
        </w:rPr>
        <w:t xml:space="preserve">. These characteristics define specific eating behaviours and depending on the trait, increase or decrease the risk of overconsumption. While multiple eating behaviour traits have been identified </w:t>
      </w:r>
      <w:hyperlink r:id="rId158">
        <w:r>
          <w:rPr>
            <w:rFonts w:ascii="Times New Roman" w:eastAsia="Times New Roman" w:hAnsi="Times New Roman" w:cs="Times New Roman"/>
            <w:sz w:val="24"/>
            <w:szCs w:val="24"/>
          </w:rPr>
          <w:t>(Dakin et al., 2023)</w:t>
        </w:r>
      </w:hyperlink>
      <w:r>
        <w:rPr>
          <w:rFonts w:ascii="Times New Roman" w:eastAsia="Times New Roman" w:hAnsi="Times New Roman" w:cs="Times New Roman"/>
          <w:sz w:val="24"/>
          <w:szCs w:val="24"/>
        </w:rPr>
        <w:t xml:space="preserve">, some of the most widely used include dietary restraint, disinhibition </w:t>
      </w:r>
      <w:hyperlink r:id="rId15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Stunkard</w:t>
        </w:r>
        <w:proofErr w:type="spellEnd"/>
        <w:r>
          <w:rPr>
            <w:rFonts w:ascii="Times New Roman" w:eastAsia="Times New Roman" w:hAnsi="Times New Roman" w:cs="Times New Roman"/>
            <w:sz w:val="24"/>
            <w:szCs w:val="24"/>
          </w:rPr>
          <w:t xml:space="preserve"> and Messick</w:t>
        </w:r>
        <w:r w:rsidR="004447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1985)</w:t>
        </w:r>
      </w:hyperlink>
      <w:r>
        <w:rPr>
          <w:rFonts w:ascii="Times New Roman" w:eastAsia="Times New Roman" w:hAnsi="Times New Roman" w:cs="Times New Roman"/>
          <w:sz w:val="24"/>
          <w:szCs w:val="24"/>
        </w:rPr>
        <w:t xml:space="preserve">, binge eating </w:t>
      </w:r>
      <w:hyperlink r:id="rId16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Gormally</w:t>
        </w:r>
        <w:proofErr w:type="spellEnd"/>
        <w:r>
          <w:rPr>
            <w:rFonts w:ascii="Times New Roman" w:eastAsia="Times New Roman" w:hAnsi="Times New Roman" w:cs="Times New Roman"/>
            <w:sz w:val="24"/>
            <w:szCs w:val="24"/>
          </w:rPr>
          <w:t xml:space="preserve"> et al., 1982)</w:t>
        </w:r>
      </w:hyperlink>
      <w:r>
        <w:rPr>
          <w:rFonts w:ascii="Times New Roman" w:eastAsia="Times New Roman" w:hAnsi="Times New Roman" w:cs="Times New Roman"/>
          <w:sz w:val="24"/>
          <w:szCs w:val="24"/>
        </w:rPr>
        <w:t xml:space="preserve"> and control over food cravings </w:t>
      </w:r>
      <w:hyperlink r:id="rId161">
        <w:r>
          <w:rPr>
            <w:rFonts w:ascii="Times New Roman" w:eastAsia="Times New Roman" w:hAnsi="Times New Roman" w:cs="Times New Roman"/>
            <w:sz w:val="24"/>
            <w:szCs w:val="24"/>
          </w:rPr>
          <w:t>(Hill et al., 1991)</w:t>
        </w:r>
      </w:hyperlink>
      <w:r>
        <w:rPr>
          <w:rFonts w:ascii="Times New Roman" w:eastAsia="Times New Roman" w:hAnsi="Times New Roman" w:cs="Times New Roman"/>
          <w:sz w:val="24"/>
          <w:szCs w:val="24"/>
        </w:rPr>
        <w:t xml:space="preserve">. All of which are regarded as risk factors for overeating and weight gain </w:t>
      </w:r>
      <w:hyperlink r:id="rId162">
        <w:r>
          <w:rPr>
            <w:rFonts w:ascii="Times New Roman" w:eastAsia="Times New Roman" w:hAnsi="Times New Roman" w:cs="Times New Roman"/>
            <w:sz w:val="24"/>
            <w:szCs w:val="24"/>
          </w:rPr>
          <w:t>(Blundell et al., 2005)</w:t>
        </w:r>
      </w:hyperlink>
      <w:r>
        <w:rPr>
          <w:rFonts w:ascii="Times New Roman" w:eastAsia="Times New Roman" w:hAnsi="Times New Roman" w:cs="Times New Roman"/>
          <w:sz w:val="24"/>
          <w:szCs w:val="24"/>
        </w:rPr>
        <w:t>. The subsequent sections introduce in more detail the main eating behaviour traits used in this thesis and the measurement of eating behaviour traits used in studies is detailed in Chapter 3.</w:t>
      </w:r>
    </w:p>
    <w:p w14:paraId="00000151"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1.9.1 Cognitive restraint</w:t>
      </w:r>
    </w:p>
    <w:p w14:paraId="00000152" w14:textId="1A3A683E"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Cognitive restraint is the unconscious intention to regulate food consumption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keep or reduce weight </w:t>
      </w:r>
      <w:hyperlink r:id="rId16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Stunkard</w:t>
        </w:r>
        <w:proofErr w:type="spellEnd"/>
        <w:r>
          <w:rPr>
            <w:rFonts w:ascii="Times New Roman" w:eastAsia="Times New Roman" w:hAnsi="Times New Roman" w:cs="Times New Roman"/>
            <w:sz w:val="24"/>
            <w:szCs w:val="24"/>
          </w:rPr>
          <w:t xml:space="preserve"> and Messick</w:t>
        </w:r>
        <w:r w:rsidR="004447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1985)</w:t>
        </w:r>
      </w:hyperlink>
      <w:r>
        <w:rPr>
          <w:rFonts w:ascii="Times New Roman" w:eastAsia="Times New Roman" w:hAnsi="Times New Roman" w:cs="Times New Roman"/>
          <w:sz w:val="24"/>
          <w:szCs w:val="24"/>
        </w:rPr>
        <w:t xml:space="preserve">. According to early preload experiments, people with high restrained eating scores counter-regulated and consumed more snacks after receiving a large milkshake preload compared to a small or no preload provided. Conversely, unrestrained eaters reduced their subsequent intake to compensate for a preload (Herman </w:t>
      </w:r>
      <w:r w:rsidR="004447BE" w:rsidRPr="004447BE">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Mack, 1975; Herman, </w:t>
      </w:r>
      <w:proofErr w:type="spellStart"/>
      <w:r>
        <w:rPr>
          <w:rFonts w:ascii="Times New Roman" w:eastAsia="Times New Roman" w:hAnsi="Times New Roman" w:cs="Times New Roman"/>
          <w:sz w:val="24"/>
          <w:szCs w:val="24"/>
        </w:rPr>
        <w:t>Polivy</w:t>
      </w:r>
      <w:proofErr w:type="spellEnd"/>
      <w:r>
        <w:rPr>
          <w:rFonts w:ascii="Times New Roman" w:eastAsia="Times New Roman" w:hAnsi="Times New Roman" w:cs="Times New Roman"/>
          <w:sz w:val="24"/>
          <w:szCs w:val="24"/>
        </w:rPr>
        <w:t xml:space="preserve">, </w:t>
      </w:r>
      <w:r w:rsidR="004447BE" w:rsidRPr="004447BE">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Esses</w:t>
      </w:r>
      <w:proofErr w:type="spellEnd"/>
      <w:r>
        <w:rPr>
          <w:rFonts w:ascii="Times New Roman" w:eastAsia="Times New Roman" w:hAnsi="Times New Roman" w:cs="Times New Roman"/>
          <w:sz w:val="24"/>
          <w:szCs w:val="24"/>
        </w:rPr>
        <w:t xml:space="preserve">, 1987). However, the Restraint Scale used to assess restraint eating in these studies (Herman </w:t>
      </w:r>
      <w:r w:rsidR="00EC159E" w:rsidRPr="00EC159E">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Mack, 1975; Herman, </w:t>
      </w:r>
      <w:proofErr w:type="spellStart"/>
      <w:r>
        <w:rPr>
          <w:rFonts w:ascii="Times New Roman" w:eastAsia="Times New Roman" w:hAnsi="Times New Roman" w:cs="Times New Roman"/>
          <w:sz w:val="24"/>
          <w:szCs w:val="24"/>
        </w:rPr>
        <w:t>Polivy</w:t>
      </w:r>
      <w:proofErr w:type="spellEnd"/>
      <w:r>
        <w:rPr>
          <w:rFonts w:ascii="Times New Roman" w:eastAsia="Times New Roman" w:hAnsi="Times New Roman" w:cs="Times New Roman"/>
          <w:sz w:val="24"/>
          <w:szCs w:val="24"/>
        </w:rPr>
        <w:t xml:space="preserve">, </w:t>
      </w:r>
      <w:r w:rsidR="00EC159E" w:rsidRPr="00EC159E">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Esses</w:t>
      </w:r>
      <w:proofErr w:type="spellEnd"/>
      <w:r>
        <w:rPr>
          <w:rFonts w:ascii="Times New Roman" w:eastAsia="Times New Roman" w:hAnsi="Times New Roman" w:cs="Times New Roman"/>
          <w:sz w:val="24"/>
          <w:szCs w:val="24"/>
        </w:rPr>
        <w:t xml:space="preserve">, 1987) has a problem in that it does not distinguish between restraint eating and disinhibition (tendency to overconsumption; see more details in 1.8.2). Unlike the Three Factor Eating Questionnaire (TFEQ), which has separate subscales distinguishing between restraint and disinhibition. Furthermore other research using Three Factor Eating Questionnaire (TFEQ) has shown that people with higher levels of cognitive restraint have been shown to consume less energy </w:t>
      </w:r>
      <w:hyperlink r:id="rId164">
        <w:r>
          <w:rPr>
            <w:rFonts w:ascii="Times New Roman" w:eastAsia="Times New Roman" w:hAnsi="Times New Roman" w:cs="Times New Roman"/>
            <w:sz w:val="24"/>
            <w:szCs w:val="24"/>
          </w:rPr>
          <w:t>(de Castro</w:t>
        </w:r>
        <w:r w:rsidR="00EC15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1995; Rideout et al., 2004; Anschutz et al., 2009)</w:t>
        </w:r>
      </w:hyperlink>
      <w:r>
        <w:rPr>
          <w:rFonts w:ascii="Times New Roman" w:eastAsia="Times New Roman" w:hAnsi="Times New Roman" w:cs="Times New Roman"/>
          <w:sz w:val="24"/>
          <w:szCs w:val="24"/>
        </w:rPr>
        <w:t xml:space="preserve">, less fat </w:t>
      </w:r>
      <w:hyperlink r:id="rId165">
        <w:r>
          <w:rPr>
            <w:rFonts w:ascii="Times New Roman" w:eastAsia="Times New Roman" w:hAnsi="Times New Roman" w:cs="Times New Roman"/>
            <w:sz w:val="24"/>
            <w:szCs w:val="24"/>
          </w:rPr>
          <w:t xml:space="preserve">(Rideout et al., 2004; Anschutz et al., 2009; </w:t>
        </w:r>
        <w:proofErr w:type="spellStart"/>
        <w:r>
          <w:rPr>
            <w:rFonts w:ascii="Times New Roman" w:eastAsia="Times New Roman" w:hAnsi="Times New Roman" w:cs="Times New Roman"/>
            <w:sz w:val="24"/>
            <w:szCs w:val="24"/>
          </w:rPr>
          <w:t>Tuschl</w:t>
        </w:r>
        <w:proofErr w:type="spellEnd"/>
        <w:r>
          <w:rPr>
            <w:rFonts w:ascii="Times New Roman" w:eastAsia="Times New Roman" w:hAnsi="Times New Roman" w:cs="Times New Roman"/>
            <w:sz w:val="24"/>
            <w:szCs w:val="24"/>
          </w:rPr>
          <w:t xml:space="preserve"> et al., 1990)</w:t>
        </w:r>
      </w:hyperlink>
      <w:r>
        <w:rPr>
          <w:rFonts w:ascii="Times New Roman" w:eastAsia="Times New Roman" w:hAnsi="Times New Roman" w:cs="Times New Roman"/>
          <w:sz w:val="24"/>
          <w:szCs w:val="24"/>
        </w:rPr>
        <w:t xml:space="preserve">, less carbohydrate </w:t>
      </w:r>
      <w:hyperlink r:id="rId166">
        <w:r>
          <w:rPr>
            <w:rFonts w:ascii="Times New Roman" w:eastAsia="Times New Roman" w:hAnsi="Times New Roman" w:cs="Times New Roman"/>
            <w:sz w:val="24"/>
            <w:szCs w:val="24"/>
          </w:rPr>
          <w:t>(Anschutz et al., 2009)</w:t>
        </w:r>
      </w:hyperlink>
      <w:r>
        <w:rPr>
          <w:rFonts w:ascii="Times New Roman" w:eastAsia="Times New Roman" w:hAnsi="Times New Roman" w:cs="Times New Roman"/>
          <w:sz w:val="24"/>
          <w:szCs w:val="24"/>
        </w:rPr>
        <w:t xml:space="preserve">. Although there are inconsistent findings of the associations between restraint eating and BMI </w:t>
      </w:r>
      <w:hyperlink r:id="rId16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Boschi</w:t>
        </w:r>
        <w:proofErr w:type="spellEnd"/>
        <w:r>
          <w:rPr>
            <w:rFonts w:ascii="Times New Roman" w:eastAsia="Times New Roman" w:hAnsi="Times New Roman" w:cs="Times New Roman"/>
            <w:sz w:val="24"/>
            <w:szCs w:val="24"/>
          </w:rPr>
          <w:t xml:space="preserve"> et al., 2001; Williamson et al., 1995)</w:t>
        </w:r>
      </w:hyperlink>
      <w:r>
        <w:rPr>
          <w:rFonts w:ascii="Times New Roman" w:eastAsia="Times New Roman" w:hAnsi="Times New Roman" w:cs="Times New Roman"/>
          <w:sz w:val="24"/>
          <w:szCs w:val="24"/>
        </w:rPr>
        <w:t xml:space="preserve">, it is consistently found that the relationship between dietary restraint and body weight differs among groups with obesity or normal weight. In people with normal weight, higher levels of restraint is usually related to increased weight </w:t>
      </w:r>
      <w:hyperlink r:id="rId168">
        <w:r>
          <w:rPr>
            <w:rFonts w:ascii="Times New Roman" w:eastAsia="Times New Roman" w:hAnsi="Times New Roman" w:cs="Times New Roman"/>
            <w:sz w:val="24"/>
            <w:szCs w:val="24"/>
          </w:rPr>
          <w:t xml:space="preserve">(de Lauzon-Guillain et al., 2006; </w:t>
        </w:r>
        <w:proofErr w:type="spellStart"/>
        <w:r>
          <w:rPr>
            <w:rFonts w:ascii="Times New Roman" w:eastAsia="Times New Roman" w:hAnsi="Times New Roman" w:cs="Times New Roman"/>
            <w:sz w:val="24"/>
            <w:szCs w:val="24"/>
          </w:rPr>
          <w:t>Lluch</w:t>
        </w:r>
        <w:proofErr w:type="spellEnd"/>
        <w:r>
          <w:rPr>
            <w:rFonts w:ascii="Times New Roman" w:eastAsia="Times New Roman" w:hAnsi="Times New Roman" w:cs="Times New Roman"/>
            <w:sz w:val="24"/>
            <w:szCs w:val="24"/>
          </w:rPr>
          <w:t xml:space="preserve"> et al., 2000; </w:t>
        </w:r>
        <w:proofErr w:type="spellStart"/>
        <w:r>
          <w:rPr>
            <w:rFonts w:ascii="Times New Roman" w:eastAsia="Times New Roman" w:hAnsi="Times New Roman" w:cs="Times New Roman"/>
            <w:sz w:val="24"/>
            <w:szCs w:val="24"/>
          </w:rPr>
          <w:t>Bellisle</w:t>
        </w:r>
        <w:proofErr w:type="spellEnd"/>
        <w:r>
          <w:rPr>
            <w:rFonts w:ascii="Times New Roman" w:eastAsia="Times New Roman" w:hAnsi="Times New Roman" w:cs="Times New Roman"/>
            <w:sz w:val="24"/>
            <w:szCs w:val="24"/>
          </w:rPr>
          <w:t xml:space="preserve"> et al., 2004; Provencher et al., 2003)</w:t>
        </w:r>
      </w:hyperlink>
      <w:r>
        <w:rPr>
          <w:rFonts w:ascii="Times New Roman" w:eastAsia="Times New Roman" w:hAnsi="Times New Roman" w:cs="Times New Roman"/>
          <w:sz w:val="24"/>
          <w:szCs w:val="24"/>
        </w:rPr>
        <w:t xml:space="preserve"> whereas within populations with obesity, the association is that higher restraint is usually associated with decreased weight </w:t>
      </w:r>
      <w:hyperlink r:id="rId16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Bellisle</w:t>
        </w:r>
        <w:proofErr w:type="spellEnd"/>
        <w:r>
          <w:rPr>
            <w:rFonts w:ascii="Times New Roman" w:eastAsia="Times New Roman" w:hAnsi="Times New Roman" w:cs="Times New Roman"/>
            <w:sz w:val="24"/>
            <w:szCs w:val="24"/>
          </w:rPr>
          <w:t xml:space="preserve"> et al., 2004; Provencher et al., 2003; </w:t>
        </w:r>
        <w:proofErr w:type="spellStart"/>
        <w:r>
          <w:rPr>
            <w:rFonts w:ascii="Times New Roman" w:eastAsia="Times New Roman" w:hAnsi="Times New Roman" w:cs="Times New Roman"/>
            <w:sz w:val="24"/>
            <w:szCs w:val="24"/>
          </w:rPr>
          <w:t>Cappelleri</w:t>
        </w:r>
        <w:proofErr w:type="spellEnd"/>
        <w:r>
          <w:rPr>
            <w:rFonts w:ascii="Times New Roman" w:eastAsia="Times New Roman" w:hAnsi="Times New Roman" w:cs="Times New Roman"/>
            <w:sz w:val="24"/>
            <w:szCs w:val="24"/>
          </w:rPr>
          <w:t xml:space="preserve"> et al., 2009; Foster et al., 1998)</w:t>
        </w:r>
      </w:hyperlink>
      <w:r>
        <w:rPr>
          <w:rFonts w:ascii="Times New Roman" w:eastAsia="Times New Roman" w:hAnsi="Times New Roman" w:cs="Times New Roman"/>
          <w:sz w:val="24"/>
          <w:szCs w:val="24"/>
        </w:rPr>
        <w:t xml:space="preserve">. Lowe </w:t>
      </w:r>
      <w:r w:rsidR="00ED360F" w:rsidRPr="00ED360F">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Levine (2005) claimed that the controversy surrounding dieting and in normal weight populations, restraint may serve as a marker of tendency to overconsumption. Conversely, in the population with obesity, where </w:t>
      </w:r>
      <w:r>
        <w:rPr>
          <w:rFonts w:ascii="Times New Roman" w:eastAsia="Times New Roman" w:hAnsi="Times New Roman" w:cs="Times New Roman"/>
          <w:sz w:val="24"/>
          <w:szCs w:val="24"/>
        </w:rPr>
        <w:lastRenderedPageBreak/>
        <w:t xml:space="preserve">the tendency to overeat is prevalent, restraint will differentiate between those individuals whose tendency to overeat is reduced by restraint and those who make no effort to regulate their eating. This is supported by research that has investigated the relationship between restraint and BMI. When controlling for disinhibition and overconsumption, restraint was found to reduce the association between disinhibition and weight </w:t>
      </w:r>
      <w:hyperlink r:id="rId17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Boschi</w:t>
        </w:r>
        <w:proofErr w:type="spellEnd"/>
        <w:r>
          <w:rPr>
            <w:rFonts w:ascii="Times New Roman" w:eastAsia="Times New Roman" w:hAnsi="Times New Roman" w:cs="Times New Roman"/>
            <w:sz w:val="24"/>
            <w:szCs w:val="24"/>
          </w:rPr>
          <w:t xml:space="preserve"> et al., 2001; Hays and Roberts</w:t>
        </w:r>
        <w:r w:rsidR="000C0A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2008; Hays et al., 2002; Dykes et al., 2004)</w:t>
        </w:r>
      </w:hyperlink>
      <w:r>
        <w:rPr>
          <w:rFonts w:ascii="Times New Roman" w:eastAsia="Times New Roman" w:hAnsi="Times New Roman" w:cs="Times New Roman"/>
          <w:sz w:val="24"/>
          <w:szCs w:val="24"/>
        </w:rPr>
        <w:t xml:space="preserve">. Therefore, </w:t>
      </w:r>
      <w:proofErr w:type="spellStart"/>
      <w:r>
        <w:rPr>
          <w:rFonts w:ascii="Times New Roman" w:eastAsia="Times New Roman" w:hAnsi="Times New Roman" w:cs="Times New Roman"/>
          <w:sz w:val="24"/>
          <w:szCs w:val="24"/>
        </w:rPr>
        <w:t>Westenhoefer</w:t>
      </w:r>
      <w:proofErr w:type="spellEnd"/>
      <w:r>
        <w:rPr>
          <w:rFonts w:ascii="Times New Roman" w:eastAsia="Times New Roman" w:hAnsi="Times New Roman" w:cs="Times New Roman"/>
          <w:sz w:val="24"/>
          <w:szCs w:val="24"/>
        </w:rPr>
        <w:t xml:space="preserve"> et al. (1991) further divided restrained eaters into two subgroups based on their approach to controlling their eating habits: those who use flexible control and those who use rigid control. Flexible restrained eating refers to a more gradual approach to eating that allows occasional consumption of foods that are often restricted in the diet. On the other hand, rigid restraint refers to the use of strict and absolute rules to control eating behaviour </w:t>
      </w:r>
      <w:hyperlink r:id="rId17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Westenhoefer</w:t>
        </w:r>
        <w:proofErr w:type="spellEnd"/>
        <w:r w:rsidR="00832E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1991)</w:t>
        </w:r>
      </w:hyperlink>
      <w:r>
        <w:rPr>
          <w:rFonts w:ascii="Times New Roman" w:eastAsia="Times New Roman" w:hAnsi="Times New Roman" w:cs="Times New Roman"/>
          <w:sz w:val="24"/>
          <w:szCs w:val="24"/>
        </w:rPr>
        <w:t xml:space="preserve">. Indeed, some studies have shown associations between higher levels of rigid control and increased BMI </w:t>
      </w:r>
      <w:hyperlink r:id="rId172">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Masheb</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Grilo</w:t>
        </w:r>
        <w:proofErr w:type="spellEnd"/>
        <w:r w:rsidR="00832E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2002; McGuire et al., 2001)</w:t>
        </w:r>
      </w:hyperlink>
      <w:r>
        <w:rPr>
          <w:rFonts w:ascii="Times New Roman" w:eastAsia="Times New Roman" w:hAnsi="Times New Roman" w:cs="Times New Roman"/>
          <w:sz w:val="24"/>
          <w:szCs w:val="24"/>
        </w:rPr>
        <w:t xml:space="preserve">. Therefore, individuals scoring higher in rigid restraint are more likely to be susceptible to overconsumption. </w:t>
      </w:r>
    </w:p>
    <w:p w14:paraId="00000153" w14:textId="77777777" w:rsidR="00CB4215" w:rsidRDefault="00CB4215">
      <w:pPr>
        <w:spacing w:line="480" w:lineRule="auto"/>
        <w:rPr>
          <w:rFonts w:ascii="Times New Roman" w:eastAsia="Times New Roman" w:hAnsi="Times New Roman" w:cs="Times New Roman"/>
          <w:sz w:val="24"/>
          <w:szCs w:val="24"/>
        </w:rPr>
      </w:pPr>
    </w:p>
    <w:p w14:paraId="00000154"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1.9.2 Disinhibition and restraint</w:t>
      </w:r>
    </w:p>
    <w:p w14:paraId="00000155" w14:textId="4CFB00E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Disinhibition is defined as the tendency to overeat and opportunistically consume in an obesogenic environment </w:t>
      </w:r>
      <w:hyperlink r:id="rId17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Vainik</w:t>
        </w:r>
        <w:proofErr w:type="spellEnd"/>
        <w:r>
          <w:rPr>
            <w:rFonts w:ascii="Times New Roman" w:eastAsia="Times New Roman" w:hAnsi="Times New Roman" w:cs="Times New Roman"/>
            <w:sz w:val="24"/>
            <w:szCs w:val="24"/>
          </w:rPr>
          <w:t xml:space="preserve"> et al., 2019)</w:t>
        </w:r>
      </w:hyperlink>
      <w:r>
        <w:rPr>
          <w:rFonts w:ascii="Times New Roman" w:eastAsia="Times New Roman" w:hAnsi="Times New Roman" w:cs="Times New Roman"/>
          <w:sz w:val="24"/>
          <w:szCs w:val="24"/>
        </w:rPr>
        <w:t xml:space="preserve">. Disinhibition has previously been linked with higher BMI and increased rate of obesity across different socioeconomic gradients </w:t>
      </w:r>
      <w:hyperlink r:id="rId174">
        <w:r>
          <w:rPr>
            <w:rFonts w:ascii="Times New Roman" w:eastAsia="Times New Roman" w:hAnsi="Times New Roman" w:cs="Times New Roman"/>
            <w:sz w:val="24"/>
            <w:szCs w:val="24"/>
          </w:rPr>
          <w:t>(Dykes et al., 2004)</w:t>
        </w:r>
      </w:hyperlink>
      <w:r>
        <w:rPr>
          <w:rFonts w:ascii="Times New Roman" w:eastAsia="Times New Roman" w:hAnsi="Times New Roman" w:cs="Times New Roman"/>
          <w:sz w:val="24"/>
          <w:szCs w:val="24"/>
        </w:rPr>
        <w:t xml:space="preserve">. Bryant et al. (2008) also indicated that higher levels of disinhibition are associated with lower levels of self-esteem, less physical activity and lower levels of psychological well-being. Additionally, it has been reported that participants living with overweight and obesity score higher in disinhibition compared with normal weight participants </w:t>
      </w:r>
      <w:hyperlink r:id="rId175">
        <w:r>
          <w:rPr>
            <w:rFonts w:ascii="Times New Roman" w:eastAsia="Times New Roman" w:hAnsi="Times New Roman" w:cs="Times New Roman"/>
            <w:sz w:val="24"/>
            <w:szCs w:val="24"/>
          </w:rPr>
          <w:t xml:space="preserve">(Provencher et al., 2003; </w:t>
        </w:r>
        <w:proofErr w:type="spellStart"/>
        <w:r>
          <w:rPr>
            <w:rFonts w:ascii="Times New Roman" w:eastAsia="Times New Roman" w:hAnsi="Times New Roman" w:cs="Times New Roman"/>
            <w:sz w:val="24"/>
            <w:szCs w:val="24"/>
          </w:rPr>
          <w:t>Boschi</w:t>
        </w:r>
        <w:proofErr w:type="spellEnd"/>
        <w:r>
          <w:rPr>
            <w:rFonts w:ascii="Times New Roman" w:eastAsia="Times New Roman" w:hAnsi="Times New Roman" w:cs="Times New Roman"/>
            <w:sz w:val="24"/>
            <w:szCs w:val="24"/>
          </w:rPr>
          <w:t xml:space="preserve"> et al., 2001)</w:t>
        </w:r>
      </w:hyperlink>
      <w:r>
        <w:rPr>
          <w:rFonts w:ascii="Times New Roman" w:eastAsia="Times New Roman" w:hAnsi="Times New Roman" w:cs="Times New Roman"/>
          <w:sz w:val="24"/>
          <w:szCs w:val="24"/>
        </w:rPr>
        <w:t xml:space="preserve">. Indeed, other research has indicated that disinhibition may be an interaction with other eating behaviour traits influencing body weight and BMI </w:t>
      </w:r>
      <w:hyperlink r:id="rId176">
        <w:r>
          <w:rPr>
            <w:rFonts w:ascii="Times New Roman" w:eastAsia="Times New Roman" w:hAnsi="Times New Roman" w:cs="Times New Roman"/>
            <w:sz w:val="24"/>
            <w:szCs w:val="24"/>
          </w:rPr>
          <w:t xml:space="preserve">(Hays et al., </w:t>
        </w:r>
        <w:r>
          <w:rPr>
            <w:rFonts w:ascii="Times New Roman" w:eastAsia="Times New Roman" w:hAnsi="Times New Roman" w:cs="Times New Roman"/>
            <w:sz w:val="24"/>
            <w:szCs w:val="24"/>
          </w:rPr>
          <w:lastRenderedPageBreak/>
          <w:t>2002; Williamson et al., 1995)</w:t>
        </w:r>
      </w:hyperlink>
      <w:r>
        <w:rPr>
          <w:rFonts w:ascii="Times New Roman" w:eastAsia="Times New Roman" w:hAnsi="Times New Roman" w:cs="Times New Roman"/>
          <w:sz w:val="24"/>
          <w:szCs w:val="24"/>
        </w:rPr>
        <w:t xml:space="preserve">. For example, a cross-sectional analysis of 1470 women showed that those with the highest weight had higher levels of disinhibition and lower levels of restraint, whereas those with </w:t>
      </w:r>
      <w:r w:rsidRPr="00D03B56">
        <w:rPr>
          <w:rFonts w:ascii="Times New Roman" w:eastAsia="Times New Roman" w:hAnsi="Times New Roman" w:cs="Times New Roman"/>
          <w:sz w:val="24"/>
          <w:szCs w:val="24"/>
        </w:rPr>
        <w:t xml:space="preserve">higher levels of disinhibition and </w:t>
      </w:r>
      <w:r w:rsidR="00D31EB2" w:rsidRPr="00D03B56">
        <w:rPr>
          <w:rFonts w:ascii="Times New Roman" w:eastAsia="Times New Roman" w:hAnsi="Times New Roman" w:cs="Times New Roman"/>
          <w:sz w:val="24"/>
          <w:szCs w:val="24"/>
        </w:rPr>
        <w:t>lower</w:t>
      </w:r>
      <w:r w:rsidRPr="00D03B56">
        <w:rPr>
          <w:rFonts w:ascii="Times New Roman" w:eastAsia="Times New Roman" w:hAnsi="Times New Roman" w:cs="Times New Roman"/>
          <w:sz w:val="24"/>
          <w:szCs w:val="24"/>
        </w:rPr>
        <w:t xml:space="preserve"> levels of restraint had lower BMI </w:t>
      </w:r>
      <w:hyperlink r:id="rId177">
        <w:r w:rsidRPr="00D03B56">
          <w:rPr>
            <w:rFonts w:ascii="Times New Roman" w:eastAsia="Times New Roman" w:hAnsi="Times New Roman" w:cs="Times New Roman"/>
            <w:sz w:val="24"/>
            <w:szCs w:val="24"/>
          </w:rPr>
          <w:t>(Dykes et al., 2004)</w:t>
        </w:r>
      </w:hyperlink>
      <w:r w:rsidRPr="00D03B56">
        <w:rPr>
          <w:rFonts w:ascii="Times New Roman" w:eastAsia="Times New Roman" w:hAnsi="Times New Roman" w:cs="Times New Roman"/>
          <w:sz w:val="24"/>
          <w:szCs w:val="24"/>
        </w:rPr>
        <w:t>. Therefore, other eating behaviour traits, such as restraint could modulate the relation</w:t>
      </w:r>
      <w:r w:rsidR="009A1993" w:rsidRPr="00D03B56">
        <w:rPr>
          <w:rFonts w:ascii="Times New Roman" w:eastAsia="Times New Roman" w:hAnsi="Times New Roman" w:cs="Times New Roman"/>
          <w:sz w:val="24"/>
          <w:szCs w:val="24"/>
        </w:rPr>
        <w:t>ships</w:t>
      </w:r>
      <w:r w:rsidRPr="00D03B56">
        <w:rPr>
          <w:rFonts w:ascii="Times New Roman" w:eastAsia="Times New Roman" w:hAnsi="Times New Roman" w:cs="Times New Roman"/>
          <w:sz w:val="24"/>
          <w:szCs w:val="24"/>
        </w:rPr>
        <w:t xml:space="preserve"> between disinhibition, increased weight and obesity. In addition, higher scores in disinhibition has</w:t>
      </w:r>
      <w:r>
        <w:rPr>
          <w:rFonts w:ascii="Times New Roman" w:eastAsia="Times New Roman" w:hAnsi="Times New Roman" w:cs="Times New Roman"/>
          <w:sz w:val="24"/>
          <w:szCs w:val="24"/>
        </w:rPr>
        <w:t xml:space="preserve"> been the indicator of increased food intake, such as higher ice cream or cookies consumption </w:t>
      </w:r>
      <w:hyperlink r:id="rId178">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Westenhoefer</w:t>
        </w:r>
        <w:proofErr w:type="spellEnd"/>
        <w:r>
          <w:rPr>
            <w:rFonts w:ascii="Times New Roman" w:eastAsia="Times New Roman" w:hAnsi="Times New Roman" w:cs="Times New Roman"/>
            <w:sz w:val="24"/>
            <w:szCs w:val="24"/>
          </w:rPr>
          <w:t xml:space="preserve"> et al., 1994; Van </w:t>
        </w:r>
        <w:proofErr w:type="spellStart"/>
        <w:r>
          <w:rPr>
            <w:rFonts w:ascii="Times New Roman" w:eastAsia="Times New Roman" w:hAnsi="Times New Roman" w:cs="Times New Roman"/>
            <w:sz w:val="24"/>
            <w:szCs w:val="24"/>
          </w:rPr>
          <w:t>Strien</w:t>
        </w:r>
        <w:proofErr w:type="spellEnd"/>
        <w:r>
          <w:rPr>
            <w:rFonts w:ascii="Times New Roman" w:eastAsia="Times New Roman" w:hAnsi="Times New Roman" w:cs="Times New Roman"/>
            <w:sz w:val="24"/>
            <w:szCs w:val="24"/>
          </w:rPr>
          <w:t xml:space="preserve"> et al., 2000; </w:t>
        </w:r>
        <w:proofErr w:type="spellStart"/>
        <w:r>
          <w:rPr>
            <w:rFonts w:ascii="Times New Roman" w:eastAsia="Times New Roman" w:hAnsi="Times New Roman" w:cs="Times New Roman"/>
            <w:sz w:val="24"/>
            <w:szCs w:val="24"/>
          </w:rPr>
          <w:t>Ouwens</w:t>
        </w:r>
        <w:proofErr w:type="spellEnd"/>
        <w:r>
          <w:rPr>
            <w:rFonts w:ascii="Times New Roman" w:eastAsia="Times New Roman" w:hAnsi="Times New Roman" w:cs="Times New Roman"/>
            <w:sz w:val="24"/>
            <w:szCs w:val="24"/>
          </w:rPr>
          <w:t xml:space="preserve"> et al., 2003)</w:t>
        </w:r>
      </w:hyperlink>
      <w:r>
        <w:rPr>
          <w:rFonts w:ascii="Times New Roman" w:eastAsia="Times New Roman" w:hAnsi="Times New Roman" w:cs="Times New Roman"/>
          <w:sz w:val="24"/>
          <w:szCs w:val="24"/>
        </w:rPr>
        <w:t xml:space="preserve">. Indeed, other studies have shown that those with higher disinhibition scores tend to have a greater preference for and consumption of foods rich in fat, sugar and alcohol. They are also more likely to eat less vegetables, fruit and fibre-rich bread </w:t>
      </w:r>
      <w:hyperlink r:id="rId17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Contento</w:t>
        </w:r>
        <w:proofErr w:type="spellEnd"/>
        <w:r>
          <w:rPr>
            <w:rFonts w:ascii="Times New Roman" w:eastAsia="Times New Roman" w:hAnsi="Times New Roman" w:cs="Times New Roman"/>
            <w:sz w:val="24"/>
            <w:szCs w:val="24"/>
          </w:rPr>
          <w:t xml:space="preserve"> et al., 2005; </w:t>
        </w:r>
        <w:proofErr w:type="spellStart"/>
        <w:r>
          <w:rPr>
            <w:rFonts w:ascii="Times New Roman" w:eastAsia="Times New Roman" w:hAnsi="Times New Roman" w:cs="Times New Roman"/>
            <w:sz w:val="24"/>
            <w:szCs w:val="24"/>
          </w:rPr>
          <w:t>Lähteenmäki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Tuorila</w:t>
        </w:r>
        <w:proofErr w:type="spellEnd"/>
        <w:r w:rsidR="00832E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1995)</w:t>
        </w:r>
      </w:hyperlink>
      <w:r>
        <w:rPr>
          <w:rFonts w:ascii="Times New Roman" w:eastAsia="Times New Roman" w:hAnsi="Times New Roman" w:cs="Times New Roman"/>
          <w:sz w:val="24"/>
          <w:szCs w:val="24"/>
        </w:rPr>
        <w:t xml:space="preserve">. A possible explanation for the food preferences, such as high-fat foods is higher brain response for the preference for sweet and high-fat foods showing in individuals scoring higher disinhibition </w:t>
      </w:r>
      <w:hyperlink r:id="rId18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Drewnowski</w:t>
        </w:r>
        <w:proofErr w:type="spellEnd"/>
        <w:r w:rsidR="00832E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1997; </w:t>
        </w:r>
        <w:proofErr w:type="spellStart"/>
        <w:r>
          <w:rPr>
            <w:rFonts w:ascii="Times New Roman" w:eastAsia="Times New Roman" w:hAnsi="Times New Roman" w:cs="Times New Roman"/>
            <w:sz w:val="24"/>
            <w:szCs w:val="24"/>
          </w:rPr>
          <w:t>DelParigi</w:t>
        </w:r>
        <w:proofErr w:type="spellEnd"/>
        <w:r>
          <w:rPr>
            <w:rFonts w:ascii="Times New Roman" w:eastAsia="Times New Roman" w:hAnsi="Times New Roman" w:cs="Times New Roman"/>
            <w:sz w:val="24"/>
            <w:szCs w:val="24"/>
          </w:rPr>
          <w:t xml:space="preserve"> et al., 2005)</w:t>
        </w:r>
      </w:hyperlink>
      <w:r>
        <w:rPr>
          <w:rFonts w:ascii="Times New Roman" w:eastAsia="Times New Roman" w:hAnsi="Times New Roman" w:cs="Times New Roman"/>
          <w:sz w:val="24"/>
          <w:szCs w:val="24"/>
        </w:rPr>
        <w:t>.</w:t>
      </w:r>
    </w:p>
    <w:p w14:paraId="00000156" w14:textId="77777777" w:rsidR="00CB4215" w:rsidRDefault="00CB4215">
      <w:pPr>
        <w:spacing w:line="480" w:lineRule="auto"/>
        <w:rPr>
          <w:rFonts w:ascii="Times New Roman" w:eastAsia="Times New Roman" w:hAnsi="Times New Roman" w:cs="Times New Roman"/>
          <w:sz w:val="24"/>
          <w:szCs w:val="24"/>
        </w:rPr>
      </w:pPr>
    </w:p>
    <w:p w14:paraId="00000157"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1.9.3 Satiety responsiveness</w:t>
      </w:r>
    </w:p>
    <w:p w14:paraId="00000158" w14:textId="05B40D63" w:rsidR="00CB4215" w:rsidRDefault="000530B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Satiety responsiveness describes the degree to which individuals detect sensations of hunger and fullness </w:t>
      </w:r>
      <w:hyperlink r:id="rId181">
        <w:r>
          <w:rPr>
            <w:rFonts w:ascii="Times New Roman" w:eastAsia="Times New Roman" w:hAnsi="Times New Roman" w:cs="Times New Roman"/>
            <w:sz w:val="24"/>
            <w:szCs w:val="24"/>
            <w:highlight w:val="white"/>
          </w:rPr>
          <w:t>(Reyes et al., 2013)</w:t>
        </w:r>
      </w:hyperlink>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Hunot</w:t>
      </w:r>
      <w:proofErr w:type="spellEnd"/>
      <w:r>
        <w:rPr>
          <w:rFonts w:ascii="Times New Roman" w:eastAsia="Times New Roman" w:hAnsi="Times New Roman" w:cs="Times New Roman"/>
          <w:sz w:val="24"/>
          <w:szCs w:val="24"/>
          <w:highlight w:val="white"/>
        </w:rPr>
        <w:t xml:space="preserve"> et al. (2016) assessed satiety responsiveness by questionnaire in adults and reported that participants with a higher BMI scored lower on satiety responsiveness. Moreover, multiple studies have found that satiety responsiveness was associated with other eating behaviour traits. For instance, studies suggest that some individuals with obesity report reduced sensations of appetite and satiety, which suggests that some individuals may experience reduced perception and response to internal cues </w:t>
      </w:r>
      <w:hyperlink r:id="rId182">
        <w:r w:rsidRPr="00D03B56">
          <w:rPr>
            <w:rFonts w:ascii="Times New Roman" w:eastAsia="Times New Roman" w:hAnsi="Times New Roman" w:cs="Times New Roman"/>
            <w:sz w:val="24"/>
            <w:szCs w:val="24"/>
          </w:rPr>
          <w:t>(Drapeau et al., 2011</w:t>
        </w:r>
        <w:r w:rsidR="002A3322" w:rsidRPr="00D03B56">
          <w:rPr>
            <w:rFonts w:ascii="Times New Roman" w:eastAsia="Times New Roman" w:hAnsi="Times New Roman" w:cs="Times New Roman"/>
            <w:sz w:val="24"/>
            <w:szCs w:val="24"/>
          </w:rPr>
          <w:t>; Blundell and Cooling, 2000</w:t>
        </w:r>
        <w:r w:rsidRPr="00D03B56">
          <w:rPr>
            <w:rFonts w:ascii="Times New Roman" w:eastAsia="Times New Roman" w:hAnsi="Times New Roman" w:cs="Times New Roman"/>
            <w:sz w:val="24"/>
            <w:szCs w:val="24"/>
          </w:rPr>
          <w:t>)</w:t>
        </w:r>
      </w:hyperlink>
      <w:r w:rsidRPr="00D03B56">
        <w:rPr>
          <w:rFonts w:ascii="Times New Roman" w:eastAsia="Times New Roman" w:hAnsi="Times New Roman" w:cs="Times New Roman"/>
          <w:sz w:val="24"/>
          <w:szCs w:val="24"/>
        </w:rPr>
        <w:t xml:space="preserve">. Moreover, </w:t>
      </w:r>
      <w:proofErr w:type="spellStart"/>
      <w:r w:rsidRPr="00D03B56">
        <w:rPr>
          <w:rFonts w:ascii="Times New Roman" w:eastAsia="Times New Roman" w:hAnsi="Times New Roman" w:cs="Times New Roman"/>
          <w:sz w:val="24"/>
          <w:szCs w:val="24"/>
        </w:rPr>
        <w:t>Barkeling</w:t>
      </w:r>
      <w:proofErr w:type="spellEnd"/>
      <w:r w:rsidRPr="00D03B56">
        <w:rPr>
          <w:rFonts w:ascii="Times New Roman" w:eastAsia="Times New Roman" w:hAnsi="Times New Roman" w:cs="Times New Roman"/>
          <w:sz w:val="24"/>
          <w:szCs w:val="24"/>
        </w:rPr>
        <w:t xml:space="preserve"> and colleagues (2007) also found that participants with lower levels of s</w:t>
      </w:r>
      <w:r>
        <w:rPr>
          <w:rFonts w:ascii="Times New Roman" w:eastAsia="Times New Roman" w:hAnsi="Times New Roman" w:cs="Times New Roman"/>
          <w:sz w:val="24"/>
          <w:szCs w:val="24"/>
          <w:highlight w:val="white"/>
        </w:rPr>
        <w:t xml:space="preserve">atiety responsiveness scored higher on </w:t>
      </w:r>
      <w:r>
        <w:rPr>
          <w:rFonts w:ascii="Times New Roman" w:eastAsia="Times New Roman" w:hAnsi="Times New Roman" w:cs="Times New Roman"/>
          <w:sz w:val="24"/>
          <w:szCs w:val="24"/>
          <w:highlight w:val="white"/>
        </w:rPr>
        <w:lastRenderedPageBreak/>
        <w:t xml:space="preserve">disinhibition and hunger linked with overconsumption, as measured by questionnaire </w:t>
      </w:r>
      <w:r>
        <w:rPr>
          <w:rFonts w:ascii="Times New Roman" w:eastAsia="Times New Roman" w:hAnsi="Times New Roman" w:cs="Times New Roman"/>
          <w:sz w:val="24"/>
          <w:szCs w:val="24"/>
        </w:rPr>
        <w:t>Three Factor Eating Questionnaire (TFEQ)</w:t>
      </w:r>
      <w:r>
        <w:rPr>
          <w:rFonts w:ascii="Times New Roman" w:eastAsia="Times New Roman" w:hAnsi="Times New Roman" w:cs="Times New Roman"/>
          <w:sz w:val="24"/>
          <w:szCs w:val="24"/>
          <w:highlight w:val="white"/>
        </w:rPr>
        <w:t xml:space="preserve">. Furthermore, </w:t>
      </w:r>
      <w:proofErr w:type="spellStart"/>
      <w:r>
        <w:rPr>
          <w:rFonts w:ascii="Times New Roman" w:eastAsia="Times New Roman" w:hAnsi="Times New Roman" w:cs="Times New Roman"/>
          <w:sz w:val="24"/>
          <w:szCs w:val="24"/>
          <w:highlight w:val="white"/>
        </w:rPr>
        <w:t>Zuraikat</w:t>
      </w:r>
      <w:proofErr w:type="spellEnd"/>
      <w:r>
        <w:rPr>
          <w:rFonts w:ascii="Times New Roman" w:eastAsia="Times New Roman" w:hAnsi="Times New Roman" w:cs="Times New Roman"/>
          <w:sz w:val="24"/>
          <w:szCs w:val="24"/>
          <w:highlight w:val="white"/>
        </w:rPr>
        <w:t xml:space="preserve"> and colleagues (2018) also showed that individuals with stronger satiety responsiveness had greater restraint and lower levels of disinhibition and hunger. In addition to using Adult Eating Behaviour Questionnaire (AEBQ) to assess satiety responsiveness, the satiety quotient is a measure of how sated people feel after a meal (satiating efficiency)</w:t>
      </w:r>
      <w:r>
        <w:rPr>
          <w:rFonts w:ascii="Times New Roman" w:eastAsia="Times New Roman" w:hAnsi="Times New Roman" w:cs="Times New Roman"/>
          <w:sz w:val="24"/>
          <w:szCs w:val="24"/>
        </w:rPr>
        <w:t xml:space="preserve"> </w:t>
      </w:r>
      <w:hyperlink r:id="rId183">
        <w:r>
          <w:rPr>
            <w:rFonts w:ascii="Times New Roman" w:eastAsia="Times New Roman" w:hAnsi="Times New Roman" w:cs="Times New Roman"/>
            <w:sz w:val="24"/>
            <w:szCs w:val="24"/>
          </w:rPr>
          <w:t>(Dalton et al., 2015)</w:t>
        </w:r>
      </w:hyperlink>
      <w:r>
        <w:rPr>
          <w:rFonts w:ascii="Times New Roman" w:eastAsia="Times New Roman" w:hAnsi="Times New Roman" w:cs="Times New Roman"/>
          <w:sz w:val="24"/>
          <w:szCs w:val="24"/>
          <w:highlight w:val="white"/>
        </w:rPr>
        <w:t xml:space="preserve">. Studies have shown that people with higher satiety quotient scores consume less energy in both controlled laboratory environments and free-living settings </w:t>
      </w:r>
      <w:hyperlink r:id="rId184">
        <w:r>
          <w:rPr>
            <w:rFonts w:ascii="Times New Roman" w:eastAsia="Times New Roman" w:hAnsi="Times New Roman" w:cs="Times New Roman"/>
            <w:sz w:val="24"/>
            <w:szCs w:val="24"/>
          </w:rPr>
          <w:t>(Drapeau et al., 2005; Drapeau et al., 2007)</w:t>
        </w:r>
      </w:hyperlink>
      <w:r>
        <w:rPr>
          <w:rFonts w:ascii="Times New Roman" w:eastAsia="Times New Roman" w:hAnsi="Times New Roman" w:cs="Times New Roman"/>
          <w:sz w:val="24"/>
          <w:szCs w:val="24"/>
          <w:highlight w:val="white"/>
        </w:rPr>
        <w:t xml:space="preserve">. However, </w:t>
      </w:r>
      <w:proofErr w:type="gramStart"/>
      <w:r>
        <w:rPr>
          <w:rFonts w:ascii="Times New Roman" w:eastAsia="Times New Roman" w:hAnsi="Times New Roman" w:cs="Times New Roman"/>
          <w:sz w:val="24"/>
          <w:szCs w:val="24"/>
          <w:highlight w:val="white"/>
        </w:rPr>
        <w:t>in order to</w:t>
      </w:r>
      <w:proofErr w:type="gramEnd"/>
      <w:r>
        <w:rPr>
          <w:rFonts w:ascii="Times New Roman" w:eastAsia="Times New Roman" w:hAnsi="Times New Roman" w:cs="Times New Roman"/>
          <w:sz w:val="24"/>
          <w:szCs w:val="24"/>
          <w:highlight w:val="white"/>
        </w:rPr>
        <w:t xml:space="preserve"> assess a range of eating behaviour traits, including but not limited to satiety responsiveness, and to take into account the nature of free-living studies in this thesis, rather than focusing on the satiating efficiency of the meal, the validated Adult Eating Behaviour Questionnaire was used in this thesis (see more details in Chapter 3). </w:t>
      </w:r>
    </w:p>
    <w:p w14:paraId="00000159" w14:textId="77777777" w:rsidR="00CB4215" w:rsidRDefault="00CB4215">
      <w:pPr>
        <w:spacing w:line="480" w:lineRule="auto"/>
        <w:rPr>
          <w:rFonts w:ascii="Times New Roman" w:eastAsia="Times New Roman" w:hAnsi="Times New Roman" w:cs="Times New Roman"/>
          <w:sz w:val="24"/>
          <w:szCs w:val="24"/>
          <w:highlight w:val="white"/>
        </w:rPr>
      </w:pPr>
    </w:p>
    <w:p w14:paraId="0000015A"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1.9.4 Craving control</w:t>
      </w:r>
    </w:p>
    <w:p w14:paraId="0000015B" w14:textId="23A86F0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craving has been characterised as a strong and intense desire to consume a specific type of food </w:t>
      </w:r>
      <w:hyperlink r:id="rId185">
        <w:r>
          <w:rPr>
            <w:rFonts w:ascii="Times New Roman" w:eastAsia="Times New Roman" w:hAnsi="Times New Roman" w:cs="Times New Roman"/>
            <w:sz w:val="24"/>
            <w:szCs w:val="24"/>
          </w:rPr>
          <w:t xml:space="preserve">(Weingarten and </w:t>
        </w:r>
        <w:proofErr w:type="spellStart"/>
        <w:r>
          <w:rPr>
            <w:rFonts w:ascii="Times New Roman" w:eastAsia="Times New Roman" w:hAnsi="Times New Roman" w:cs="Times New Roman"/>
            <w:sz w:val="24"/>
            <w:szCs w:val="24"/>
          </w:rPr>
          <w:t>Elston</w:t>
        </w:r>
        <w:proofErr w:type="spellEnd"/>
        <w:r w:rsidR="002A33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1990)</w:t>
        </w:r>
      </w:hyperlink>
      <w:r>
        <w:rPr>
          <w:rFonts w:ascii="Times New Roman" w:eastAsia="Times New Roman" w:hAnsi="Times New Roman" w:cs="Times New Roman"/>
          <w:sz w:val="24"/>
          <w:szCs w:val="24"/>
        </w:rPr>
        <w:t xml:space="preserve">. Craved foods are typically palatable, high in energy, and collectively are associated with greater calorie consumption </w:t>
      </w:r>
      <w:hyperlink r:id="rId186">
        <w:r>
          <w:rPr>
            <w:rFonts w:ascii="Times New Roman" w:eastAsia="Times New Roman" w:hAnsi="Times New Roman" w:cs="Times New Roman"/>
            <w:sz w:val="24"/>
            <w:szCs w:val="24"/>
          </w:rPr>
          <w:t>(Buscemi et al., 2017)</w:t>
        </w:r>
      </w:hyperlink>
      <w:r>
        <w:rPr>
          <w:rFonts w:ascii="Times New Roman" w:eastAsia="Times New Roman" w:hAnsi="Times New Roman" w:cs="Times New Roman"/>
          <w:sz w:val="24"/>
          <w:szCs w:val="24"/>
        </w:rPr>
        <w:t xml:space="preserve">, disordered eating </w:t>
      </w:r>
      <w:hyperlink r:id="rId187">
        <w:r>
          <w:rPr>
            <w:rFonts w:ascii="Times New Roman" w:eastAsia="Times New Roman" w:hAnsi="Times New Roman" w:cs="Times New Roman"/>
            <w:sz w:val="24"/>
            <w:szCs w:val="24"/>
          </w:rPr>
          <w:t>(Hill</w:t>
        </w:r>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2007) and</w:t>
        </w:r>
      </w:hyperlink>
      <w:r>
        <w:rPr>
          <w:rFonts w:ascii="Times New Roman" w:eastAsia="Times New Roman" w:hAnsi="Times New Roman" w:cs="Times New Roman"/>
          <w:sz w:val="24"/>
          <w:szCs w:val="24"/>
        </w:rPr>
        <w:t xml:space="preserve"> higher BMI </w:t>
      </w:r>
      <w:hyperlink r:id="rId188">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Taetzsch</w:t>
        </w:r>
        <w:proofErr w:type="spellEnd"/>
        <w:r>
          <w:rPr>
            <w:rFonts w:ascii="Times New Roman" w:eastAsia="Times New Roman" w:hAnsi="Times New Roman" w:cs="Times New Roman"/>
            <w:sz w:val="24"/>
            <w:szCs w:val="24"/>
          </w:rPr>
          <w:t xml:space="preserve"> et al., 2020)</w:t>
        </w:r>
      </w:hyperlink>
      <w:r>
        <w:rPr>
          <w:rFonts w:ascii="Times New Roman" w:eastAsia="Times New Roman" w:hAnsi="Times New Roman" w:cs="Times New Roman"/>
          <w:sz w:val="24"/>
          <w:szCs w:val="24"/>
        </w:rPr>
        <w:t xml:space="preserve">. Consuming craved foods leads to higher activation of reward centres in the brain, including, orbitofrontal cortex and ventral striatum, compared to consuming non-craved foods </w:t>
      </w:r>
      <w:hyperlink r:id="rId189">
        <w:r>
          <w:rPr>
            <w:rFonts w:ascii="Times New Roman" w:eastAsia="Times New Roman" w:hAnsi="Times New Roman" w:cs="Times New Roman"/>
            <w:sz w:val="24"/>
            <w:szCs w:val="24"/>
          </w:rPr>
          <w:t>(Rolls and McCabe</w:t>
        </w:r>
        <w:r w:rsidR="002A33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2007; Ulrich et al., 2016)</w:t>
        </w:r>
      </w:hyperlink>
      <w:r>
        <w:rPr>
          <w:rFonts w:ascii="Times New Roman" w:eastAsia="Times New Roman" w:hAnsi="Times New Roman" w:cs="Times New Roman"/>
          <w:sz w:val="24"/>
          <w:szCs w:val="24"/>
        </w:rPr>
        <w:t xml:space="preserve">. Food cravings act as a stimulus to eat, often unrelated to hunger, but are associated with higher energy consumption and increased BMI </w:t>
      </w:r>
      <w:hyperlink r:id="rId190">
        <w:r>
          <w:rPr>
            <w:rFonts w:ascii="Times New Roman" w:eastAsia="Times New Roman" w:hAnsi="Times New Roman" w:cs="Times New Roman"/>
            <w:sz w:val="24"/>
            <w:szCs w:val="24"/>
          </w:rPr>
          <w:t>(Gilhooly et al.</w:t>
        </w:r>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2007; </w:t>
        </w:r>
        <w:proofErr w:type="spellStart"/>
        <w:r>
          <w:rPr>
            <w:rFonts w:ascii="Times New Roman" w:eastAsia="Times New Roman" w:hAnsi="Times New Roman" w:cs="Times New Roman"/>
            <w:sz w:val="24"/>
            <w:szCs w:val="24"/>
          </w:rPr>
          <w:t>Siwik</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Senf</w:t>
        </w:r>
        <w:proofErr w:type="spellEnd"/>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w:t>
        </w:r>
      </w:hyperlink>
      <w:r>
        <w:rPr>
          <w:rFonts w:ascii="Times New Roman" w:eastAsia="Times New Roman" w:hAnsi="Times New Roman" w:cs="Times New Roman"/>
          <w:sz w:val="24"/>
          <w:szCs w:val="24"/>
        </w:rPr>
        <w:t xml:space="preserve">. However, not all cravings result in actual food intake. Craving control refers to the ability to resist food cravings and regulate food consumption </w:t>
      </w:r>
      <w:hyperlink r:id="rId191">
        <w:r>
          <w:rPr>
            <w:rFonts w:ascii="Times New Roman" w:eastAsia="Times New Roman" w:hAnsi="Times New Roman" w:cs="Times New Roman"/>
            <w:sz w:val="24"/>
            <w:szCs w:val="24"/>
          </w:rPr>
          <w:t>(Dalton et al., 2015)</w:t>
        </w:r>
      </w:hyperlink>
      <w:r>
        <w:rPr>
          <w:rFonts w:ascii="Times New Roman" w:eastAsia="Times New Roman" w:hAnsi="Times New Roman" w:cs="Times New Roman"/>
          <w:sz w:val="24"/>
          <w:szCs w:val="24"/>
        </w:rPr>
        <w:t xml:space="preserve">. It has been shown that lower ability to control craving is associated with higher total energy </w:t>
      </w:r>
      <w:r>
        <w:rPr>
          <w:rFonts w:ascii="Times New Roman" w:eastAsia="Times New Roman" w:hAnsi="Times New Roman" w:cs="Times New Roman"/>
          <w:sz w:val="24"/>
          <w:szCs w:val="24"/>
        </w:rPr>
        <w:lastRenderedPageBreak/>
        <w:t xml:space="preserve">intake, increased BMI and fat mass </w:t>
      </w:r>
      <w:hyperlink r:id="rId192">
        <w:r>
          <w:rPr>
            <w:rFonts w:ascii="Times New Roman" w:eastAsia="Times New Roman" w:hAnsi="Times New Roman" w:cs="Times New Roman"/>
            <w:sz w:val="24"/>
            <w:szCs w:val="24"/>
          </w:rPr>
          <w:t>(Dalton et al., 2015)</w:t>
        </w:r>
      </w:hyperlink>
      <w:r>
        <w:rPr>
          <w:rFonts w:ascii="Times New Roman" w:eastAsia="Times New Roman" w:hAnsi="Times New Roman" w:cs="Times New Roman"/>
          <w:sz w:val="24"/>
          <w:szCs w:val="24"/>
        </w:rPr>
        <w:t>. Conversely, studies have found that greater craving regulation (Smithson and Hill</w:t>
      </w:r>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2017) and enhanced craving management (Dalton et al., 2017) are associated with more successful weight loss outcomes in adults with obesity. Indeed, lower craving control was found to be a primary predictor of increased consumption of high-calorie, high-density sweet and savoury foods during the COVID-19 lockdown in both the UK and Australian populations </w:t>
      </w:r>
      <w:hyperlink r:id="rId193">
        <w:r>
          <w:rPr>
            <w:rFonts w:ascii="Times New Roman" w:eastAsia="Times New Roman" w:hAnsi="Times New Roman" w:cs="Times New Roman"/>
            <w:sz w:val="24"/>
            <w:szCs w:val="24"/>
          </w:rPr>
          <w:t>(Buckland et al., 2021; Buckland and Kemps</w:t>
        </w:r>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2021)</w:t>
        </w:r>
      </w:hyperlink>
      <w:r>
        <w:rPr>
          <w:rFonts w:ascii="Times New Roman" w:eastAsia="Times New Roman" w:hAnsi="Times New Roman" w:cs="Times New Roman"/>
          <w:sz w:val="24"/>
          <w:szCs w:val="24"/>
        </w:rPr>
        <w:t xml:space="preserve">. Therefore, some strategies have been proposed to improve management of craving and food intake, e.g., cognitive training, food cue-exposure </w:t>
      </w:r>
      <w:hyperlink r:id="rId194">
        <w:r>
          <w:rPr>
            <w:rFonts w:ascii="Times New Roman" w:eastAsia="Times New Roman" w:hAnsi="Times New Roman" w:cs="Times New Roman"/>
            <w:sz w:val="24"/>
            <w:szCs w:val="24"/>
          </w:rPr>
          <w:t xml:space="preserve">(Schumacher et al. 2018; Sun and </w:t>
        </w:r>
        <w:proofErr w:type="spellStart"/>
        <w:r>
          <w:rPr>
            <w:rFonts w:ascii="Times New Roman" w:eastAsia="Times New Roman" w:hAnsi="Times New Roman" w:cs="Times New Roman"/>
            <w:sz w:val="24"/>
            <w:szCs w:val="24"/>
          </w:rPr>
          <w:t>Kober</w:t>
        </w:r>
        <w:proofErr w:type="spellEnd"/>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Wolz</w:t>
        </w:r>
        <w:proofErr w:type="spellEnd"/>
        <w:r>
          <w:rPr>
            <w:rFonts w:ascii="Times New Roman" w:eastAsia="Times New Roman" w:hAnsi="Times New Roman" w:cs="Times New Roman"/>
            <w:sz w:val="24"/>
            <w:szCs w:val="24"/>
          </w:rPr>
          <w:t xml:space="preserve"> et al., 2020)</w:t>
        </w:r>
      </w:hyperlink>
      <w:r>
        <w:rPr>
          <w:rFonts w:ascii="Times New Roman" w:eastAsia="Times New Roman" w:hAnsi="Times New Roman" w:cs="Times New Roman"/>
          <w:sz w:val="24"/>
          <w:szCs w:val="24"/>
        </w:rPr>
        <w:t>. However, future studies are needed to assess the effectiveness of interventions to manage cravings in people who are susceptible to increased energy consumption.</w:t>
      </w:r>
    </w:p>
    <w:p w14:paraId="0000015C" w14:textId="77777777" w:rsidR="00CB4215" w:rsidRDefault="00CB4215">
      <w:pPr>
        <w:spacing w:line="480" w:lineRule="auto"/>
        <w:rPr>
          <w:rFonts w:ascii="Times New Roman" w:eastAsia="Times New Roman" w:hAnsi="Times New Roman" w:cs="Times New Roman"/>
          <w:sz w:val="24"/>
          <w:szCs w:val="24"/>
        </w:rPr>
      </w:pPr>
    </w:p>
    <w:p w14:paraId="0000015D"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1.9.5 Emotional eating</w:t>
      </w:r>
    </w:p>
    <w:p w14:paraId="0000015E" w14:textId="34ADA906"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Emotional eating refers to the tendency to consume food as a response to negative emotions, with a preference for meals that are high in calories to eat </w:t>
      </w:r>
      <w:hyperlink r:id="rId195">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Konttinen</w:t>
        </w:r>
        <w:proofErr w:type="spellEnd"/>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2020)</w:t>
        </w:r>
      </w:hyperlink>
      <w:r>
        <w:rPr>
          <w:rFonts w:ascii="Times New Roman" w:eastAsia="Times New Roman" w:hAnsi="Times New Roman" w:cs="Times New Roman"/>
          <w:sz w:val="24"/>
          <w:szCs w:val="24"/>
        </w:rPr>
        <w:t xml:space="preserve">. Previous research indicates that individuals who score higher on emotional eating tend to have a higher BMI </w:t>
      </w:r>
      <w:hyperlink r:id="rId196">
        <w:r>
          <w:rPr>
            <w:rFonts w:ascii="Times New Roman" w:eastAsia="Times New Roman" w:hAnsi="Times New Roman" w:cs="Times New Roman"/>
            <w:sz w:val="24"/>
            <w:szCs w:val="24"/>
          </w:rPr>
          <w:t xml:space="preserve">(Bennett et al., 2013; </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2012; Greene et al., 2011; </w:t>
        </w:r>
        <w:proofErr w:type="spellStart"/>
        <w:r>
          <w:rPr>
            <w:rFonts w:ascii="Times New Roman" w:eastAsia="Times New Roman" w:hAnsi="Times New Roman" w:cs="Times New Roman"/>
            <w:sz w:val="24"/>
            <w:szCs w:val="24"/>
          </w:rPr>
          <w:t>Laitinen</w:t>
        </w:r>
        <w:proofErr w:type="spellEnd"/>
        <w:r>
          <w:rPr>
            <w:rFonts w:ascii="Times New Roman" w:eastAsia="Times New Roman" w:hAnsi="Times New Roman" w:cs="Times New Roman"/>
            <w:sz w:val="24"/>
            <w:szCs w:val="24"/>
          </w:rPr>
          <w:t xml:space="preserve"> et al., 2002; van </w:t>
        </w:r>
        <w:proofErr w:type="spellStart"/>
        <w:r>
          <w:rPr>
            <w:rFonts w:ascii="Times New Roman" w:eastAsia="Times New Roman" w:hAnsi="Times New Roman" w:cs="Times New Roman"/>
            <w:sz w:val="24"/>
            <w:szCs w:val="24"/>
          </w:rPr>
          <w:t>Strien</w:t>
        </w:r>
        <w:proofErr w:type="spellEnd"/>
        <w:r>
          <w:rPr>
            <w:rFonts w:ascii="Times New Roman" w:eastAsia="Times New Roman" w:hAnsi="Times New Roman" w:cs="Times New Roman"/>
            <w:sz w:val="24"/>
            <w:szCs w:val="24"/>
          </w:rPr>
          <w:t xml:space="preserve"> et al., 2009)</w:t>
        </w:r>
      </w:hyperlink>
      <w:r>
        <w:rPr>
          <w:rFonts w:ascii="Times New Roman" w:eastAsia="Times New Roman" w:hAnsi="Times New Roman" w:cs="Times New Roman"/>
          <w:sz w:val="24"/>
          <w:szCs w:val="24"/>
        </w:rPr>
        <w:t xml:space="preserve">. Furthermore, epidemiological studies have found that higher emotional eating scores are associated with increased consumption of energy-dense foods and snacks, including sweets and chocolate </w:t>
      </w:r>
      <w:hyperlink r:id="rId197">
        <w:r w:rsidRPr="00D03B56">
          <w:rPr>
            <w:rFonts w:ascii="Times New Roman" w:eastAsia="Times New Roman" w:hAnsi="Times New Roman" w:cs="Times New Roman"/>
            <w:sz w:val="24"/>
            <w:szCs w:val="24"/>
          </w:rPr>
          <w:t xml:space="preserve">(de Lauzon et al., 2004; </w:t>
        </w:r>
        <w:proofErr w:type="spellStart"/>
        <w:r w:rsidRPr="00D03B56">
          <w:rPr>
            <w:rFonts w:ascii="Times New Roman" w:eastAsia="Times New Roman" w:hAnsi="Times New Roman" w:cs="Times New Roman"/>
            <w:sz w:val="24"/>
            <w:szCs w:val="24"/>
          </w:rPr>
          <w:t>Elfhag</w:t>
        </w:r>
        <w:proofErr w:type="spellEnd"/>
        <w:r w:rsidRPr="00D03B56">
          <w:rPr>
            <w:rFonts w:ascii="Times New Roman" w:eastAsia="Times New Roman" w:hAnsi="Times New Roman" w:cs="Times New Roman"/>
            <w:sz w:val="24"/>
            <w:szCs w:val="24"/>
          </w:rPr>
          <w:t xml:space="preserve"> et al., 2008; </w:t>
        </w:r>
        <w:proofErr w:type="spellStart"/>
        <w:r w:rsidRPr="00D03B56">
          <w:rPr>
            <w:rFonts w:ascii="Times New Roman" w:eastAsia="Times New Roman" w:hAnsi="Times New Roman" w:cs="Times New Roman"/>
            <w:sz w:val="24"/>
            <w:szCs w:val="24"/>
          </w:rPr>
          <w:t>Konttinen</w:t>
        </w:r>
        <w:proofErr w:type="spellEnd"/>
        <w:r w:rsidRPr="00D03B56">
          <w:rPr>
            <w:rFonts w:ascii="Times New Roman" w:eastAsia="Times New Roman" w:hAnsi="Times New Roman" w:cs="Times New Roman"/>
            <w:sz w:val="24"/>
            <w:szCs w:val="24"/>
          </w:rPr>
          <w:t xml:space="preserve"> et al., 2010; </w:t>
        </w:r>
        <w:proofErr w:type="spellStart"/>
        <w:r w:rsidRPr="00D03B56">
          <w:rPr>
            <w:rFonts w:ascii="Times New Roman" w:eastAsia="Times New Roman" w:hAnsi="Times New Roman" w:cs="Times New Roman"/>
            <w:sz w:val="24"/>
            <w:szCs w:val="24"/>
          </w:rPr>
          <w:t>Paans</w:t>
        </w:r>
        <w:proofErr w:type="spellEnd"/>
        <w:r w:rsidRPr="00D03B56">
          <w:rPr>
            <w:rFonts w:ascii="Times New Roman" w:eastAsia="Times New Roman" w:hAnsi="Times New Roman" w:cs="Times New Roman"/>
            <w:sz w:val="24"/>
            <w:szCs w:val="24"/>
          </w:rPr>
          <w:t xml:space="preserve"> et al., 2019)</w:t>
        </w:r>
      </w:hyperlink>
      <w:r w:rsidRPr="00D03B56">
        <w:rPr>
          <w:rFonts w:ascii="Times New Roman" w:eastAsia="Times New Roman" w:hAnsi="Times New Roman" w:cs="Times New Roman"/>
          <w:sz w:val="24"/>
          <w:szCs w:val="24"/>
        </w:rPr>
        <w:t xml:space="preserve">. However, there is individual variability in responding to emotions </w:t>
      </w:r>
      <w:hyperlink r:id="rId198">
        <w:r w:rsidRPr="00D03B56">
          <w:rPr>
            <w:rFonts w:ascii="Times New Roman" w:eastAsia="Times New Roman" w:hAnsi="Times New Roman" w:cs="Times New Roman"/>
            <w:sz w:val="24"/>
            <w:szCs w:val="24"/>
          </w:rPr>
          <w:t>(Segerstrom and Smith</w:t>
        </w:r>
        <w:r w:rsidR="00AF61ED" w:rsidRPr="00D03B56">
          <w:rPr>
            <w:rFonts w:ascii="Times New Roman" w:eastAsia="Times New Roman" w:hAnsi="Times New Roman" w:cs="Times New Roman"/>
            <w:sz w:val="24"/>
            <w:szCs w:val="24"/>
          </w:rPr>
          <w:t>,</w:t>
        </w:r>
        <w:r w:rsidRPr="00D03B56">
          <w:rPr>
            <w:rFonts w:ascii="Times New Roman" w:eastAsia="Times New Roman" w:hAnsi="Times New Roman" w:cs="Times New Roman"/>
            <w:sz w:val="24"/>
            <w:szCs w:val="24"/>
          </w:rPr>
          <w:t xml:space="preserve"> 2019)</w:t>
        </w:r>
      </w:hyperlink>
      <w:r w:rsidRPr="00D03B56">
        <w:rPr>
          <w:rFonts w:ascii="Times New Roman" w:eastAsia="Times New Roman" w:hAnsi="Times New Roman" w:cs="Times New Roman"/>
          <w:sz w:val="24"/>
          <w:szCs w:val="24"/>
        </w:rPr>
        <w:t xml:space="preserve">. Emotional eating theory states that some people eat in response to negative emotions, such as anxiety, which increases the risk of overweight and obesity in the long-term </w:t>
      </w:r>
      <w:hyperlink r:id="rId199">
        <w:r w:rsidRPr="00D03B56">
          <w:rPr>
            <w:rFonts w:ascii="Times New Roman" w:eastAsia="Times New Roman" w:hAnsi="Times New Roman" w:cs="Times New Roman"/>
            <w:sz w:val="24"/>
            <w:szCs w:val="24"/>
          </w:rPr>
          <w:t>(Canetti et al., 2002)</w:t>
        </w:r>
      </w:hyperlink>
      <w:r w:rsidRPr="00D03B56">
        <w:rPr>
          <w:rFonts w:ascii="Times New Roman" w:eastAsia="Times New Roman" w:hAnsi="Times New Roman" w:cs="Times New Roman"/>
          <w:sz w:val="24"/>
          <w:szCs w:val="24"/>
        </w:rPr>
        <w:t>. In a study examining the effects of eating palatable chocolate on negative mood</w:t>
      </w:r>
      <w:r>
        <w:rPr>
          <w:rFonts w:ascii="Times New Roman" w:eastAsia="Times New Roman" w:hAnsi="Times New Roman" w:cs="Times New Roman"/>
          <w:sz w:val="24"/>
          <w:szCs w:val="24"/>
        </w:rPr>
        <w:t xml:space="preserve"> states, results indicated that eating palatable chocolate </w:t>
      </w:r>
      <w:r>
        <w:rPr>
          <w:rFonts w:ascii="Times New Roman" w:eastAsia="Times New Roman" w:hAnsi="Times New Roman" w:cs="Times New Roman"/>
          <w:sz w:val="24"/>
          <w:szCs w:val="24"/>
        </w:rPr>
        <w:lastRenderedPageBreak/>
        <w:t xml:space="preserve">led to a short-term decrease in negative mood, in contrast to eating unpalatable chocolate or abstaining from eating chocolate </w:t>
      </w:r>
      <w:hyperlink r:id="rId20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Macht</w:t>
        </w:r>
        <w:proofErr w:type="spellEnd"/>
        <w:r>
          <w:rPr>
            <w:rFonts w:ascii="Times New Roman" w:eastAsia="Times New Roman" w:hAnsi="Times New Roman" w:cs="Times New Roman"/>
            <w:sz w:val="24"/>
            <w:szCs w:val="24"/>
          </w:rPr>
          <w:t xml:space="preserve"> and Mueller</w:t>
        </w:r>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2007)</w:t>
        </w:r>
      </w:hyperlink>
      <w:r>
        <w:rPr>
          <w:rFonts w:ascii="Times New Roman" w:eastAsia="Times New Roman" w:hAnsi="Times New Roman" w:cs="Times New Roman"/>
          <w:sz w:val="24"/>
          <w:szCs w:val="24"/>
        </w:rPr>
        <w:t xml:space="preserve">. Negative emotions have been associated with high-calorie, low-nutrient food choices </w:t>
      </w:r>
      <w:hyperlink r:id="rId201">
        <w:r>
          <w:rPr>
            <w:rFonts w:ascii="Times New Roman" w:eastAsia="Times New Roman" w:hAnsi="Times New Roman" w:cs="Times New Roman"/>
            <w:sz w:val="24"/>
            <w:szCs w:val="24"/>
          </w:rPr>
          <w:t>(Hill et al., 2018; Moss et al., 2021; Oliver and Wardle</w:t>
        </w:r>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1999)</w:t>
        </w:r>
      </w:hyperlink>
      <w:r>
        <w:rPr>
          <w:rFonts w:ascii="Times New Roman" w:eastAsia="Times New Roman" w:hAnsi="Times New Roman" w:cs="Times New Roman"/>
          <w:sz w:val="24"/>
          <w:szCs w:val="24"/>
        </w:rPr>
        <w:t xml:space="preserve">. In addition, positive emotions can promote the consumption of nutritious foods such as fruit </w:t>
      </w:r>
      <w:hyperlink r:id="rId202">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Macht</w:t>
        </w:r>
        <w:proofErr w:type="spellEnd"/>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2008)</w:t>
        </w:r>
      </w:hyperlink>
      <w:r>
        <w:rPr>
          <w:rFonts w:ascii="Times New Roman" w:eastAsia="Times New Roman" w:hAnsi="Times New Roman" w:cs="Times New Roman"/>
          <w:sz w:val="24"/>
          <w:szCs w:val="24"/>
        </w:rPr>
        <w:t xml:space="preserve">. Differently, some people eat less in response to negative emotions </w:t>
      </w:r>
      <w:hyperlink r:id="rId20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Bjørklund</w:t>
        </w:r>
        <w:proofErr w:type="spellEnd"/>
        <w:r>
          <w:rPr>
            <w:rFonts w:ascii="Times New Roman" w:eastAsia="Times New Roman" w:hAnsi="Times New Roman" w:cs="Times New Roman"/>
            <w:sz w:val="24"/>
            <w:szCs w:val="24"/>
          </w:rPr>
          <w:t xml:space="preserve"> et al., 2019)</w:t>
        </w:r>
      </w:hyperlink>
      <w:r>
        <w:rPr>
          <w:rFonts w:ascii="Times New Roman" w:eastAsia="Times New Roman" w:hAnsi="Times New Roman" w:cs="Times New Roman"/>
          <w:sz w:val="24"/>
          <w:szCs w:val="24"/>
        </w:rPr>
        <w:t xml:space="preserve">. This highlights the significance of emotion regulation, which is characterised as the ability to identify, understand and accept emotions in order to restrain impulsive actions and pursue long-term goals despite the presence of negative emotions; and to adaptably use emotion regulation strategies to adjust emotional responses in order to achieve such goals </w:t>
      </w:r>
      <w:hyperlink r:id="rId204">
        <w:r>
          <w:rPr>
            <w:rFonts w:ascii="Times New Roman" w:eastAsia="Times New Roman" w:hAnsi="Times New Roman" w:cs="Times New Roman"/>
            <w:sz w:val="24"/>
            <w:szCs w:val="24"/>
          </w:rPr>
          <w:t>(Gratz and Roemer</w:t>
        </w:r>
        <w:r w:rsidR="00AF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2004)</w:t>
        </w:r>
      </w:hyperlink>
      <w:r>
        <w:rPr>
          <w:rFonts w:ascii="Times New Roman" w:eastAsia="Times New Roman" w:hAnsi="Times New Roman" w:cs="Times New Roman"/>
          <w:sz w:val="24"/>
          <w:szCs w:val="24"/>
        </w:rPr>
        <w:t>. Therefore, emotions and emotion regulation are crucial factors that influence eating behaviour.</w:t>
      </w:r>
    </w:p>
    <w:p w14:paraId="0000015F" w14:textId="77777777" w:rsidR="00CB4215" w:rsidRPr="005866C5" w:rsidRDefault="00CB4215">
      <w:pPr>
        <w:spacing w:line="480" w:lineRule="auto"/>
        <w:rPr>
          <w:rFonts w:ascii="Times New Roman" w:eastAsiaTheme="minorEastAsia" w:hAnsi="Times New Roman" w:cs="Times New Roman"/>
          <w:sz w:val="24"/>
          <w:szCs w:val="24"/>
        </w:rPr>
      </w:pPr>
    </w:p>
    <w:p w14:paraId="00000160" w14:textId="77777777" w:rsidR="00CB4215" w:rsidRDefault="000530B4">
      <w:pPr>
        <w:pStyle w:val="Heading3"/>
        <w:spacing w:line="480" w:lineRule="auto"/>
        <w:rPr>
          <w:rFonts w:ascii="Times New Roman" w:eastAsia="Times New Roman" w:hAnsi="Times New Roman" w:cs="Times New Roman"/>
          <w:b/>
          <w:color w:val="000000"/>
        </w:rPr>
      </w:pPr>
      <w:bookmarkStart w:id="23" w:name="_Toc172984778"/>
      <w:r>
        <w:rPr>
          <w:rFonts w:ascii="Times New Roman" w:eastAsia="Times New Roman" w:hAnsi="Times New Roman" w:cs="Times New Roman"/>
          <w:b/>
          <w:color w:val="000000"/>
        </w:rPr>
        <w:t>1.10 Eating behaviour traits, meal patterns and weight loss</w:t>
      </w:r>
      <w:bookmarkEnd w:id="23"/>
      <w:r>
        <w:rPr>
          <w:rFonts w:ascii="Times New Roman" w:eastAsia="Times New Roman" w:hAnsi="Times New Roman" w:cs="Times New Roman"/>
          <w:b/>
          <w:color w:val="000000"/>
        </w:rPr>
        <w:t xml:space="preserve"> </w:t>
      </w:r>
    </w:p>
    <w:p w14:paraId="00000161" w14:textId="5DBF5562"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Eating behaviour traits are in the role of food choice and influence weight loss outcomes </w:t>
      </w:r>
      <w:hyperlink r:id="rId205">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Bellisle</w:t>
        </w:r>
        <w:proofErr w:type="spellEnd"/>
        <w:r w:rsidR="005866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2003)</w:t>
        </w:r>
      </w:hyperlink>
      <w:r>
        <w:rPr>
          <w:rFonts w:ascii="Times New Roman" w:eastAsia="Times New Roman" w:hAnsi="Times New Roman" w:cs="Times New Roman"/>
          <w:sz w:val="24"/>
          <w:szCs w:val="24"/>
        </w:rPr>
        <w:t xml:space="preserve">. Studies have indicated that those who successfully maintained weight loss showed decreased levels of disinhibition </w:t>
      </w:r>
      <w:hyperlink r:id="rId206">
        <w:r>
          <w:rPr>
            <w:rFonts w:ascii="Times New Roman" w:eastAsia="Times New Roman" w:hAnsi="Times New Roman" w:cs="Times New Roman"/>
            <w:sz w:val="24"/>
            <w:szCs w:val="24"/>
          </w:rPr>
          <w:t xml:space="preserve">(Karlsson et al., 1994; Foster et al., 1998; </w:t>
        </w:r>
        <w:proofErr w:type="spellStart"/>
        <w:r>
          <w:rPr>
            <w:rFonts w:ascii="Times New Roman" w:eastAsia="Times New Roman" w:hAnsi="Times New Roman" w:cs="Times New Roman"/>
            <w:sz w:val="24"/>
            <w:szCs w:val="24"/>
          </w:rPr>
          <w:t>Pekkarinen</w:t>
        </w:r>
        <w:proofErr w:type="spellEnd"/>
        <w:r>
          <w:rPr>
            <w:rFonts w:ascii="Times New Roman" w:eastAsia="Times New Roman" w:hAnsi="Times New Roman" w:cs="Times New Roman"/>
            <w:sz w:val="24"/>
            <w:szCs w:val="24"/>
          </w:rPr>
          <w:t xml:space="preserve"> et al., 1996)</w:t>
        </w:r>
      </w:hyperlink>
      <w:r>
        <w:rPr>
          <w:rFonts w:ascii="Times New Roman" w:eastAsia="Times New Roman" w:hAnsi="Times New Roman" w:cs="Times New Roman"/>
          <w:sz w:val="24"/>
          <w:szCs w:val="24"/>
        </w:rPr>
        <w:t xml:space="preserve">, increased levels of restraint and reduced in susceptibility to hunger (Karlsson et al., 1994; McGuire et al., 1999). For example, </w:t>
      </w:r>
      <w:proofErr w:type="spellStart"/>
      <w:r>
        <w:rPr>
          <w:rFonts w:ascii="Times New Roman" w:eastAsia="Times New Roman" w:hAnsi="Times New Roman" w:cs="Times New Roman"/>
          <w:sz w:val="24"/>
          <w:szCs w:val="24"/>
        </w:rPr>
        <w:t>Filiatrault</w:t>
      </w:r>
      <w:proofErr w:type="spellEnd"/>
      <w:r>
        <w:rPr>
          <w:rFonts w:ascii="Times New Roman" w:eastAsia="Times New Roman" w:hAnsi="Times New Roman" w:cs="Times New Roman"/>
          <w:sz w:val="24"/>
          <w:szCs w:val="24"/>
        </w:rPr>
        <w:t xml:space="preserve"> and colleagues (2014) explored the associations between eating behaviour traits assessed by Three Factor Eating Questionnaire (TFEQ) and weight loss in 150 adults with overweight and obesity. The results showed baseline eating behaviour traits were modest predictors of weight-loss success, yet they were all significantly associated with their changes during the weight-loss intervention. In terms of changes in eating behaviour traits, there was an increase in dietary restraint and a decrease in disinhibition after the weight loss programme. One explanation could be that </w:t>
      </w:r>
      <w:r>
        <w:rPr>
          <w:rFonts w:ascii="Times New Roman" w:eastAsia="Times New Roman" w:hAnsi="Times New Roman" w:cs="Times New Roman"/>
          <w:sz w:val="24"/>
          <w:szCs w:val="24"/>
        </w:rPr>
        <w:lastRenderedPageBreak/>
        <w:t xml:space="preserve">individuals with higher levels of disinhibition at baseline received individualised dietary advice from the dietician, which encouraged greater control over food consumption and improved adherence to the dietary plan. Consistently, </w:t>
      </w:r>
      <w:proofErr w:type="spellStart"/>
      <w:r>
        <w:rPr>
          <w:rFonts w:ascii="Times New Roman" w:eastAsia="Times New Roman" w:hAnsi="Times New Roman" w:cs="Times New Roman"/>
          <w:sz w:val="24"/>
          <w:szCs w:val="24"/>
        </w:rPr>
        <w:t>Keranen</w:t>
      </w:r>
      <w:proofErr w:type="spellEnd"/>
      <w:r>
        <w:rPr>
          <w:rFonts w:ascii="Times New Roman" w:eastAsia="Times New Roman" w:hAnsi="Times New Roman" w:cs="Times New Roman"/>
          <w:sz w:val="24"/>
          <w:szCs w:val="24"/>
        </w:rPr>
        <w:t xml:space="preserve"> et al. (2009) found that people with higher scores on cognitive restraint and lower on disinhibition were more likely to maintain weight loss in the long term. Consequently, it is essential to evaluate the influence of further dietary interventions on eating behaviour traits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develop strategies for the long-term management of obesity.</w:t>
      </w:r>
    </w:p>
    <w:p w14:paraId="00000162" w14:textId="77777777" w:rsidR="00CB4215" w:rsidRDefault="00CB4215">
      <w:pPr>
        <w:spacing w:line="480" w:lineRule="auto"/>
        <w:rPr>
          <w:rFonts w:ascii="Times New Roman" w:eastAsia="Times New Roman" w:hAnsi="Times New Roman" w:cs="Times New Roman"/>
          <w:sz w:val="24"/>
          <w:szCs w:val="24"/>
        </w:rPr>
      </w:pPr>
    </w:p>
    <w:p w14:paraId="00000163"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the associations between eating behaviour traits and weight loss provides critical insights into the psychological determinants of dietary success. These insights are further enriched by examining the impact of meal patterns on weight loss. Although daily calorie restriction is widely used, alternative strategies, such as intermittent fasting (mentioned in section 1.6.2), are becoming increasingly recognised. A systematic review of 40 studies on intermittent fasting demonstrated significant reductions in body weight and fat mass, as well as improvements in glucose homeostasis </w:t>
      </w:r>
      <w:hyperlink r:id="rId20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Seimon</w:t>
        </w:r>
        <w:proofErr w:type="spellEnd"/>
        <w:r>
          <w:rPr>
            <w:rFonts w:ascii="Times New Roman" w:eastAsia="Times New Roman" w:hAnsi="Times New Roman" w:cs="Times New Roman"/>
            <w:sz w:val="24"/>
            <w:szCs w:val="24"/>
          </w:rPr>
          <w:t xml:space="preserve"> et al., 2015)</w:t>
        </w:r>
      </w:hyperlink>
      <w:r>
        <w:rPr>
          <w:rFonts w:ascii="Times New Roman" w:eastAsia="Times New Roman" w:hAnsi="Times New Roman" w:cs="Times New Roman"/>
          <w:sz w:val="24"/>
          <w:szCs w:val="24"/>
        </w:rPr>
        <w:t xml:space="preserve">. Intermittent fasting often involves three categories: alternate day fasting, whole-day fasting, and time-restricted feeding </w:t>
      </w:r>
      <w:hyperlink r:id="rId208">
        <w:r>
          <w:rPr>
            <w:rFonts w:ascii="Times New Roman" w:eastAsia="Times New Roman" w:hAnsi="Times New Roman" w:cs="Times New Roman"/>
            <w:sz w:val="24"/>
            <w:szCs w:val="24"/>
          </w:rPr>
          <w:t>(Welton et al., 2020)</w:t>
        </w:r>
      </w:hyperlink>
      <w:r>
        <w:rPr>
          <w:rFonts w:ascii="Times New Roman" w:eastAsia="Times New Roman" w:hAnsi="Times New Roman" w:cs="Times New Roman"/>
          <w:sz w:val="24"/>
          <w:szCs w:val="24"/>
        </w:rPr>
        <w:t xml:space="preserve">. Alternate day fasting is a dietary approach in which individuals alternate between days of unrestricted eating and days of fasting. On fasting days, people typically eat a single meal that provides about 25% of their daily calorie needs </w:t>
      </w:r>
      <w:hyperlink r:id="rId209">
        <w:r>
          <w:rPr>
            <w:rFonts w:ascii="Times New Roman" w:eastAsia="Times New Roman" w:hAnsi="Times New Roman" w:cs="Times New Roman"/>
            <w:sz w:val="24"/>
            <w:szCs w:val="24"/>
          </w:rPr>
          <w:t>(Tinsley and La Bounty 2015)</w:t>
        </w:r>
      </w:hyperlink>
      <w:r>
        <w:rPr>
          <w:rFonts w:ascii="Times New Roman" w:eastAsia="Times New Roman" w:hAnsi="Times New Roman" w:cs="Times New Roman"/>
          <w:sz w:val="24"/>
          <w:szCs w:val="24"/>
        </w:rPr>
        <w:t xml:space="preserve">. Whole-day fasting is a simple form of intermittent fasting in which a person fasts completely for 1 to 2 days a week and eats unrestrictedly on the remaining days </w:t>
      </w:r>
      <w:hyperlink r:id="rId210">
        <w:r>
          <w:rPr>
            <w:rFonts w:ascii="Times New Roman" w:eastAsia="Times New Roman" w:hAnsi="Times New Roman" w:cs="Times New Roman"/>
            <w:sz w:val="24"/>
            <w:szCs w:val="24"/>
          </w:rPr>
          <w:t>(Brown et al., 2013)</w:t>
        </w:r>
      </w:hyperlink>
      <w:r>
        <w:rPr>
          <w:rFonts w:ascii="Times New Roman" w:eastAsia="Times New Roman" w:hAnsi="Times New Roman" w:cs="Times New Roman"/>
          <w:sz w:val="24"/>
          <w:szCs w:val="24"/>
        </w:rPr>
        <w:t xml:space="preserve">. Time-restricted eating, which is defined as limiting eating to a specific time window, thereby prolonging the fasting period, has also been related to weight reduction (Huang et al., 2023; </w:t>
      </w:r>
      <w:proofErr w:type="spellStart"/>
      <w:r>
        <w:rPr>
          <w:rFonts w:ascii="Times New Roman" w:eastAsia="Times New Roman" w:hAnsi="Times New Roman" w:cs="Times New Roman"/>
          <w:sz w:val="24"/>
          <w:szCs w:val="24"/>
        </w:rPr>
        <w:t>Adafer</w:t>
      </w:r>
      <w:proofErr w:type="spellEnd"/>
      <w:r>
        <w:rPr>
          <w:rFonts w:ascii="Times New Roman" w:eastAsia="Times New Roman" w:hAnsi="Times New Roman" w:cs="Times New Roman"/>
          <w:sz w:val="24"/>
          <w:szCs w:val="24"/>
        </w:rPr>
        <w:t xml:space="preserve"> et al., 2020; Moon et al., 2020). For instance, a randomised controlled trial in adults with overweight or obesity indicated that participants </w:t>
      </w:r>
      <w:r>
        <w:rPr>
          <w:rFonts w:ascii="Times New Roman" w:eastAsia="Times New Roman" w:hAnsi="Times New Roman" w:cs="Times New Roman"/>
          <w:sz w:val="24"/>
          <w:szCs w:val="24"/>
        </w:rPr>
        <w:lastRenderedPageBreak/>
        <w:t>in a time-restricted eating group who were instructed to eat during an 8-hour window showed greater weight loss and consumed earlier meals than a non-time restricted eating group who followed typical eating habits (Simon et al., 2022). Traditional time-restricted eating often aligns with daylight hours, but late evening eating has the potential to extend the eating window to later in the day and reduce the fasting period. Therefore, other strategies should be considered, such as meal timing.</w:t>
      </w:r>
    </w:p>
    <w:p w14:paraId="00000164" w14:textId="77777777" w:rsidR="00CB4215" w:rsidRDefault="00CB4215">
      <w:pPr>
        <w:spacing w:line="480" w:lineRule="auto"/>
        <w:rPr>
          <w:rFonts w:ascii="Times New Roman" w:eastAsia="Times New Roman" w:hAnsi="Times New Roman" w:cs="Times New Roman"/>
          <w:sz w:val="24"/>
          <w:szCs w:val="24"/>
        </w:rPr>
      </w:pPr>
    </w:p>
    <w:p w14:paraId="00000165" w14:textId="6ED63A52" w:rsidR="00CB4215" w:rsidRPr="00D03B56"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Meal timing involves the time of day that individuals eat meals and snacks, and some people eat foods at strategic times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achieve specific outcomes (See more details in Chapter 2) (Calle et al., 2003). To date, some evidence has shown that eating meals later in the day is associated with an increased BMI and poorer weight loss outcomes (e.g.,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Metabolic mechanisms may partly explain the relationship between later meal timing and increased BMI. Postprandial metabolic processes, such as the rate of gastric emptying and postprandial energy expenditure, are deregulated in the evening compared with in the morning (Morris et al., 2015). Moreover, late eating is associated with a lower thermic effect of food (Shaw </w:t>
      </w:r>
      <w:r w:rsidRPr="00D03B56">
        <w:rPr>
          <w:rFonts w:ascii="Times New Roman" w:eastAsia="Times New Roman" w:hAnsi="Times New Roman" w:cs="Times New Roman"/>
          <w:sz w:val="24"/>
          <w:szCs w:val="24"/>
        </w:rPr>
        <w:t xml:space="preserve">et al., 2019), reduced fat mobilisation and oxidation (Gu et al., 2020) (See more details in Chapter 2). The timing of food consumption is increasingly recognised as a factor that could potentially contribute to </w:t>
      </w:r>
      <w:r w:rsidR="006C51FD" w:rsidRPr="00D03B56">
        <w:rPr>
          <w:rFonts w:ascii="Times New Roman" w:eastAsia="Times New Roman" w:hAnsi="Times New Roman" w:cs="Times New Roman"/>
          <w:sz w:val="24"/>
          <w:szCs w:val="24"/>
        </w:rPr>
        <w:t>obesity;</w:t>
      </w:r>
      <w:r w:rsidRPr="00D03B56">
        <w:rPr>
          <w:rFonts w:ascii="Times New Roman" w:eastAsia="Times New Roman" w:hAnsi="Times New Roman" w:cs="Times New Roman"/>
          <w:sz w:val="24"/>
          <w:szCs w:val="24"/>
        </w:rPr>
        <w:t xml:space="preserve"> thus, more research is needed.</w:t>
      </w:r>
      <w:r w:rsidR="00BA6A27" w:rsidRPr="00D03B56">
        <w:rPr>
          <w:rFonts w:ascii="Times New Roman" w:eastAsia="Times New Roman" w:hAnsi="Times New Roman" w:cs="Times New Roman"/>
          <w:sz w:val="24"/>
          <w:szCs w:val="24"/>
        </w:rPr>
        <w:t xml:space="preserve"> </w:t>
      </w:r>
    </w:p>
    <w:p w14:paraId="2B885B3E" w14:textId="29213251" w:rsidR="00BA6A27" w:rsidRPr="00D03B56" w:rsidRDefault="00BA6A27">
      <w:pPr>
        <w:spacing w:line="480" w:lineRule="auto"/>
        <w:rPr>
          <w:rFonts w:ascii="Times New Roman" w:eastAsia="Times New Roman" w:hAnsi="Times New Roman" w:cs="Times New Roman"/>
          <w:sz w:val="24"/>
          <w:szCs w:val="24"/>
        </w:rPr>
      </w:pPr>
    </w:p>
    <w:p w14:paraId="767EEABD" w14:textId="1E095C60" w:rsidR="004E4E15" w:rsidRPr="004E7DB2" w:rsidRDefault="000D363C">
      <w:pPr>
        <w:spacing w:line="480" w:lineRule="auto"/>
        <w:rPr>
          <w:rFonts w:ascii="Times New Roman" w:eastAsiaTheme="minorEastAsia" w:hAnsi="Times New Roman" w:cs="Times New Roman"/>
          <w:sz w:val="24"/>
          <w:szCs w:val="24"/>
        </w:rPr>
      </w:pPr>
      <w:r w:rsidRPr="00D03B56">
        <w:rPr>
          <w:rFonts w:ascii="Times New Roman" w:eastAsiaTheme="minorEastAsia" w:hAnsi="Times New Roman" w:cs="Times New Roman"/>
          <w:sz w:val="24"/>
          <w:szCs w:val="24"/>
        </w:rPr>
        <w:t>Specifically, t</w:t>
      </w:r>
      <w:r w:rsidR="00522B89" w:rsidRPr="00D03B56">
        <w:rPr>
          <w:rFonts w:ascii="Times New Roman" w:eastAsiaTheme="minorEastAsia" w:hAnsi="Times New Roman" w:cs="Times New Roman"/>
          <w:sz w:val="24"/>
          <w:szCs w:val="24"/>
        </w:rPr>
        <w:t xml:space="preserve">his thesis focuses on late eating, described as eating later in the evening, but it is necessary to briefly discuss night eating syndrome (NES) in the wider context of meal timing research. The Diagnostic and Statistical Manual of Mental Disorders (DSM-5) classifies Night Eating Syndrome (NES) as an "other specified feeding or eating disorder".  Night Eating Syndrome is defined as the consumption of 25% or more of an individual's daily </w:t>
      </w:r>
      <w:r w:rsidR="00522B89" w:rsidRPr="00D03B56">
        <w:rPr>
          <w:rFonts w:ascii="Times New Roman" w:eastAsiaTheme="minorEastAsia" w:hAnsi="Times New Roman" w:cs="Times New Roman"/>
          <w:sz w:val="24"/>
          <w:szCs w:val="24"/>
        </w:rPr>
        <w:lastRenderedPageBreak/>
        <w:t xml:space="preserve">food intake after the evening meal, nocturnal awakenings to eat accompanied by the belief that eating will allow individuals to return to sleep and reduce hunger in the morning </w:t>
      </w:r>
      <w:r w:rsidR="00F2797C" w:rsidRPr="00D03B56">
        <w:rPr>
          <w:rFonts w:ascii="Times New Roman" w:eastAsiaTheme="minorEastAsia" w:hAnsi="Times New Roman" w:cs="Times New Roman"/>
          <w:sz w:val="24"/>
          <w:szCs w:val="24"/>
        </w:rPr>
        <w:t xml:space="preserve">(Allison et al., 2010; </w:t>
      </w:r>
      <w:proofErr w:type="spellStart"/>
      <w:r w:rsidR="00F2797C" w:rsidRPr="00D03B56">
        <w:rPr>
          <w:rFonts w:ascii="Times New Roman" w:eastAsiaTheme="minorEastAsia" w:hAnsi="Times New Roman" w:cs="Times New Roman"/>
          <w:sz w:val="24"/>
          <w:szCs w:val="24"/>
        </w:rPr>
        <w:t>Stunkard</w:t>
      </w:r>
      <w:proofErr w:type="spellEnd"/>
      <w:r w:rsidR="00F2797C" w:rsidRPr="00D03B56">
        <w:rPr>
          <w:rFonts w:ascii="Times New Roman" w:eastAsiaTheme="minorEastAsia" w:hAnsi="Times New Roman" w:cs="Times New Roman"/>
          <w:sz w:val="24"/>
          <w:szCs w:val="24"/>
        </w:rPr>
        <w:t xml:space="preserve"> et al., 1955). </w:t>
      </w:r>
      <w:r w:rsidR="00524523" w:rsidRPr="00D03B56">
        <w:rPr>
          <w:rFonts w:ascii="Times New Roman" w:eastAsiaTheme="minorEastAsia" w:hAnsi="Times New Roman" w:cs="Times New Roman"/>
          <w:sz w:val="24"/>
          <w:szCs w:val="24"/>
        </w:rPr>
        <w:t>Night eating syndrome</w:t>
      </w:r>
      <w:r w:rsidR="00E7113C" w:rsidRPr="00D03B56">
        <w:rPr>
          <w:rFonts w:ascii="Times New Roman" w:eastAsiaTheme="minorEastAsia" w:hAnsi="Times New Roman" w:cs="Times New Roman"/>
          <w:sz w:val="24"/>
          <w:szCs w:val="24"/>
        </w:rPr>
        <w:t xml:space="preserve"> is inconsistently </w:t>
      </w:r>
      <w:r w:rsidR="00522B89" w:rsidRPr="00D03B56">
        <w:rPr>
          <w:rFonts w:ascii="Times New Roman" w:eastAsiaTheme="minorEastAsia" w:hAnsi="Times New Roman" w:cs="Times New Roman"/>
          <w:sz w:val="24"/>
          <w:szCs w:val="24"/>
        </w:rPr>
        <w:t>related to</w:t>
      </w:r>
      <w:r w:rsidR="00E7113C" w:rsidRPr="00D03B56">
        <w:rPr>
          <w:rFonts w:ascii="Times New Roman" w:eastAsiaTheme="minorEastAsia" w:hAnsi="Times New Roman" w:cs="Times New Roman"/>
          <w:sz w:val="24"/>
          <w:szCs w:val="24"/>
        </w:rPr>
        <w:t xml:space="preserve"> </w:t>
      </w:r>
      <w:r w:rsidR="00522B89" w:rsidRPr="00D03B56">
        <w:rPr>
          <w:rFonts w:ascii="Times New Roman" w:eastAsiaTheme="minorEastAsia" w:hAnsi="Times New Roman" w:cs="Times New Roman"/>
          <w:sz w:val="24"/>
          <w:szCs w:val="24"/>
        </w:rPr>
        <w:t>higher</w:t>
      </w:r>
      <w:r w:rsidR="00E7113C" w:rsidRPr="00D03B56">
        <w:rPr>
          <w:rFonts w:ascii="Times New Roman" w:eastAsiaTheme="minorEastAsia" w:hAnsi="Times New Roman" w:cs="Times New Roman"/>
          <w:sz w:val="24"/>
          <w:szCs w:val="24"/>
        </w:rPr>
        <w:t xml:space="preserve"> BMI, </w:t>
      </w:r>
      <w:r w:rsidR="00522B89" w:rsidRPr="00D03B56">
        <w:rPr>
          <w:rFonts w:ascii="Times New Roman" w:eastAsiaTheme="minorEastAsia" w:hAnsi="Times New Roman" w:cs="Times New Roman"/>
          <w:sz w:val="24"/>
          <w:szCs w:val="24"/>
        </w:rPr>
        <w:t xml:space="preserve">potentially influenced by age and emotional eating as moderating factors </w:t>
      </w:r>
      <w:r w:rsidR="00E7113C" w:rsidRPr="00D03B56">
        <w:rPr>
          <w:rFonts w:ascii="Times New Roman" w:eastAsiaTheme="minorEastAsia" w:hAnsi="Times New Roman" w:cs="Times New Roman"/>
          <w:sz w:val="24"/>
          <w:szCs w:val="24"/>
        </w:rPr>
        <w:t>(</w:t>
      </w:r>
      <w:proofErr w:type="spellStart"/>
      <w:r w:rsidR="00E7113C" w:rsidRPr="00D03B56">
        <w:rPr>
          <w:rFonts w:ascii="Times New Roman" w:eastAsiaTheme="minorEastAsia" w:hAnsi="Times New Roman" w:cs="Times New Roman"/>
          <w:sz w:val="24"/>
          <w:szCs w:val="24"/>
        </w:rPr>
        <w:t>Bruzas</w:t>
      </w:r>
      <w:proofErr w:type="spellEnd"/>
      <w:r w:rsidR="00E7113C" w:rsidRPr="00D03B56">
        <w:rPr>
          <w:rFonts w:ascii="Times New Roman" w:eastAsiaTheme="minorEastAsia" w:hAnsi="Times New Roman" w:cs="Times New Roman"/>
          <w:sz w:val="24"/>
          <w:szCs w:val="24"/>
        </w:rPr>
        <w:t xml:space="preserve"> </w:t>
      </w:r>
      <w:r w:rsidR="00373CDD" w:rsidRPr="00D03B56">
        <w:rPr>
          <w:rFonts w:ascii="Times New Roman" w:eastAsiaTheme="minorEastAsia" w:hAnsi="Times New Roman" w:cs="Times New Roman"/>
          <w:sz w:val="24"/>
          <w:szCs w:val="24"/>
        </w:rPr>
        <w:t>and</w:t>
      </w:r>
      <w:r w:rsidR="00E7113C" w:rsidRPr="00D03B56">
        <w:rPr>
          <w:rFonts w:ascii="Times New Roman" w:eastAsiaTheme="minorEastAsia" w:hAnsi="Times New Roman" w:cs="Times New Roman"/>
          <w:sz w:val="24"/>
          <w:szCs w:val="24"/>
        </w:rPr>
        <w:t xml:space="preserve"> Allison, 2019).</w:t>
      </w:r>
      <w:r w:rsidR="00522B89" w:rsidRPr="00D03B56">
        <w:rPr>
          <w:rFonts w:ascii="Times New Roman" w:eastAsiaTheme="minorEastAsia" w:hAnsi="Times New Roman" w:cs="Times New Roman"/>
          <w:sz w:val="24"/>
          <w:szCs w:val="24"/>
        </w:rPr>
        <w:t xml:space="preserve"> </w:t>
      </w:r>
      <w:r w:rsidR="006548C7" w:rsidRPr="00D03B56">
        <w:rPr>
          <w:rFonts w:ascii="Times New Roman" w:eastAsiaTheme="minorEastAsia" w:hAnsi="Times New Roman" w:cs="Times New Roman"/>
          <w:sz w:val="24"/>
          <w:szCs w:val="24"/>
        </w:rPr>
        <w:t xml:space="preserve">However, people with obesity have been found to have poorer weight loss if they have night eating syndrome </w:t>
      </w:r>
      <w:r w:rsidR="00E7113C" w:rsidRPr="00D03B56">
        <w:rPr>
          <w:rFonts w:ascii="Times New Roman" w:eastAsiaTheme="minorEastAsia" w:hAnsi="Times New Roman" w:cs="Times New Roman"/>
          <w:sz w:val="24"/>
          <w:szCs w:val="24"/>
        </w:rPr>
        <w:t xml:space="preserve">(Gluck et al., 2001). </w:t>
      </w:r>
      <w:r w:rsidR="00FC5891" w:rsidRPr="00D03B56">
        <w:rPr>
          <w:rFonts w:ascii="Times New Roman" w:eastAsiaTheme="minorEastAsia" w:hAnsi="Times New Roman" w:cs="Times New Roman"/>
          <w:sz w:val="24"/>
          <w:szCs w:val="24"/>
        </w:rPr>
        <w:t xml:space="preserve">In addition, </w:t>
      </w:r>
      <w:proofErr w:type="spellStart"/>
      <w:r w:rsidR="00FC5891" w:rsidRPr="00D03B56">
        <w:rPr>
          <w:rFonts w:ascii="Times New Roman" w:eastAsiaTheme="minorEastAsia" w:hAnsi="Times New Roman" w:cs="Times New Roman"/>
          <w:sz w:val="24"/>
          <w:szCs w:val="24"/>
        </w:rPr>
        <w:t>Wichianson</w:t>
      </w:r>
      <w:proofErr w:type="spellEnd"/>
      <w:r w:rsidR="00FC5891" w:rsidRPr="00D03B56">
        <w:rPr>
          <w:rFonts w:ascii="Times New Roman" w:eastAsiaTheme="minorEastAsia" w:hAnsi="Times New Roman" w:cs="Times New Roman"/>
          <w:sz w:val="24"/>
          <w:szCs w:val="24"/>
        </w:rPr>
        <w:t xml:space="preserve"> et al</w:t>
      </w:r>
      <w:r w:rsidR="0031376D" w:rsidRPr="00D03B56">
        <w:rPr>
          <w:rFonts w:ascii="Times New Roman" w:eastAsiaTheme="minorEastAsia" w:hAnsi="Times New Roman" w:cs="Times New Roman"/>
          <w:sz w:val="24"/>
          <w:szCs w:val="24"/>
        </w:rPr>
        <w:t>.</w:t>
      </w:r>
      <w:r w:rsidR="00FC5891" w:rsidRPr="00D03B56">
        <w:rPr>
          <w:rFonts w:ascii="Times New Roman" w:eastAsiaTheme="minorEastAsia" w:hAnsi="Times New Roman" w:cs="Times New Roman"/>
          <w:sz w:val="24"/>
          <w:szCs w:val="24"/>
        </w:rPr>
        <w:t xml:space="preserve"> (2009) investigated the associations between perceived stress and Night Eating Syndrome among college students. Moderation analyses indicated that the association between perceived stress and Night Eating Syndrome was more pronounced among individuals engaging in less adaptive coping strategies (e.g., substance use, self-distraction, and self-blame) than among those engaging in more adaptive coping strategies (e.g., emotional support, positive reframing, and active coping). </w:t>
      </w:r>
      <w:r w:rsidR="00C630F7" w:rsidRPr="00D03B56">
        <w:rPr>
          <w:rFonts w:ascii="Times New Roman" w:eastAsiaTheme="minorEastAsia" w:hAnsi="Times New Roman" w:cs="Times New Roman"/>
          <w:sz w:val="24"/>
          <w:szCs w:val="24"/>
        </w:rPr>
        <w:t xml:space="preserve">Night eating syndrome is </w:t>
      </w:r>
      <w:r w:rsidR="00BF46D0" w:rsidRPr="00D03B56">
        <w:rPr>
          <w:rFonts w:ascii="Times New Roman" w:eastAsiaTheme="minorEastAsia" w:hAnsi="Times New Roman" w:cs="Times New Roman"/>
          <w:sz w:val="24"/>
          <w:szCs w:val="24"/>
        </w:rPr>
        <w:t xml:space="preserve">also </w:t>
      </w:r>
      <w:r w:rsidR="00C630F7" w:rsidRPr="00D03B56">
        <w:rPr>
          <w:rFonts w:ascii="Times New Roman" w:eastAsiaTheme="minorEastAsia" w:hAnsi="Times New Roman" w:cs="Times New Roman"/>
          <w:sz w:val="24"/>
          <w:szCs w:val="24"/>
        </w:rPr>
        <w:t xml:space="preserve">associated with other eating psychopathologies, </w:t>
      </w:r>
      <w:r w:rsidR="00C630F7" w:rsidRPr="00D03B56">
        <w:rPr>
          <w:rFonts w:ascii="Times New Roman" w:eastAsiaTheme="minorEastAsia" w:hAnsi="Times New Roman" w:cs="Times New Roman" w:hint="eastAsia"/>
          <w:sz w:val="24"/>
          <w:szCs w:val="24"/>
        </w:rPr>
        <w:t>including</w:t>
      </w:r>
      <w:r w:rsidR="00C630F7" w:rsidRPr="00D03B56">
        <w:rPr>
          <w:rFonts w:ascii="Times New Roman" w:eastAsiaTheme="minorEastAsia" w:hAnsi="Times New Roman" w:cs="Times New Roman"/>
          <w:sz w:val="24"/>
          <w:szCs w:val="24"/>
        </w:rPr>
        <w:t xml:space="preserve"> emotional eating and external eating, which is in line with the finding that night eating syndrome may be more problematic in those with poor coping strategies</w:t>
      </w:r>
      <w:r w:rsidR="00066A08" w:rsidRPr="00D03B56">
        <w:rPr>
          <w:rFonts w:ascii="Times New Roman" w:eastAsiaTheme="minorEastAsia" w:hAnsi="Times New Roman" w:cs="Times New Roman"/>
          <w:sz w:val="24"/>
          <w:szCs w:val="24"/>
        </w:rPr>
        <w:t xml:space="preserve"> (</w:t>
      </w:r>
      <w:proofErr w:type="spellStart"/>
      <w:r w:rsidR="00066A08" w:rsidRPr="00D03B56">
        <w:rPr>
          <w:rFonts w:ascii="Times New Roman" w:eastAsiaTheme="minorEastAsia" w:hAnsi="Times New Roman" w:cs="Times New Roman"/>
          <w:sz w:val="24"/>
          <w:szCs w:val="24"/>
        </w:rPr>
        <w:t>Meule</w:t>
      </w:r>
      <w:proofErr w:type="spellEnd"/>
      <w:r w:rsidR="00066A08" w:rsidRPr="00D03B56">
        <w:rPr>
          <w:rFonts w:ascii="Times New Roman" w:eastAsiaTheme="minorEastAsia" w:hAnsi="Times New Roman" w:cs="Times New Roman"/>
          <w:sz w:val="24"/>
          <w:szCs w:val="24"/>
        </w:rPr>
        <w:t xml:space="preserve"> et al., 2014a; Nolan </w:t>
      </w:r>
      <w:r w:rsidR="00373CDD" w:rsidRPr="00D03B56">
        <w:rPr>
          <w:rFonts w:ascii="Times New Roman" w:eastAsiaTheme="minorEastAsia" w:hAnsi="Times New Roman" w:cs="Times New Roman"/>
          <w:sz w:val="24"/>
          <w:szCs w:val="24"/>
        </w:rPr>
        <w:t>and</w:t>
      </w:r>
      <w:r w:rsidR="00066A08" w:rsidRPr="00D03B56">
        <w:rPr>
          <w:rFonts w:ascii="Times New Roman" w:eastAsiaTheme="minorEastAsia" w:hAnsi="Times New Roman" w:cs="Times New Roman"/>
          <w:sz w:val="24"/>
          <w:szCs w:val="24"/>
        </w:rPr>
        <w:t xml:space="preserve"> </w:t>
      </w:r>
      <w:proofErr w:type="spellStart"/>
      <w:r w:rsidR="00066A08" w:rsidRPr="00D03B56">
        <w:rPr>
          <w:rFonts w:ascii="Times New Roman" w:eastAsiaTheme="minorEastAsia" w:hAnsi="Times New Roman" w:cs="Times New Roman"/>
          <w:sz w:val="24"/>
          <w:szCs w:val="24"/>
        </w:rPr>
        <w:t>Geliebter</w:t>
      </w:r>
      <w:proofErr w:type="spellEnd"/>
      <w:r w:rsidR="00066A08" w:rsidRPr="00D03B56">
        <w:rPr>
          <w:rFonts w:ascii="Times New Roman" w:eastAsiaTheme="minorEastAsia" w:hAnsi="Times New Roman" w:cs="Times New Roman"/>
          <w:sz w:val="24"/>
          <w:szCs w:val="24"/>
        </w:rPr>
        <w:t xml:space="preserve">, 2012). </w:t>
      </w:r>
      <w:r w:rsidR="00A1475E" w:rsidRPr="00D03B56">
        <w:rPr>
          <w:rFonts w:ascii="Times New Roman" w:eastAsiaTheme="minorEastAsia" w:hAnsi="Times New Roman" w:cs="Times New Roman"/>
          <w:sz w:val="24"/>
          <w:szCs w:val="24"/>
        </w:rPr>
        <w:t>Despite some similarities between Night eating syndrome and late eating, particularly the consumption of food later in the day, Night eating syndrome represents a more severe and disordered form of behaviour</w:t>
      </w:r>
      <w:r w:rsidR="00AC070B" w:rsidRPr="00D03B56">
        <w:rPr>
          <w:rFonts w:ascii="Times New Roman" w:eastAsiaTheme="minorEastAsia" w:hAnsi="Times New Roman" w:cs="Times New Roman"/>
          <w:sz w:val="24"/>
          <w:szCs w:val="24"/>
        </w:rPr>
        <w:t xml:space="preserve">, whereas late eating, which is the </w:t>
      </w:r>
      <w:r w:rsidR="00C630F7" w:rsidRPr="00D03B56">
        <w:rPr>
          <w:rFonts w:ascii="Times New Roman" w:eastAsiaTheme="minorEastAsia" w:hAnsi="Times New Roman" w:cs="Times New Roman"/>
          <w:sz w:val="24"/>
          <w:szCs w:val="24"/>
        </w:rPr>
        <w:t>primary</w:t>
      </w:r>
      <w:r w:rsidR="00AC070B" w:rsidRPr="00D03B56">
        <w:rPr>
          <w:rFonts w:ascii="Times New Roman" w:eastAsiaTheme="minorEastAsia" w:hAnsi="Times New Roman" w:cs="Times New Roman"/>
          <w:sz w:val="24"/>
          <w:szCs w:val="24"/>
        </w:rPr>
        <w:t xml:space="preserve"> focus of this thesis, is a more common behavioural pattern. </w:t>
      </w:r>
      <w:r w:rsidR="004E4E15" w:rsidRPr="00D03B56">
        <w:rPr>
          <w:rFonts w:ascii="Times New Roman" w:eastAsiaTheme="minorEastAsia" w:hAnsi="Times New Roman" w:cs="Times New Roman"/>
          <w:sz w:val="24"/>
          <w:szCs w:val="24"/>
        </w:rPr>
        <w:t>By recognising the differences between Night eating syndrome and late eating, this thesis aims to focus on late eating without delving into the more complex, disorder-related aspects of Night eating syndrome. Although Night eating syndrome is not the primary focus of this thesis, its inclusion highlights the broader range of eating behaviours that can be influenced by the timing of food intake.</w:t>
      </w:r>
    </w:p>
    <w:p w14:paraId="00000167" w14:textId="77777777" w:rsidR="00CB4215" w:rsidRDefault="000530B4">
      <w:pPr>
        <w:pStyle w:val="Heading3"/>
        <w:spacing w:line="480" w:lineRule="auto"/>
        <w:rPr>
          <w:rFonts w:ascii="Times New Roman" w:eastAsia="Times New Roman" w:hAnsi="Times New Roman" w:cs="Times New Roman"/>
          <w:b/>
          <w:color w:val="000000"/>
        </w:rPr>
      </w:pPr>
      <w:bookmarkStart w:id="24" w:name="_Toc172984779"/>
      <w:r>
        <w:rPr>
          <w:rFonts w:ascii="Times New Roman" w:eastAsia="Times New Roman" w:hAnsi="Times New Roman" w:cs="Times New Roman"/>
          <w:b/>
          <w:color w:val="000000"/>
        </w:rPr>
        <w:lastRenderedPageBreak/>
        <w:t>1.11 Aims and objectives</w:t>
      </w:r>
      <w:bookmarkEnd w:id="24"/>
    </w:p>
    <w:p w14:paraId="00000168" w14:textId="440CA99C"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overall aim of this PhD is to explore the role of meal timing on BMI, eating behaviour traits and health behaviours. To achieve this, Chapter 2 will review the literature on meal timing, BMI, eating behaviour traits and health behaviours. Chapter 3 will then discuss the methods used throughout the studies of this thesis. Chapter 4 (Study 1) will then explore the relationship between meal timing, BMI, eating behaviour traits and health behaviours in the general population, comparing the psychological (eating behaviour traits) and behavioural characteristics between early versus late eaters. Developing on Study 1, Chapter 5 (Study 2) will conduct a 14-day pilot study to further explore the associations between meal timing, BMI, eating behaviour traits, diet and health behaviours using objective measurements of health behaviours. Chapter 6 (study 3) will </w:t>
      </w:r>
      <w:r w:rsidR="002743B0">
        <w:rPr>
          <w:rFonts w:ascii="Times New Roman" w:eastAsia="Times New Roman" w:hAnsi="Times New Roman" w:cs="Times New Roman"/>
          <w:sz w:val="24"/>
          <w:szCs w:val="24"/>
        </w:rPr>
        <w:t>explore t</w:t>
      </w:r>
      <w:r>
        <w:rPr>
          <w:rFonts w:ascii="Times New Roman" w:eastAsia="Times New Roman" w:hAnsi="Times New Roman" w:cs="Times New Roman"/>
          <w:sz w:val="24"/>
          <w:szCs w:val="24"/>
        </w:rPr>
        <w:t>he factors contributing to late evening eating and barriers and enablers to changing to early eating patterns. Finally, Chapter 7 will integrate the primary research findings from Chapters 2 and 4-6 and examine the significance of this study as well as the limitations and potential implications for future research. The progression of studies is shown in Figure 1.3.</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The objectives of this PhD thesis are as follows:</w:t>
      </w:r>
    </w:p>
    <w:p w14:paraId="00000169" w14:textId="77777777" w:rsidR="00CB4215" w:rsidRDefault="00CB4215">
      <w:pPr>
        <w:spacing w:line="480" w:lineRule="auto"/>
        <w:rPr>
          <w:rFonts w:ascii="Times New Roman" w:eastAsia="Times New Roman" w:hAnsi="Times New Roman" w:cs="Times New Roman"/>
          <w:sz w:val="24"/>
          <w:szCs w:val="24"/>
        </w:rPr>
      </w:pPr>
    </w:p>
    <w:p w14:paraId="0000016A" w14:textId="77777777" w:rsidR="00CB4215" w:rsidRDefault="000530B4">
      <w:pPr>
        <w:numPr>
          <w:ilvl w:val="0"/>
          <w:numId w:val="4"/>
        </w:numPr>
        <w:spacing w:line="480" w:lineRule="auto"/>
        <w:rPr>
          <w:rFonts w:ascii="Times New Roman" w:eastAsia="Times New Roman" w:hAnsi="Times New Roman" w:cs="Times New Roman"/>
          <w:sz w:val="24"/>
          <w:szCs w:val="24"/>
        </w:rPr>
      </w:pPr>
      <w:bookmarkStart w:id="25" w:name="_Hlk172554833"/>
      <w:r>
        <w:rPr>
          <w:rFonts w:ascii="Times New Roman" w:eastAsia="Times New Roman" w:hAnsi="Times New Roman" w:cs="Times New Roman"/>
          <w:sz w:val="24"/>
          <w:szCs w:val="24"/>
        </w:rPr>
        <w:t xml:space="preserve">Provide an overview of the current literature within meal timing, body weight, eating behaviour traits and health behaviours </w:t>
      </w:r>
      <w:bookmarkEnd w:id="25"/>
      <w:r>
        <w:rPr>
          <w:rFonts w:ascii="Times New Roman" w:eastAsia="Times New Roman" w:hAnsi="Times New Roman" w:cs="Times New Roman"/>
          <w:sz w:val="24"/>
          <w:szCs w:val="24"/>
        </w:rPr>
        <w:t>(Chapter 2).</w:t>
      </w:r>
    </w:p>
    <w:p w14:paraId="0000016B" w14:textId="77777777" w:rsidR="00CB4215" w:rsidRDefault="000530B4">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Explore the relationship between meal timing, BMI, eating behaviour traits and health behaviours in the general population, and compare the differences of eating behaviour traits and health behaviour in early versus late eaters (Chapter 4). Developing on Study 1 (Chapter 4), Study 2 (Chapter 5) used objective measures of height, weight, physical activity and sleep to further explore the relationships and compare the differences explored in Chapter 4.</w:t>
      </w:r>
    </w:p>
    <w:p w14:paraId="0000016C" w14:textId="77777777" w:rsidR="00CB4215" w:rsidRDefault="000530B4">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Explore the factors contributing to late eating, and barriers and enablers to changing late evening eating in adults with obesity (Chapter 6). </w:t>
      </w:r>
    </w:p>
    <w:p w14:paraId="0000016D" w14:textId="77777777" w:rsidR="00CB4215" w:rsidRDefault="000530B4">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 the outcomes of this thesis considering implications and future directions (Chapter 7).</w:t>
      </w:r>
    </w:p>
    <w:p w14:paraId="0000016E" w14:textId="77777777" w:rsidR="00CB4215" w:rsidRDefault="000530B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0EA1AE" wp14:editId="775D4721">
            <wp:extent cx="4444365" cy="5376545"/>
            <wp:effectExtent l="0" t="0" r="0" b="0"/>
            <wp:docPr id="20" name="image2.png" descr="A diagram of a stud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study&#10;&#10;Description automatically generated"/>
                    <pic:cNvPicPr preferRelativeResize="0"/>
                  </pic:nvPicPr>
                  <pic:blipFill>
                    <a:blip r:embed="rId211"/>
                    <a:srcRect/>
                    <a:stretch>
                      <a:fillRect/>
                    </a:stretch>
                  </pic:blipFill>
                  <pic:spPr>
                    <a:xfrm>
                      <a:off x="0" y="0"/>
                      <a:ext cx="4444365" cy="5376545"/>
                    </a:xfrm>
                    <a:prstGeom prst="rect">
                      <a:avLst/>
                    </a:prstGeom>
                    <a:ln/>
                  </pic:spPr>
                </pic:pic>
              </a:graphicData>
            </a:graphic>
          </wp:inline>
        </w:drawing>
      </w:r>
    </w:p>
    <w:p w14:paraId="0000016F" w14:textId="77777777" w:rsidR="00CB4215" w:rsidRDefault="000530B4">
      <w:pPr>
        <w:pBdr>
          <w:top w:val="nil"/>
          <w:left w:val="nil"/>
          <w:bottom w:val="nil"/>
          <w:right w:val="nil"/>
          <w:between w:val="nil"/>
        </w:pBdr>
        <w:spacing w:after="200" w:line="240" w:lineRule="auto"/>
        <w:rPr>
          <w:rFonts w:ascii="Times New Roman" w:eastAsia="Times New Roman" w:hAnsi="Times New Roman" w:cs="Times New Roman"/>
          <w:i/>
          <w:color w:val="000000"/>
          <w:sz w:val="20"/>
          <w:szCs w:val="20"/>
        </w:rPr>
        <w:sectPr w:rsidR="00CB4215">
          <w:headerReference w:type="default" r:id="rId212"/>
          <w:footerReference w:type="default" r:id="rId213"/>
          <w:pgSz w:w="11909" w:h="16834"/>
          <w:pgMar w:top="1440" w:right="1440" w:bottom="1440" w:left="1440" w:header="720" w:footer="720" w:gutter="0"/>
          <w:pgNumType w:start="1"/>
          <w:cols w:space="720"/>
        </w:sectPr>
      </w:pPr>
      <w:bookmarkStart w:id="26" w:name="_heading=h.2xcytpi" w:colFirst="0" w:colLast="0"/>
      <w:bookmarkEnd w:id="26"/>
      <w:r>
        <w:rPr>
          <w:rFonts w:ascii="Times New Roman" w:eastAsia="Times New Roman" w:hAnsi="Times New Roman" w:cs="Times New Roman"/>
          <w:i/>
          <w:color w:val="000000"/>
          <w:sz w:val="20"/>
          <w:szCs w:val="20"/>
        </w:rPr>
        <w:t xml:space="preserve">Figure 1.3. </w:t>
      </w:r>
      <w:r>
        <w:rPr>
          <w:rFonts w:ascii="Times New Roman" w:eastAsia="Times New Roman" w:hAnsi="Times New Roman" w:cs="Times New Roman"/>
          <w:color w:val="000000"/>
          <w:sz w:val="20"/>
          <w:szCs w:val="20"/>
        </w:rPr>
        <w:t>Progression of studies within this thesis.</w:t>
      </w:r>
    </w:p>
    <w:p w14:paraId="00000170" w14:textId="77777777" w:rsidR="00CB4215" w:rsidRDefault="000530B4">
      <w:pPr>
        <w:pStyle w:val="Heading1"/>
        <w:spacing w:line="480" w:lineRule="auto"/>
        <w:rPr>
          <w:rFonts w:ascii="Times New Roman" w:eastAsia="Times New Roman" w:hAnsi="Times New Roman" w:cs="Times New Roman"/>
          <w:b/>
        </w:rPr>
      </w:pPr>
      <w:bookmarkStart w:id="27" w:name="_Toc172984780"/>
      <w:r>
        <w:rPr>
          <w:rFonts w:ascii="Times New Roman" w:eastAsia="Times New Roman" w:hAnsi="Times New Roman" w:cs="Times New Roman"/>
          <w:b/>
        </w:rPr>
        <w:lastRenderedPageBreak/>
        <w:t>Chapter 2</w:t>
      </w:r>
      <w:bookmarkEnd w:id="27"/>
      <w:r>
        <w:rPr>
          <w:rFonts w:ascii="Times New Roman" w:eastAsia="Times New Roman" w:hAnsi="Times New Roman" w:cs="Times New Roman"/>
          <w:b/>
        </w:rPr>
        <w:t xml:space="preserve"> </w:t>
      </w:r>
    </w:p>
    <w:p w14:paraId="00000171" w14:textId="77777777" w:rsidR="00CB4215" w:rsidRDefault="000530B4">
      <w:pPr>
        <w:pStyle w:val="Heading2"/>
        <w:spacing w:line="480" w:lineRule="auto"/>
        <w:rPr>
          <w:rFonts w:ascii="Times New Roman" w:eastAsia="Times New Roman" w:hAnsi="Times New Roman" w:cs="Times New Roman"/>
          <w:b/>
        </w:rPr>
      </w:pPr>
      <w:bookmarkStart w:id="28" w:name="_Toc172984781"/>
      <w:r>
        <w:rPr>
          <w:rFonts w:ascii="Times New Roman" w:eastAsia="Times New Roman" w:hAnsi="Times New Roman" w:cs="Times New Roman"/>
          <w:b/>
        </w:rPr>
        <w:t>A narrative review exploring the influence of meal timing on body weight</w:t>
      </w:r>
      <w:bookmarkEnd w:id="28"/>
    </w:p>
    <w:p w14:paraId="00000172" w14:textId="0221E73E" w:rsidR="00CB4215" w:rsidRDefault="00CF08C0">
      <w:pPr>
        <w:spacing w:line="480" w:lineRule="auto"/>
        <w:rPr>
          <w:rFonts w:ascii="Times New Roman" w:eastAsia="Times New Roman" w:hAnsi="Times New Roman" w:cs="Times New Roman"/>
          <w:sz w:val="24"/>
          <w:szCs w:val="24"/>
        </w:rPr>
      </w:pPr>
      <w:r w:rsidRPr="00CF08C0">
        <w:rPr>
          <w:rFonts w:ascii="Times New Roman" w:eastAsia="Times New Roman" w:hAnsi="Times New Roman" w:cs="Times New Roman"/>
          <w:sz w:val="24"/>
          <w:szCs w:val="24"/>
        </w:rPr>
        <w:t>The previous chapter outlined the complexity of obesity, the drivers of eating behaviour and the need to consider other strategies such as meal timing.</w:t>
      </w:r>
      <w:r w:rsidR="00B16B62">
        <w:rPr>
          <w:rFonts w:ascii="Times New Roman" w:eastAsia="Times New Roman" w:hAnsi="Times New Roman" w:cs="Times New Roman"/>
          <w:sz w:val="24"/>
          <w:szCs w:val="24"/>
        </w:rPr>
        <w:t xml:space="preserve"> </w:t>
      </w:r>
      <w:r w:rsidR="000530B4">
        <w:rPr>
          <w:rFonts w:ascii="Times New Roman" w:eastAsia="Times New Roman" w:hAnsi="Times New Roman" w:cs="Times New Roman"/>
          <w:sz w:val="24"/>
          <w:szCs w:val="24"/>
        </w:rPr>
        <w:t>This chapter aims to</w:t>
      </w:r>
      <w:r>
        <w:rPr>
          <w:rFonts w:ascii="Times New Roman" w:eastAsia="Times New Roman" w:hAnsi="Times New Roman" w:cs="Times New Roman"/>
          <w:sz w:val="24"/>
          <w:szCs w:val="24"/>
        </w:rPr>
        <w:t xml:space="preserve"> provide a narrative review of the current literature within meal timing, body weight, eating behaviour traits and health behaviours. </w:t>
      </w:r>
    </w:p>
    <w:p w14:paraId="00000173" w14:textId="77777777" w:rsidR="00CB4215" w:rsidRDefault="00CB4215">
      <w:pPr>
        <w:spacing w:line="480" w:lineRule="auto"/>
        <w:rPr>
          <w:rFonts w:ascii="Times New Roman" w:eastAsia="Times New Roman" w:hAnsi="Times New Roman" w:cs="Times New Roman"/>
          <w:sz w:val="24"/>
          <w:szCs w:val="24"/>
        </w:rPr>
      </w:pPr>
    </w:p>
    <w:p w14:paraId="00000174" w14:textId="77777777" w:rsidR="00CB4215" w:rsidRDefault="000530B4">
      <w:pPr>
        <w:pStyle w:val="Heading3"/>
        <w:spacing w:line="480" w:lineRule="auto"/>
        <w:rPr>
          <w:rFonts w:ascii="Times New Roman" w:eastAsia="Times New Roman" w:hAnsi="Times New Roman" w:cs="Times New Roman"/>
          <w:b/>
          <w:color w:val="000000"/>
        </w:rPr>
      </w:pPr>
      <w:bookmarkStart w:id="29" w:name="_Toc172984782"/>
      <w:r>
        <w:rPr>
          <w:rFonts w:ascii="Times New Roman" w:eastAsia="Times New Roman" w:hAnsi="Times New Roman" w:cs="Times New Roman"/>
          <w:b/>
          <w:color w:val="000000"/>
        </w:rPr>
        <w:t>2.1 Introduction</w:t>
      </w:r>
      <w:bookmarkEnd w:id="29"/>
    </w:p>
    <w:p w14:paraId="00000175" w14:textId="099026A3"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circadian clock is an internal timing system that regulates physiological and behavioural responses to the time of day, reflecting adaptation to the 24-hour cycle of day and night and related changes in the environment </w:t>
      </w:r>
      <w:hyperlink r:id="rId214">
        <w:r>
          <w:rPr>
            <w:rFonts w:ascii="Times New Roman" w:eastAsia="Times New Roman" w:hAnsi="Times New Roman" w:cs="Times New Roman"/>
            <w:sz w:val="24"/>
            <w:szCs w:val="24"/>
          </w:rPr>
          <w:t>(Finger and Kramer</w:t>
        </w:r>
        <w:r w:rsidR="007C2E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2021)</w:t>
        </w:r>
      </w:hyperlink>
      <w:r>
        <w:rPr>
          <w:rFonts w:ascii="Times New Roman" w:eastAsia="Times New Roman" w:hAnsi="Times New Roman" w:cs="Times New Roman"/>
          <w:sz w:val="24"/>
          <w:szCs w:val="24"/>
        </w:rPr>
        <w:t xml:space="preserve">. The ability of an individual to absorb nutrients, mobilize, and eliminate metabolic waste during specific periods of the 24-hour day is determined by the daily rhythms of a range of genes </w:t>
      </w:r>
      <w:hyperlink r:id="rId215">
        <w:r>
          <w:rPr>
            <w:rFonts w:ascii="Times New Roman" w:eastAsia="Times New Roman" w:hAnsi="Times New Roman" w:cs="Times New Roman"/>
            <w:sz w:val="24"/>
            <w:szCs w:val="24"/>
          </w:rPr>
          <w:t>(Panda</w:t>
        </w:r>
        <w:r w:rsidR="007C2E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 Asher and </w:t>
        </w:r>
        <w:proofErr w:type="spellStart"/>
        <w:r>
          <w:rPr>
            <w:rFonts w:ascii="Times New Roman" w:eastAsia="Times New Roman" w:hAnsi="Times New Roman" w:cs="Times New Roman"/>
            <w:sz w:val="24"/>
            <w:szCs w:val="24"/>
          </w:rPr>
          <w:t>Sassone-Corsi</w:t>
        </w:r>
        <w:proofErr w:type="spellEnd"/>
        <w:r w:rsidR="007C2E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2015)</w:t>
        </w:r>
      </w:hyperlink>
      <w:r>
        <w:rPr>
          <w:rFonts w:ascii="Times New Roman" w:eastAsia="Times New Roman" w:hAnsi="Times New Roman" w:cs="Times New Roman"/>
          <w:sz w:val="24"/>
          <w:szCs w:val="24"/>
        </w:rPr>
        <w:t xml:space="preserve">. Misalignment of the circadian clock is associated with a higher risk of several diseases, including obesity and type 2 diabetes mellitus </w:t>
      </w:r>
      <w:hyperlink r:id="rId216">
        <w:r>
          <w:rPr>
            <w:rFonts w:ascii="Times New Roman" w:eastAsia="Times New Roman" w:hAnsi="Times New Roman" w:cs="Times New Roman"/>
            <w:sz w:val="24"/>
            <w:szCs w:val="24"/>
          </w:rPr>
          <w:t>(Panda</w:t>
        </w:r>
        <w:r w:rsidR="007C2E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 Chamorro et al., 2023)</w:t>
        </w:r>
      </w:hyperlink>
      <w:r>
        <w:rPr>
          <w:rFonts w:ascii="Times New Roman" w:eastAsia="Times New Roman" w:hAnsi="Times New Roman" w:cs="Times New Roman"/>
          <w:sz w:val="24"/>
          <w:szCs w:val="24"/>
        </w:rPr>
        <w:t xml:space="preserve">. Individuals develop their own systems for keeping track of time to predict and adjust to the Earth's 24-hour cycle of day and night, which is called circadian rhythm </w:t>
      </w:r>
      <w:hyperlink r:id="rId217">
        <w:r>
          <w:rPr>
            <w:rFonts w:ascii="Times New Roman" w:eastAsia="Times New Roman" w:hAnsi="Times New Roman" w:cs="Times New Roman"/>
            <w:sz w:val="24"/>
            <w:szCs w:val="24"/>
          </w:rPr>
          <w:t>(Baron and Reid</w:t>
        </w:r>
        <w:r w:rsidR="007C2E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2015)</w:t>
        </w:r>
      </w:hyperlink>
      <w:r>
        <w:rPr>
          <w:rFonts w:ascii="Times New Roman" w:eastAsia="Times New Roman" w:hAnsi="Times New Roman" w:cs="Times New Roman"/>
          <w:sz w:val="24"/>
          <w:szCs w:val="24"/>
        </w:rPr>
        <w:t xml:space="preserve">. Daily rhythms in real life are the result of an interplay between the body's circadian rhythm and external time triggers, such as exposure to light and food consumption </w:t>
      </w:r>
      <w:hyperlink r:id="rId218">
        <w:r>
          <w:rPr>
            <w:rFonts w:ascii="Times New Roman" w:eastAsia="Times New Roman" w:hAnsi="Times New Roman" w:cs="Times New Roman"/>
            <w:sz w:val="24"/>
            <w:szCs w:val="24"/>
          </w:rPr>
          <w:t>(Panda</w:t>
        </w:r>
        <w:r w:rsidR="006416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w:t>
        </w:r>
      </w:hyperlink>
      <w:r>
        <w:rPr>
          <w:rFonts w:ascii="Times New Roman" w:eastAsia="Times New Roman" w:hAnsi="Times New Roman" w:cs="Times New Roman"/>
          <w:sz w:val="24"/>
          <w:szCs w:val="24"/>
        </w:rPr>
        <w:t xml:space="preserve">. </w:t>
      </w:r>
    </w:p>
    <w:p w14:paraId="00000176" w14:textId="248B5E24"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Moreover, there are several additional circadian phase markers, one of which is referred to as chronotype or circadian preference. This marker indicates the specific time of day an individual prefers to be active or rest. People can be divided into three types, based on their preference for the morning type, the intermediate type or the evening type </w:t>
      </w:r>
      <w:hyperlink r:id="rId21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Haraszti</w:t>
        </w:r>
        <w:proofErr w:type="spellEnd"/>
        <w:r>
          <w:rPr>
            <w:rFonts w:ascii="Times New Roman" w:eastAsia="Times New Roman" w:hAnsi="Times New Roman" w:cs="Times New Roman"/>
            <w:sz w:val="24"/>
            <w:szCs w:val="24"/>
          </w:rPr>
          <w:t xml:space="preserve"> et al., 2014; Patterson et al., 2016; Horne and </w:t>
        </w:r>
        <w:proofErr w:type="spellStart"/>
        <w:r>
          <w:rPr>
            <w:rFonts w:ascii="Times New Roman" w:eastAsia="Times New Roman" w:hAnsi="Times New Roman" w:cs="Times New Roman"/>
            <w:sz w:val="24"/>
            <w:szCs w:val="24"/>
          </w:rPr>
          <w:t>Ostberg</w:t>
        </w:r>
        <w:proofErr w:type="spellEnd"/>
        <w:r w:rsidR="007C2E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1976)</w:t>
        </w:r>
      </w:hyperlink>
      <w:r>
        <w:rPr>
          <w:rFonts w:ascii="Times New Roman" w:eastAsia="Times New Roman" w:hAnsi="Times New Roman" w:cs="Times New Roman"/>
          <w:sz w:val="24"/>
          <w:szCs w:val="24"/>
        </w:rPr>
        <w:t xml:space="preserve">. Individuals with an evening chronotype have a lower adherence to a healthy diet </w:t>
      </w:r>
      <w:hyperlink r:id="rId22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Maukonen</w:t>
        </w:r>
        <w:proofErr w:type="spellEnd"/>
        <w:r>
          <w:rPr>
            <w:rFonts w:ascii="Times New Roman" w:eastAsia="Times New Roman" w:hAnsi="Times New Roman" w:cs="Times New Roman"/>
            <w:sz w:val="24"/>
            <w:szCs w:val="24"/>
          </w:rPr>
          <w:t xml:space="preserve"> et al., 2016)</w:t>
        </w:r>
      </w:hyperlink>
      <w:r>
        <w:rPr>
          <w:rFonts w:ascii="Times New Roman" w:eastAsia="Times New Roman" w:hAnsi="Times New Roman" w:cs="Times New Roman"/>
          <w:sz w:val="24"/>
          <w:szCs w:val="24"/>
        </w:rPr>
        <w:t xml:space="preserve">, eat meals later in the day </w:t>
      </w:r>
      <w:hyperlink r:id="rId221">
        <w:r>
          <w:rPr>
            <w:rFonts w:ascii="Times New Roman" w:eastAsia="Times New Roman" w:hAnsi="Times New Roman" w:cs="Times New Roman"/>
            <w:sz w:val="24"/>
            <w:szCs w:val="24"/>
          </w:rPr>
          <w:t>(Sato-Mito et al., 2011)</w:t>
        </w:r>
      </w:hyperlink>
      <w:r>
        <w:rPr>
          <w:rFonts w:ascii="Times New Roman" w:eastAsia="Times New Roman" w:hAnsi="Times New Roman" w:cs="Times New Roman"/>
          <w:sz w:val="24"/>
          <w:szCs w:val="24"/>
        </w:rPr>
        <w:t xml:space="preserve">, a habit of skipping breakfast </w:t>
      </w:r>
      <w:hyperlink r:id="rId222">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Reutrakul</w:t>
        </w:r>
        <w:proofErr w:type="spellEnd"/>
        <w:r>
          <w:rPr>
            <w:rFonts w:ascii="Times New Roman" w:eastAsia="Times New Roman" w:hAnsi="Times New Roman" w:cs="Times New Roman"/>
            <w:sz w:val="24"/>
            <w:szCs w:val="24"/>
          </w:rPr>
          <w:t xml:space="preserve"> et al., 2014)</w:t>
        </w:r>
      </w:hyperlink>
      <w:r>
        <w:rPr>
          <w:rFonts w:ascii="Times New Roman" w:eastAsia="Times New Roman" w:hAnsi="Times New Roman" w:cs="Times New Roman"/>
          <w:sz w:val="24"/>
          <w:szCs w:val="24"/>
        </w:rPr>
        <w:t xml:space="preserve">, and lower fruit and vegetables consumption </w:t>
      </w:r>
      <w:hyperlink r:id="rId223">
        <w:r>
          <w:rPr>
            <w:rFonts w:ascii="Times New Roman" w:eastAsia="Times New Roman" w:hAnsi="Times New Roman" w:cs="Times New Roman"/>
            <w:sz w:val="24"/>
            <w:szCs w:val="24"/>
          </w:rPr>
          <w:t>(Patterson et al., 2016)</w:t>
        </w:r>
      </w:hyperlink>
      <w:r>
        <w:rPr>
          <w:rFonts w:ascii="Times New Roman" w:eastAsia="Times New Roman" w:hAnsi="Times New Roman" w:cs="Times New Roman"/>
          <w:sz w:val="24"/>
          <w:szCs w:val="24"/>
        </w:rPr>
        <w:t xml:space="preserve">. For circadian rhythms to be synchronised, appropriate time cues are required from the environment, such as lighting, exercise and food consumption. For example, food consumption acts as an external clock synchroniser by influencing the peripheral clocks of tissues and organs involved in food consumption, including the liver, intestines and adipose tissue </w:t>
      </w:r>
      <w:hyperlink r:id="rId224">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Oosterman</w:t>
        </w:r>
        <w:proofErr w:type="spellEnd"/>
        <w:r>
          <w:rPr>
            <w:rFonts w:ascii="Times New Roman" w:eastAsia="Times New Roman" w:hAnsi="Times New Roman" w:cs="Times New Roman"/>
            <w:sz w:val="24"/>
            <w:szCs w:val="24"/>
          </w:rPr>
          <w:t xml:space="preserve"> et al., 2015)</w:t>
        </w:r>
      </w:hyperlink>
      <w:r>
        <w:rPr>
          <w:rFonts w:ascii="Times New Roman" w:eastAsia="Times New Roman" w:hAnsi="Times New Roman" w:cs="Times New Roman"/>
          <w:sz w:val="24"/>
          <w:szCs w:val="24"/>
        </w:rPr>
        <w:t xml:space="preserve">. Therefore, meal timing regulates peripheral circadian rhythms in metabolic systems without relying on the central clock </w:t>
      </w:r>
      <w:hyperlink r:id="rId225">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Wehrens</w:t>
        </w:r>
        <w:proofErr w:type="spellEnd"/>
        <w:r>
          <w:rPr>
            <w:rFonts w:ascii="Times New Roman" w:eastAsia="Times New Roman" w:hAnsi="Times New Roman" w:cs="Times New Roman"/>
            <w:sz w:val="24"/>
            <w:szCs w:val="24"/>
          </w:rPr>
          <w:t xml:space="preserve"> et al., 2017)</w:t>
        </w:r>
      </w:hyperlink>
      <w:r>
        <w:rPr>
          <w:rFonts w:ascii="Times New Roman" w:eastAsia="Times New Roman" w:hAnsi="Times New Roman" w:cs="Times New Roman"/>
          <w:sz w:val="24"/>
          <w:szCs w:val="24"/>
        </w:rPr>
        <w:t xml:space="preserve">. </w:t>
      </w:r>
    </w:p>
    <w:p w14:paraId="00000177" w14:textId="77777777" w:rsidR="00CB4215" w:rsidRDefault="00CB4215">
      <w:pPr>
        <w:spacing w:line="480" w:lineRule="auto"/>
        <w:rPr>
          <w:rFonts w:ascii="Times New Roman" w:eastAsia="Times New Roman" w:hAnsi="Times New Roman" w:cs="Times New Roman"/>
          <w:sz w:val="24"/>
          <w:szCs w:val="24"/>
        </w:rPr>
      </w:pPr>
    </w:p>
    <w:p w14:paraId="00000178" w14:textId="11A749F2" w:rsidR="00CB4215" w:rsidRPr="00D03B56"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Meal timing refers to the specific temporal patterns of meal and snack consumption. Some individuals strategically time their food intake to achieve specific goals </w:t>
      </w:r>
      <w:hyperlink r:id="rId226">
        <w:r>
          <w:rPr>
            <w:rFonts w:ascii="Times New Roman" w:eastAsia="Times New Roman" w:hAnsi="Times New Roman" w:cs="Times New Roman"/>
            <w:sz w:val="24"/>
            <w:szCs w:val="24"/>
          </w:rPr>
          <w:t>(Calle et al., 2003)</w:t>
        </w:r>
      </w:hyperlink>
      <w:r>
        <w:rPr>
          <w:rFonts w:ascii="Times New Roman" w:eastAsia="Times New Roman" w:hAnsi="Times New Roman" w:cs="Times New Roman"/>
          <w:sz w:val="24"/>
          <w:szCs w:val="24"/>
        </w:rPr>
        <w:t xml:space="preserve">. Recognising the importance of both the content and timing of food intake is important for understanding the complex causes of obesity </w:t>
      </w:r>
      <w:hyperlink r:id="rId22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and Gómez-</w:t>
        </w:r>
        <w:proofErr w:type="spellStart"/>
        <w:r>
          <w:rPr>
            <w:rFonts w:ascii="Times New Roman" w:eastAsia="Times New Roman" w:hAnsi="Times New Roman" w:cs="Times New Roman"/>
            <w:sz w:val="24"/>
            <w:szCs w:val="24"/>
          </w:rPr>
          <w:t>Abellán</w:t>
        </w:r>
        <w:proofErr w:type="spellEnd"/>
        <w:r w:rsidR="007C2E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xml:space="preserve">. The time of eating is an emerging area of nutrition, receiving increasing focus due to its influence on metabolic health </w:t>
      </w:r>
      <w:hyperlink r:id="rId228">
        <w:r>
          <w:rPr>
            <w:rFonts w:ascii="Times New Roman" w:eastAsia="Times New Roman" w:hAnsi="Times New Roman" w:cs="Times New Roman"/>
            <w:sz w:val="24"/>
            <w:szCs w:val="24"/>
          </w:rPr>
          <w:t>(Pérez-Martínez et al., 2017)</w:t>
        </w:r>
      </w:hyperlink>
      <w:r>
        <w:rPr>
          <w:rFonts w:ascii="Times New Roman" w:eastAsia="Times New Roman" w:hAnsi="Times New Roman" w:cs="Times New Roman"/>
          <w:sz w:val="24"/>
          <w:szCs w:val="24"/>
        </w:rPr>
        <w:t xml:space="preserve">. Recent evidence also suggests that meal timing is a risky factor for developing obesity and related health conditions, including type 2 diabetes mellitus and cardiovascular disease </w:t>
      </w:r>
      <w:hyperlink r:id="rId22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Chellappa</w:t>
        </w:r>
        <w:proofErr w:type="spellEnd"/>
        <w:r>
          <w:rPr>
            <w:rFonts w:ascii="Times New Roman" w:eastAsia="Times New Roman" w:hAnsi="Times New Roman" w:cs="Times New Roman"/>
            <w:sz w:val="24"/>
            <w:szCs w:val="24"/>
          </w:rPr>
          <w:t xml:space="preserve"> et al., 2019; Lopez-</w:t>
        </w:r>
        <w:proofErr w:type="spellStart"/>
        <w:r>
          <w:rPr>
            <w:rFonts w:ascii="Times New Roman" w:eastAsia="Times New Roman" w:hAnsi="Times New Roman" w:cs="Times New Roman"/>
            <w:sz w:val="24"/>
            <w:szCs w:val="24"/>
          </w:rPr>
          <w:t>Minguez</w:t>
        </w:r>
        <w:proofErr w:type="spellEnd"/>
        <w:r>
          <w:rPr>
            <w:rFonts w:ascii="Times New Roman" w:eastAsia="Times New Roman" w:hAnsi="Times New Roman" w:cs="Times New Roman"/>
            <w:sz w:val="24"/>
            <w:szCs w:val="24"/>
          </w:rPr>
          <w:t xml:space="preserve"> et al., 2019)</w:t>
        </w:r>
      </w:hyperlink>
      <w:r>
        <w:rPr>
          <w:rFonts w:ascii="Times New Roman" w:eastAsia="Times New Roman" w:hAnsi="Times New Roman" w:cs="Times New Roman"/>
          <w:sz w:val="24"/>
          <w:szCs w:val="24"/>
        </w:rPr>
        <w:t xml:space="preserve">. In contrast, a meta-analysis of five clinical and four observational trials found no relationship between later food consumption and increased BMI </w:t>
      </w:r>
      <w:hyperlink r:id="rId230">
        <w:r>
          <w:rPr>
            <w:rFonts w:ascii="Times New Roman" w:eastAsia="Times New Roman" w:hAnsi="Times New Roman" w:cs="Times New Roman"/>
            <w:sz w:val="24"/>
            <w:szCs w:val="24"/>
          </w:rPr>
          <w:t>(Fong et al., 2017)</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However, this finding was limited by significant heterogeneity, and many of the included studies had an unknown or high risk of bias. Specifically, there was considerable variations in dietary protocols, the living conditions of the participants, and the methods of dietary assessment. This </w:t>
      </w:r>
      <w:proofErr w:type="gramStart"/>
      <w:r>
        <w:rPr>
          <w:rFonts w:ascii="Times New Roman" w:eastAsia="Times New Roman" w:hAnsi="Times New Roman" w:cs="Times New Roman"/>
          <w:sz w:val="24"/>
          <w:szCs w:val="24"/>
        </w:rPr>
        <w:t>was a reflection of</w:t>
      </w:r>
      <w:proofErr w:type="gramEnd"/>
      <w:r>
        <w:rPr>
          <w:rFonts w:ascii="Times New Roman" w:eastAsia="Times New Roman" w:hAnsi="Times New Roman" w:cs="Times New Roman"/>
          <w:sz w:val="24"/>
          <w:szCs w:val="24"/>
        </w:rPr>
        <w:t xml:space="preserve"> the high heterogeneity of the relatively small sample (n=5) of clinical studies in the meta-analysis. In this meta-analysis, observational studies that assessed dietary intake using a single 24-hour food recall, a non-validated questionnaire, or a single question were more prone to have unreliable </w:t>
      </w:r>
      <w:r w:rsidRPr="00D03B56">
        <w:rPr>
          <w:rFonts w:ascii="Times New Roman" w:eastAsia="Times New Roman" w:hAnsi="Times New Roman" w:cs="Times New Roman"/>
          <w:sz w:val="24"/>
          <w:szCs w:val="24"/>
        </w:rPr>
        <w:t xml:space="preserve">results than studies that used multiple food recalls or a multi-day food diary. </w:t>
      </w:r>
      <w:proofErr w:type="gramStart"/>
      <w:r w:rsidRPr="00D03B56">
        <w:rPr>
          <w:rFonts w:ascii="Times New Roman" w:eastAsia="Times New Roman" w:hAnsi="Times New Roman" w:cs="Times New Roman"/>
          <w:sz w:val="24"/>
          <w:szCs w:val="24"/>
        </w:rPr>
        <w:t>In spite of</w:t>
      </w:r>
      <w:proofErr w:type="gramEnd"/>
      <w:r w:rsidRPr="00D03B56">
        <w:rPr>
          <w:rFonts w:ascii="Times New Roman" w:eastAsia="Times New Roman" w:hAnsi="Times New Roman" w:cs="Times New Roman"/>
          <w:sz w:val="24"/>
          <w:szCs w:val="24"/>
        </w:rPr>
        <w:t xml:space="preserve"> inconsistent findings, the conception of consuming 'breakfast like a king' and 'dinner like a pauper' is still a widely accepted belief </w:t>
      </w:r>
      <w:hyperlink r:id="rId231">
        <w:r w:rsidRPr="00D03B56">
          <w:rPr>
            <w:rFonts w:ascii="Times New Roman" w:eastAsia="Times New Roman" w:hAnsi="Times New Roman" w:cs="Times New Roman"/>
            <w:sz w:val="24"/>
            <w:szCs w:val="24"/>
          </w:rPr>
          <w:t>(Sifferlin n.d.)</w:t>
        </w:r>
      </w:hyperlink>
      <w:r w:rsidRPr="00D03B56">
        <w:rPr>
          <w:rFonts w:ascii="Times New Roman" w:eastAsia="Times New Roman" w:hAnsi="Times New Roman" w:cs="Times New Roman"/>
          <w:sz w:val="24"/>
          <w:szCs w:val="24"/>
        </w:rPr>
        <w:t xml:space="preserve">. </w:t>
      </w:r>
    </w:p>
    <w:p w14:paraId="00000179" w14:textId="77777777" w:rsidR="00CB4215" w:rsidRPr="00D03B56" w:rsidRDefault="00CB4215">
      <w:pPr>
        <w:spacing w:line="480" w:lineRule="auto"/>
        <w:rPr>
          <w:rFonts w:ascii="Times New Roman" w:eastAsia="Times New Roman" w:hAnsi="Times New Roman" w:cs="Times New Roman"/>
          <w:sz w:val="24"/>
          <w:szCs w:val="24"/>
        </w:rPr>
      </w:pPr>
    </w:p>
    <w:p w14:paraId="0000017B" w14:textId="165CE03F" w:rsidR="00CB4215"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 xml:space="preserve">The aim of this chapter is to provide a narrative review of the literature on meal timing to identify the existing gaps, rather than to be comprehensive or systematic. The systematic review is recognised as the gold standard of synthesising evidence but has the potential disadvantages of narrow scope </w:t>
      </w:r>
      <w:hyperlink r:id="rId232">
        <w:r w:rsidRPr="00D03B56">
          <w:rPr>
            <w:rFonts w:ascii="Times New Roman" w:eastAsia="Times New Roman" w:hAnsi="Times New Roman" w:cs="Times New Roman"/>
            <w:sz w:val="24"/>
            <w:szCs w:val="24"/>
          </w:rPr>
          <w:t xml:space="preserve">(Collins and </w:t>
        </w:r>
        <w:proofErr w:type="spellStart"/>
        <w:r w:rsidRPr="00D03B56">
          <w:rPr>
            <w:rFonts w:ascii="Times New Roman" w:eastAsia="Times New Roman" w:hAnsi="Times New Roman" w:cs="Times New Roman"/>
            <w:sz w:val="24"/>
            <w:szCs w:val="24"/>
          </w:rPr>
          <w:t>Fauser</w:t>
        </w:r>
        <w:proofErr w:type="spellEnd"/>
        <w:r w:rsidR="007C2E7A" w:rsidRPr="00D03B56">
          <w:rPr>
            <w:rFonts w:ascii="Times New Roman" w:eastAsia="Times New Roman" w:hAnsi="Times New Roman" w:cs="Times New Roman"/>
            <w:sz w:val="24"/>
            <w:szCs w:val="24"/>
          </w:rPr>
          <w:t>,</w:t>
        </w:r>
        <w:r w:rsidRPr="00D03B56">
          <w:rPr>
            <w:rFonts w:ascii="Times New Roman" w:eastAsia="Times New Roman" w:hAnsi="Times New Roman" w:cs="Times New Roman"/>
            <w:sz w:val="24"/>
            <w:szCs w:val="24"/>
          </w:rPr>
          <w:t xml:space="preserve"> 2005)</w:t>
        </w:r>
      </w:hyperlink>
      <w:r w:rsidRPr="00D03B56">
        <w:rPr>
          <w:rFonts w:ascii="Times New Roman" w:eastAsia="Times New Roman" w:hAnsi="Times New Roman" w:cs="Times New Roman"/>
          <w:sz w:val="24"/>
          <w:szCs w:val="24"/>
        </w:rPr>
        <w:t xml:space="preserve">. </w:t>
      </w:r>
      <w:r w:rsidR="00053158" w:rsidRPr="00D03B56">
        <w:rPr>
          <w:rFonts w:ascii="Times New Roman" w:eastAsia="Times New Roman" w:hAnsi="Times New Roman" w:cs="Times New Roman"/>
          <w:sz w:val="24"/>
          <w:szCs w:val="24"/>
        </w:rPr>
        <w:t xml:space="preserve">A scoping review is another form of evidence synthesis that acts as a precursor to a systematic review and aims to map the literature and identify knowledge gaps, inadequate outcome measures and highly heterogeneous measures that cannot be synthesised. Although scoping reviews follow a similar structured process to systematic reviews, </w:t>
      </w:r>
      <w:r w:rsidR="00FD691D" w:rsidRPr="00D03B56">
        <w:rPr>
          <w:rFonts w:ascii="Times New Roman" w:eastAsia="Times New Roman" w:hAnsi="Times New Roman" w:cs="Times New Roman"/>
          <w:sz w:val="24"/>
          <w:szCs w:val="24"/>
        </w:rPr>
        <w:t>scoping reviews</w:t>
      </w:r>
      <w:r w:rsidR="00053158" w:rsidRPr="00D03B56">
        <w:rPr>
          <w:rFonts w:ascii="Times New Roman" w:eastAsia="Times New Roman" w:hAnsi="Times New Roman" w:cs="Times New Roman"/>
          <w:sz w:val="24"/>
          <w:szCs w:val="24"/>
        </w:rPr>
        <w:t xml:space="preserve"> are conducted for different purposes and have significant methodological differences </w:t>
      </w:r>
      <w:r w:rsidR="00855AA8" w:rsidRPr="00D03B56">
        <w:rPr>
          <w:rFonts w:ascii="Times New Roman" w:eastAsia="Times New Roman" w:hAnsi="Times New Roman" w:cs="Times New Roman"/>
          <w:sz w:val="24"/>
          <w:szCs w:val="24"/>
        </w:rPr>
        <w:t>(Arksey and O’Malley</w:t>
      </w:r>
      <w:r w:rsidR="007C2E7A" w:rsidRPr="00D03B56">
        <w:rPr>
          <w:rFonts w:ascii="Times New Roman" w:eastAsia="Times New Roman" w:hAnsi="Times New Roman" w:cs="Times New Roman"/>
          <w:sz w:val="24"/>
          <w:szCs w:val="24"/>
        </w:rPr>
        <w:t>,</w:t>
      </w:r>
      <w:r w:rsidR="00855AA8" w:rsidRPr="00D03B56">
        <w:rPr>
          <w:rFonts w:ascii="Times New Roman" w:eastAsia="Times New Roman" w:hAnsi="Times New Roman" w:cs="Times New Roman"/>
          <w:sz w:val="24"/>
          <w:szCs w:val="24"/>
        </w:rPr>
        <w:t xml:space="preserve"> 2005; Peters et al., 2015</w:t>
      </w:r>
      <w:r w:rsidR="00053158" w:rsidRPr="00D03B56">
        <w:rPr>
          <w:rFonts w:ascii="Times New Roman" w:eastAsia="Times New Roman" w:hAnsi="Times New Roman" w:cs="Times New Roman"/>
          <w:sz w:val="24"/>
          <w:szCs w:val="24"/>
        </w:rPr>
        <w:t>; Munn et al., 2018</w:t>
      </w:r>
      <w:r w:rsidR="00855AA8" w:rsidRPr="00D03B56">
        <w:rPr>
          <w:rFonts w:ascii="Times New Roman" w:eastAsia="Times New Roman" w:hAnsi="Times New Roman" w:cs="Times New Roman"/>
          <w:sz w:val="24"/>
          <w:szCs w:val="24"/>
        </w:rPr>
        <w:t>)</w:t>
      </w:r>
      <w:r w:rsidR="00821FA5" w:rsidRPr="00D03B56">
        <w:rPr>
          <w:rFonts w:ascii="Times New Roman" w:eastAsia="Times New Roman" w:hAnsi="Times New Roman" w:cs="Times New Roman"/>
          <w:sz w:val="24"/>
          <w:szCs w:val="24"/>
        </w:rPr>
        <w:t xml:space="preserve">. </w:t>
      </w:r>
      <w:r w:rsidR="00801E74" w:rsidRPr="00D03B56">
        <w:rPr>
          <w:rFonts w:ascii="Times New Roman" w:eastAsia="Times New Roman" w:hAnsi="Times New Roman" w:cs="Times New Roman"/>
          <w:sz w:val="24"/>
          <w:szCs w:val="24"/>
        </w:rPr>
        <w:t>For example, a</w:t>
      </w:r>
      <w:r w:rsidR="00053158" w:rsidRPr="00D03B56">
        <w:rPr>
          <w:rFonts w:ascii="Times New Roman" w:eastAsia="Times New Roman" w:hAnsi="Times New Roman" w:cs="Times New Roman"/>
          <w:sz w:val="24"/>
          <w:szCs w:val="24"/>
        </w:rPr>
        <w:t xml:space="preserve"> key difference between scoping reviews and systematic reviews is the review question, as scoping reviews have a broader scope than traditional systematic reviews, leading to more expansive inclusion criteria (Colquhoun et al., 2014)</w:t>
      </w:r>
      <w:r w:rsidR="00821FA5" w:rsidRPr="00D03B56">
        <w:rPr>
          <w:rFonts w:ascii="Times New Roman" w:eastAsia="Times New Roman" w:hAnsi="Times New Roman" w:cs="Times New Roman"/>
          <w:sz w:val="24"/>
          <w:szCs w:val="24"/>
        </w:rPr>
        <w:t xml:space="preserve">. </w:t>
      </w:r>
      <w:r w:rsidR="000D1920" w:rsidRPr="00D03B56">
        <w:rPr>
          <w:rFonts w:ascii="Times New Roman" w:eastAsia="Times New Roman" w:hAnsi="Times New Roman" w:cs="Times New Roman"/>
          <w:sz w:val="24"/>
          <w:szCs w:val="24"/>
        </w:rPr>
        <w:t xml:space="preserve">In addition, narrative reviews are used to synthesise different studies on a particular topic, providing a broad overview of the literature and flexibility to </w:t>
      </w:r>
      <w:r w:rsidR="000D1920" w:rsidRPr="00D03B56">
        <w:rPr>
          <w:rFonts w:ascii="Times New Roman" w:eastAsia="Times New Roman" w:hAnsi="Times New Roman" w:cs="Times New Roman"/>
          <w:sz w:val="24"/>
          <w:szCs w:val="24"/>
        </w:rPr>
        <w:lastRenderedPageBreak/>
        <w:t>explore evolving knowledge and concepts</w:t>
      </w:r>
      <w:r w:rsidR="00821FA5" w:rsidRPr="00D03B56">
        <w:rPr>
          <w:rFonts w:ascii="Times New Roman" w:eastAsia="Times New Roman" w:hAnsi="Times New Roman" w:cs="Times New Roman"/>
          <w:sz w:val="24"/>
          <w:szCs w:val="24"/>
        </w:rPr>
        <w:t xml:space="preserve"> </w:t>
      </w:r>
      <w:hyperlink r:id="rId233">
        <w:r w:rsidR="00821FA5" w:rsidRPr="00D03B56">
          <w:rPr>
            <w:rFonts w:ascii="Times New Roman" w:eastAsia="Times New Roman" w:hAnsi="Times New Roman" w:cs="Times New Roman"/>
            <w:sz w:val="24"/>
            <w:szCs w:val="24"/>
          </w:rPr>
          <w:t xml:space="preserve">(Collins and </w:t>
        </w:r>
        <w:proofErr w:type="spellStart"/>
        <w:r w:rsidR="00821FA5" w:rsidRPr="00D03B56">
          <w:rPr>
            <w:rFonts w:ascii="Times New Roman" w:eastAsia="Times New Roman" w:hAnsi="Times New Roman" w:cs="Times New Roman"/>
            <w:sz w:val="24"/>
            <w:szCs w:val="24"/>
          </w:rPr>
          <w:t>Fauser</w:t>
        </w:r>
        <w:proofErr w:type="spellEnd"/>
        <w:r w:rsidR="007C2E7A" w:rsidRPr="00D03B56">
          <w:rPr>
            <w:rFonts w:ascii="Times New Roman" w:eastAsia="Times New Roman" w:hAnsi="Times New Roman" w:cs="Times New Roman"/>
            <w:sz w:val="24"/>
            <w:szCs w:val="24"/>
          </w:rPr>
          <w:t>,</w:t>
        </w:r>
        <w:r w:rsidR="00821FA5" w:rsidRPr="00D03B56">
          <w:rPr>
            <w:rFonts w:ascii="Times New Roman" w:eastAsia="Times New Roman" w:hAnsi="Times New Roman" w:cs="Times New Roman"/>
            <w:sz w:val="24"/>
            <w:szCs w:val="24"/>
          </w:rPr>
          <w:t xml:space="preserve"> 2005)</w:t>
        </w:r>
      </w:hyperlink>
      <w:r w:rsidR="00821FA5" w:rsidRPr="00D03B56">
        <w:rPr>
          <w:rFonts w:ascii="Times New Roman" w:eastAsia="Times New Roman" w:hAnsi="Times New Roman" w:cs="Times New Roman"/>
          <w:sz w:val="24"/>
          <w:szCs w:val="24"/>
        </w:rPr>
        <w:t xml:space="preserve">. </w:t>
      </w:r>
      <w:r w:rsidR="00EF154F" w:rsidRPr="00D03B56">
        <w:rPr>
          <w:rFonts w:ascii="Times New Roman" w:eastAsia="Times New Roman" w:hAnsi="Times New Roman" w:cs="Times New Roman"/>
          <w:sz w:val="24"/>
          <w:szCs w:val="24"/>
        </w:rPr>
        <w:t>Given the differences between a scoping review and a 'traditional' or 'narrative' review, a traditional literature review does not require an a priori protocol, PROSPERO registration of the review protocol and standardised data extraction forms</w:t>
      </w:r>
      <w:r w:rsidR="00CF655A" w:rsidRPr="00D03B56">
        <w:rPr>
          <w:rFonts w:ascii="Times New Roman" w:eastAsia="Times New Roman" w:hAnsi="Times New Roman" w:cs="Times New Roman"/>
          <w:sz w:val="24"/>
          <w:szCs w:val="24"/>
        </w:rPr>
        <w:t xml:space="preserve"> (Munn et al., 2018). </w:t>
      </w:r>
      <w:r w:rsidR="00EF154F" w:rsidRPr="00D03B56">
        <w:rPr>
          <w:rFonts w:ascii="Times New Roman" w:eastAsia="Times New Roman" w:hAnsi="Times New Roman" w:cs="Times New Roman"/>
          <w:sz w:val="24"/>
          <w:szCs w:val="24"/>
        </w:rPr>
        <w:t xml:space="preserve">In addition, scoping reviews need to include steps to minimise error and increase reliability by ensuring that data are systematically extracted and presented. It is recommended that at least two independent reviewers review the abstracts generated by the search strategy and then review the full articles for study selection </w:t>
      </w:r>
      <w:r w:rsidR="00FF0167" w:rsidRPr="00D03B56">
        <w:rPr>
          <w:rFonts w:ascii="Times New Roman" w:eastAsia="Times New Roman" w:hAnsi="Times New Roman" w:cs="Times New Roman"/>
          <w:sz w:val="24"/>
          <w:szCs w:val="24"/>
        </w:rPr>
        <w:t>(</w:t>
      </w:r>
      <w:proofErr w:type="spellStart"/>
      <w:r w:rsidR="00FF0167" w:rsidRPr="00D03B56">
        <w:rPr>
          <w:rFonts w:ascii="Times New Roman" w:eastAsia="Times New Roman" w:hAnsi="Times New Roman" w:cs="Times New Roman"/>
          <w:sz w:val="24"/>
          <w:szCs w:val="24"/>
        </w:rPr>
        <w:t>Daudt</w:t>
      </w:r>
      <w:proofErr w:type="spellEnd"/>
      <w:r w:rsidR="00FF0167" w:rsidRPr="00D03B56">
        <w:rPr>
          <w:rFonts w:ascii="Times New Roman" w:eastAsia="Times New Roman" w:hAnsi="Times New Roman" w:cs="Times New Roman"/>
          <w:sz w:val="24"/>
          <w:szCs w:val="24"/>
        </w:rPr>
        <w:t xml:space="preserve"> et al., 2013). </w:t>
      </w:r>
      <w:r w:rsidR="0050434F" w:rsidRPr="00D03B56">
        <w:rPr>
          <w:rFonts w:ascii="Times New Roman" w:eastAsia="Times New Roman" w:hAnsi="Times New Roman" w:cs="Times New Roman"/>
          <w:sz w:val="24"/>
          <w:szCs w:val="24"/>
        </w:rPr>
        <w:t xml:space="preserve">Narrative reviews are frequently regarded as subjective because they primarily depend on the knowledge and experience of a single reviewer, which can result in a selective rather than comprehensive representation of a topic </w:t>
      </w:r>
      <w:r w:rsidR="00CF0130" w:rsidRPr="00D03B56">
        <w:rPr>
          <w:rFonts w:ascii="Times New Roman" w:eastAsia="Times New Roman" w:hAnsi="Times New Roman" w:cs="Times New Roman"/>
          <w:sz w:val="24"/>
          <w:szCs w:val="24"/>
        </w:rPr>
        <w:t xml:space="preserve">(Melnyk et al., 2010). </w:t>
      </w:r>
      <w:r w:rsidR="0050434F" w:rsidRPr="00D03B56">
        <w:rPr>
          <w:rFonts w:ascii="Times New Roman" w:eastAsia="Times New Roman" w:hAnsi="Times New Roman" w:cs="Times New Roman"/>
          <w:sz w:val="24"/>
          <w:szCs w:val="24"/>
        </w:rPr>
        <w:t xml:space="preserve">In the absence of standardised methods, reviewers may overlook or minimise the importance of certain studies. As a result, narrative reviews tend to be based on references selectively selected from the available evidence, which may lack methodological rigour and increase the risk of biased interpretations and systematic errors </w:t>
      </w:r>
      <w:r w:rsidR="00FF0167" w:rsidRPr="00D03B56">
        <w:rPr>
          <w:rFonts w:ascii="Times New Roman" w:eastAsia="Times New Roman" w:hAnsi="Times New Roman" w:cs="Times New Roman"/>
          <w:sz w:val="24"/>
          <w:szCs w:val="24"/>
        </w:rPr>
        <w:t xml:space="preserve">(Green et al., 2006). </w:t>
      </w:r>
      <w:r w:rsidR="008E08B0" w:rsidRPr="00D03B56">
        <w:rPr>
          <w:rFonts w:ascii="Times New Roman" w:eastAsia="Times New Roman" w:hAnsi="Times New Roman" w:cs="Times New Roman"/>
          <w:sz w:val="24"/>
          <w:szCs w:val="24"/>
        </w:rPr>
        <w:t xml:space="preserve">Despite these criticisms, traditional literature reviews are useful for describing a topic along with its underlying theories and concepts, </w:t>
      </w:r>
      <w:r w:rsidR="009D1C4C" w:rsidRPr="00D03B56">
        <w:rPr>
          <w:rFonts w:ascii="Times New Roman" w:eastAsia="Times New Roman" w:hAnsi="Times New Roman" w:cs="Times New Roman"/>
          <w:sz w:val="24"/>
          <w:szCs w:val="24"/>
        </w:rPr>
        <w:t xml:space="preserve">focusing on </w:t>
      </w:r>
      <w:r w:rsidR="008E08B0" w:rsidRPr="00D03B56">
        <w:rPr>
          <w:rFonts w:ascii="Times New Roman" w:eastAsia="Times New Roman" w:hAnsi="Times New Roman" w:cs="Times New Roman"/>
          <w:sz w:val="24"/>
          <w:szCs w:val="24"/>
        </w:rPr>
        <w:t xml:space="preserve">main ideas or findings of the cited studies rather than analysing the findings of a single </w:t>
      </w:r>
      <w:r w:rsidR="0050434F" w:rsidRPr="00D03B56">
        <w:rPr>
          <w:rFonts w:ascii="Times New Roman" w:eastAsia="Times New Roman" w:hAnsi="Times New Roman" w:cs="Times New Roman"/>
          <w:sz w:val="24"/>
          <w:szCs w:val="24"/>
        </w:rPr>
        <w:t>(LoBiondo-Wood and Haber</w:t>
      </w:r>
      <w:r w:rsidR="007C2E7A" w:rsidRPr="00D03B56">
        <w:rPr>
          <w:rFonts w:ascii="Times New Roman" w:eastAsia="Times New Roman" w:hAnsi="Times New Roman" w:cs="Times New Roman"/>
          <w:sz w:val="24"/>
          <w:szCs w:val="24"/>
        </w:rPr>
        <w:t>,</w:t>
      </w:r>
      <w:r w:rsidR="0050434F" w:rsidRPr="00D03B56">
        <w:rPr>
          <w:rFonts w:ascii="Times New Roman" w:eastAsia="Times New Roman" w:hAnsi="Times New Roman" w:cs="Times New Roman"/>
          <w:sz w:val="24"/>
          <w:szCs w:val="24"/>
        </w:rPr>
        <w:t xml:space="preserve"> 2014).</w:t>
      </w:r>
      <w:r w:rsidR="006F2A4F" w:rsidRPr="00D03B56">
        <w:rPr>
          <w:rFonts w:ascii="Times New Roman" w:eastAsia="Times New Roman" w:hAnsi="Times New Roman" w:cs="Times New Roman"/>
          <w:sz w:val="24"/>
          <w:szCs w:val="24"/>
        </w:rPr>
        <w:t xml:space="preserve"> </w:t>
      </w:r>
      <w:r w:rsidR="00E50F61" w:rsidRPr="00D03B56">
        <w:rPr>
          <w:rFonts w:ascii="Times New Roman" w:eastAsia="Times New Roman" w:hAnsi="Times New Roman" w:cs="Times New Roman"/>
          <w:sz w:val="24"/>
          <w:szCs w:val="24"/>
        </w:rPr>
        <w:t>As the primary aim is to provide an overview to understand existing knowledge and highlight the importance of new research, no attempt is made to generalise or consolidate the knowledge from the reviews (Cronin et al., 2008; Davies, 2000; Green et al., 2006). In addition, narrative reviews can stimulate research ideas by identifying gaps or inconsistencies within a body of knowledge, thus helping to identify research topics.</w:t>
      </w:r>
      <w:r w:rsidR="000571F5" w:rsidRPr="00D03B56">
        <w:rPr>
          <w:rFonts w:ascii="Times New Roman" w:eastAsia="Times New Roman" w:hAnsi="Times New Roman" w:cs="Times New Roman"/>
          <w:sz w:val="24"/>
          <w:szCs w:val="24"/>
        </w:rPr>
        <w:t xml:space="preserve"> </w:t>
      </w:r>
      <w:r w:rsidR="00ED0765" w:rsidRPr="00D03B56">
        <w:rPr>
          <w:rFonts w:ascii="Times New Roman" w:eastAsiaTheme="minorEastAsia" w:hAnsi="Times New Roman" w:cs="Times New Roman"/>
          <w:sz w:val="24"/>
          <w:szCs w:val="24"/>
        </w:rPr>
        <w:t>Considering that the aims of the current thesis are to explore the associations between meal timing, eating behaviour</w:t>
      </w:r>
      <w:r w:rsidR="00801E74" w:rsidRPr="00D03B56">
        <w:rPr>
          <w:rFonts w:ascii="Times New Roman" w:eastAsiaTheme="minorEastAsia" w:hAnsi="Times New Roman" w:cs="Times New Roman"/>
          <w:sz w:val="24"/>
          <w:szCs w:val="24"/>
        </w:rPr>
        <w:t xml:space="preserve"> traits</w:t>
      </w:r>
      <w:r w:rsidR="00ED0765" w:rsidRPr="00D03B56">
        <w:rPr>
          <w:rFonts w:ascii="Times New Roman" w:eastAsiaTheme="minorEastAsia" w:hAnsi="Times New Roman" w:cs="Times New Roman"/>
          <w:sz w:val="24"/>
          <w:szCs w:val="24"/>
        </w:rPr>
        <w:t xml:space="preserve">, health behaviour and body weight, the narrative review is well suited to provide depth of analysis and flexibility in the selection of studies. Whilst a scoping review </w:t>
      </w:r>
      <w:r w:rsidR="00ED0765" w:rsidRPr="00D03B56">
        <w:rPr>
          <w:rFonts w:ascii="Times New Roman" w:eastAsiaTheme="minorEastAsia" w:hAnsi="Times New Roman" w:cs="Times New Roman"/>
          <w:sz w:val="24"/>
          <w:szCs w:val="24"/>
        </w:rPr>
        <w:lastRenderedPageBreak/>
        <w:t xml:space="preserve">could have provided a broader mapping of the literature, narrative review could provide detailed interpretative synthesis and theoretical insights. </w:t>
      </w:r>
      <w:r w:rsidR="00FD0F11" w:rsidRPr="00D03B56">
        <w:rPr>
          <w:rFonts w:ascii="Times New Roman" w:eastAsia="Times New Roman" w:hAnsi="Times New Roman" w:cs="Times New Roman"/>
          <w:sz w:val="24"/>
          <w:szCs w:val="24"/>
        </w:rPr>
        <w:t>Furthermore, g</w:t>
      </w:r>
      <w:r w:rsidRPr="00D03B56">
        <w:rPr>
          <w:rFonts w:ascii="Times New Roman" w:eastAsia="Times New Roman" w:hAnsi="Times New Roman" w:cs="Times New Roman"/>
          <w:sz w:val="24"/>
          <w:szCs w:val="24"/>
        </w:rPr>
        <w:t>iven the exploratory nature of the studies reported in this thesis, the mixed findings in the literature, and the fact that this is a relatively emerging area of research, a narrative review is necessary to provide background and inform the subsequent chapters.</w:t>
      </w:r>
      <w:r>
        <w:rPr>
          <w:rFonts w:ascii="Times New Roman" w:eastAsia="Times New Roman" w:hAnsi="Times New Roman" w:cs="Times New Roman"/>
          <w:sz w:val="24"/>
          <w:szCs w:val="24"/>
        </w:rPr>
        <w:t xml:space="preserve"> </w:t>
      </w:r>
    </w:p>
    <w:p w14:paraId="60151361" w14:textId="77777777" w:rsidR="00450B5E" w:rsidRPr="00FD0F11" w:rsidRDefault="00450B5E">
      <w:pPr>
        <w:spacing w:line="480" w:lineRule="auto"/>
        <w:rPr>
          <w:rFonts w:ascii="Times New Roman" w:eastAsiaTheme="minorEastAsia" w:hAnsi="Times New Roman" w:cs="Times New Roman"/>
          <w:sz w:val="24"/>
          <w:szCs w:val="24"/>
        </w:rPr>
      </w:pPr>
    </w:p>
    <w:p w14:paraId="0000017C" w14:textId="77777777" w:rsidR="00CB4215" w:rsidRDefault="000530B4">
      <w:pPr>
        <w:pStyle w:val="Heading3"/>
        <w:spacing w:line="480" w:lineRule="auto"/>
        <w:rPr>
          <w:rFonts w:ascii="Times New Roman" w:eastAsia="Times New Roman" w:hAnsi="Times New Roman" w:cs="Times New Roman"/>
          <w:b/>
          <w:color w:val="000000"/>
        </w:rPr>
      </w:pPr>
      <w:bookmarkStart w:id="30" w:name="_Toc172984783"/>
      <w:r>
        <w:rPr>
          <w:rFonts w:ascii="Times New Roman" w:eastAsia="Times New Roman" w:hAnsi="Times New Roman" w:cs="Times New Roman"/>
          <w:b/>
          <w:color w:val="000000"/>
        </w:rPr>
        <w:t>2.2 Methods</w:t>
      </w:r>
      <w:bookmarkEnd w:id="30"/>
    </w:p>
    <w:p w14:paraId="0000017D"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2.2.1 Search strategy</w:t>
      </w:r>
    </w:p>
    <w:p w14:paraId="0000017E" w14:textId="174E88FA"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search strategy was conducted on PubMed, </w:t>
      </w:r>
      <w:proofErr w:type="spellStart"/>
      <w:r>
        <w:rPr>
          <w:rFonts w:ascii="Times New Roman" w:eastAsia="Times New Roman" w:hAnsi="Times New Roman" w:cs="Times New Roman"/>
          <w:sz w:val="24"/>
          <w:szCs w:val="24"/>
        </w:rPr>
        <w:t>PsycInfo</w:t>
      </w:r>
      <w:proofErr w:type="spellEnd"/>
      <w:r>
        <w:rPr>
          <w:rFonts w:ascii="Times New Roman" w:eastAsia="Times New Roman" w:hAnsi="Times New Roman" w:cs="Times New Roman"/>
          <w:sz w:val="24"/>
          <w:szCs w:val="24"/>
        </w:rPr>
        <w:t xml:space="preserve">, Web </w:t>
      </w:r>
      <w:r w:rsidRPr="00B16B62">
        <w:rPr>
          <w:rFonts w:ascii="Times New Roman" w:eastAsia="Times New Roman" w:hAnsi="Times New Roman" w:cs="Times New Roman"/>
          <w:sz w:val="24"/>
          <w:szCs w:val="24"/>
        </w:rPr>
        <w:t>of Science</w:t>
      </w:r>
      <w:r w:rsidR="00CF08C0">
        <w:rPr>
          <w:rFonts w:ascii="Times New Roman" w:hAnsi="Times New Roman" w:cs="Times New Roman"/>
          <w:sz w:val="24"/>
          <w:szCs w:val="24"/>
        </w:rPr>
        <w:t xml:space="preserve"> and</w:t>
      </w:r>
      <w:r w:rsidR="00B16B62" w:rsidRPr="00B16B62">
        <w:rPr>
          <w:rFonts w:ascii="Times New Roman" w:hAnsi="Times New Roman" w:cs="Times New Roman"/>
          <w:sz w:val="24"/>
          <w:szCs w:val="24"/>
        </w:rPr>
        <w:t xml:space="preserve"> Google Scholar</w:t>
      </w:r>
      <w:r w:rsidR="00CF08C0">
        <w:rPr>
          <w:rFonts w:ascii="Times New Roman" w:hAnsi="Times New Roman" w:cs="Times New Roman"/>
          <w:sz w:val="24"/>
          <w:szCs w:val="24"/>
        </w:rPr>
        <w:t xml:space="preserve">. The initial search was carried out in </w:t>
      </w:r>
      <w:r>
        <w:rPr>
          <w:rFonts w:ascii="Times New Roman" w:eastAsia="Times New Roman" w:hAnsi="Times New Roman" w:cs="Times New Roman"/>
          <w:sz w:val="24"/>
          <w:szCs w:val="24"/>
        </w:rPr>
        <w:t>February 2021</w:t>
      </w:r>
      <w:r w:rsidR="00CF08C0">
        <w:rPr>
          <w:rFonts w:ascii="Times New Roman" w:eastAsia="Times New Roman" w:hAnsi="Times New Roman" w:cs="Times New Roman"/>
          <w:sz w:val="24"/>
          <w:szCs w:val="24"/>
        </w:rPr>
        <w:t xml:space="preserve"> and the search was updated in </w:t>
      </w:r>
      <w:r>
        <w:rPr>
          <w:rFonts w:ascii="Times New Roman" w:eastAsia="Times New Roman" w:hAnsi="Times New Roman" w:cs="Times New Roman"/>
          <w:sz w:val="24"/>
          <w:szCs w:val="24"/>
        </w:rPr>
        <w:t>June 202</w:t>
      </w:r>
      <w:r w:rsidR="00CF08C0">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The literature was searched using keywords such as: “meal timing”, “timing of food”, “food timing”, “late eating”, “dinner”, “evening meal” or “intake timing”, and “Body Mass Index (BMI)”, “obesity”, “weight”, “weight loss” or “weight change”.</w:t>
      </w:r>
      <w:r w:rsidR="00CF08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One author (BY) completed the search and selected the articles for full-text screening based on the abstracts and titles of the articles. </w:t>
      </w:r>
    </w:p>
    <w:p w14:paraId="0000017F" w14:textId="77777777" w:rsidR="00CB4215" w:rsidRDefault="00CB4215">
      <w:pPr>
        <w:spacing w:line="480" w:lineRule="auto"/>
        <w:rPr>
          <w:rFonts w:ascii="Times New Roman" w:eastAsia="Times New Roman" w:hAnsi="Times New Roman" w:cs="Times New Roman"/>
          <w:sz w:val="24"/>
          <w:szCs w:val="24"/>
        </w:rPr>
      </w:pPr>
    </w:p>
    <w:p w14:paraId="00000180"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2.2.2 Study eligibility criteria</w:t>
      </w:r>
    </w:p>
    <w:p w14:paraId="00000181" w14:textId="77777777" w:rsidR="00CB4215" w:rsidRDefault="007E2DD6">
      <w:pPr>
        <w:spacing w:line="480"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24"/>
          <w:id w:val="-683593017"/>
        </w:sdtPr>
        <w:sdtEndPr/>
        <w:sdtContent>
          <w:r w:rsidR="000530B4" w:rsidRPr="00EA630B">
            <w:rPr>
              <w:rFonts w:ascii="Times New Roman" w:eastAsia="Gungsuh" w:hAnsi="Times New Roman" w:cs="Times New Roman"/>
              <w:sz w:val="24"/>
              <w:szCs w:val="24"/>
            </w:rPr>
            <w:t xml:space="preserve">To be included in this narrative review, the search was limited to English-language papers, adults (≥18 years of age). Children under the age of 18 were excluded because of the influence of parental eating behaviour on their dietary habits </w:t>
          </w:r>
        </w:sdtContent>
      </w:sdt>
      <w:hyperlink r:id="rId234">
        <w:r w:rsidR="000530B4" w:rsidRPr="00EA630B">
          <w:rPr>
            <w:rFonts w:ascii="Times New Roman" w:eastAsia="Times New Roman" w:hAnsi="Times New Roman" w:cs="Times New Roman"/>
            <w:sz w:val="24"/>
            <w:szCs w:val="24"/>
          </w:rPr>
          <w:t>(Mahmood et al., 2021)</w:t>
        </w:r>
      </w:hyperlink>
      <w:r w:rsidR="000530B4" w:rsidRPr="00EA630B">
        <w:rPr>
          <w:rFonts w:ascii="Times New Roman" w:eastAsia="Times New Roman" w:hAnsi="Times New Roman" w:cs="Times New Roman"/>
          <w:sz w:val="24"/>
          <w:szCs w:val="24"/>
        </w:rPr>
        <w:t>. There is no formal definition of late eating, thus, for this review, studies that referred to meal timing were included, and the definition of late eating was also considered as part of this review process. Outcome measures of interest were anthropometrics (e.g., weight, BMI, waist</w:t>
      </w:r>
      <w:r w:rsidR="000530B4">
        <w:rPr>
          <w:rFonts w:ascii="Times New Roman" w:eastAsia="Times New Roman" w:hAnsi="Times New Roman" w:cs="Times New Roman"/>
          <w:sz w:val="24"/>
          <w:szCs w:val="24"/>
        </w:rPr>
        <w:t xml:space="preserve"> </w:t>
      </w:r>
      <w:r w:rsidR="000530B4">
        <w:rPr>
          <w:rFonts w:ascii="Times New Roman" w:eastAsia="Times New Roman" w:hAnsi="Times New Roman" w:cs="Times New Roman"/>
          <w:sz w:val="24"/>
          <w:szCs w:val="24"/>
        </w:rPr>
        <w:lastRenderedPageBreak/>
        <w:t xml:space="preserve">circumference, body fat), weight change, health behaviours (physical activity, sleep, energy intake), eating behaviour traits (e.g., disinhibition) and appetite control (e.g., hunger, satiety).  </w:t>
      </w:r>
    </w:p>
    <w:p w14:paraId="00000182" w14:textId="77777777" w:rsidR="00CB4215" w:rsidRDefault="00CB4215">
      <w:pPr>
        <w:spacing w:line="480" w:lineRule="auto"/>
        <w:rPr>
          <w:rFonts w:ascii="Times New Roman" w:eastAsia="Times New Roman" w:hAnsi="Times New Roman" w:cs="Times New Roman"/>
          <w:b/>
        </w:rPr>
      </w:pPr>
    </w:p>
    <w:p w14:paraId="00000183"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2.2.3 Data extraction</w:t>
      </w:r>
    </w:p>
    <w:p w14:paraId="00000184" w14:textId="5A54027C"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studies that met the inclusion criteria, one author (BY) extracted the information from each study summarised in Table 2.1: author, year, sample size, participant characteristics, </w:t>
      </w:r>
      <w:r w:rsidR="00FB6346">
        <w:rPr>
          <w:rFonts w:ascii="Times New Roman" w:eastAsia="Times New Roman" w:hAnsi="Times New Roman" w:cs="Times New Roman"/>
          <w:sz w:val="24"/>
          <w:szCs w:val="24"/>
        </w:rPr>
        <w:t xml:space="preserve">country, </w:t>
      </w:r>
      <w:r>
        <w:rPr>
          <w:rFonts w:ascii="Times New Roman" w:eastAsia="Times New Roman" w:hAnsi="Times New Roman" w:cs="Times New Roman"/>
          <w:sz w:val="24"/>
          <w:szCs w:val="24"/>
        </w:rPr>
        <w:t>study design, definition of late eating and changes in outcomes.</w:t>
      </w:r>
    </w:p>
    <w:p w14:paraId="00000185" w14:textId="77777777" w:rsidR="00CB4215" w:rsidRDefault="00CB4215">
      <w:pPr>
        <w:spacing w:line="480" w:lineRule="auto"/>
        <w:rPr>
          <w:rFonts w:ascii="Times New Roman" w:eastAsia="Times New Roman" w:hAnsi="Times New Roman" w:cs="Times New Roman"/>
          <w:sz w:val="24"/>
          <w:szCs w:val="24"/>
        </w:rPr>
      </w:pPr>
    </w:p>
    <w:p w14:paraId="00000186" w14:textId="77777777" w:rsidR="00CB4215" w:rsidRDefault="000530B4">
      <w:pPr>
        <w:pStyle w:val="Heading3"/>
        <w:spacing w:line="480" w:lineRule="auto"/>
        <w:rPr>
          <w:rFonts w:ascii="Times New Roman" w:eastAsia="Times New Roman" w:hAnsi="Times New Roman" w:cs="Times New Roman"/>
          <w:b/>
          <w:color w:val="000000"/>
        </w:rPr>
      </w:pPr>
      <w:bookmarkStart w:id="31" w:name="_Toc172984784"/>
      <w:r>
        <w:rPr>
          <w:rFonts w:ascii="Times New Roman" w:eastAsia="Times New Roman" w:hAnsi="Times New Roman" w:cs="Times New Roman"/>
          <w:b/>
          <w:color w:val="000000"/>
        </w:rPr>
        <w:t>2.3 Results and Discussion</w:t>
      </w:r>
      <w:bookmarkEnd w:id="31"/>
    </w:p>
    <w:p w14:paraId="00000187"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2.3.1 Study characteristics and designs</w:t>
      </w:r>
    </w:p>
    <w:p w14:paraId="00000188" w14:textId="04139B98"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28 quantitative studies were included in this narrative review and all study characteristics are shown in Table 2.1. Ten studies were conducted in the USA </w:t>
      </w:r>
      <w:hyperlink r:id="rId235">
        <w:r>
          <w:rPr>
            <w:rFonts w:ascii="Times New Roman" w:eastAsia="Times New Roman" w:hAnsi="Times New Roman" w:cs="Times New Roman"/>
            <w:sz w:val="24"/>
            <w:szCs w:val="24"/>
          </w:rPr>
          <w:t xml:space="preserve">(Baron et al., 2011; </w:t>
        </w:r>
      </w:hyperlink>
      <w:hyperlink r:id="rId236">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w:t>
        </w:r>
      </w:hyperlink>
      <w:r>
        <w:rPr>
          <w:rFonts w:ascii="Times New Roman" w:eastAsia="Times New Roman" w:hAnsi="Times New Roman" w:cs="Times New Roman"/>
          <w:sz w:val="24"/>
          <w:szCs w:val="24"/>
        </w:rPr>
        <w:t xml:space="preserve">; </w:t>
      </w:r>
      <w:hyperlink r:id="rId237">
        <w:proofErr w:type="spellStart"/>
        <w:r>
          <w:rPr>
            <w:rFonts w:ascii="Times New Roman" w:eastAsia="Times New Roman" w:hAnsi="Times New Roman" w:cs="Times New Roman"/>
            <w:sz w:val="24"/>
            <w:szCs w:val="24"/>
          </w:rPr>
          <w:t>McHill</w:t>
        </w:r>
        <w:proofErr w:type="spellEnd"/>
        <w:r>
          <w:rPr>
            <w:rFonts w:ascii="Times New Roman" w:eastAsia="Times New Roman" w:hAnsi="Times New Roman" w:cs="Times New Roman"/>
            <w:sz w:val="24"/>
            <w:szCs w:val="24"/>
          </w:rPr>
          <w:t xml:space="preserve"> et al., 2017</w:t>
        </w:r>
      </w:hyperlink>
      <w:r>
        <w:rPr>
          <w:rFonts w:ascii="Times New Roman" w:eastAsia="Times New Roman" w:hAnsi="Times New Roman" w:cs="Times New Roman"/>
          <w:sz w:val="24"/>
          <w:szCs w:val="24"/>
        </w:rPr>
        <w:t xml:space="preserve">; </w:t>
      </w:r>
      <w:hyperlink r:id="rId238">
        <w:r>
          <w:rPr>
            <w:rFonts w:ascii="Times New Roman" w:eastAsia="Times New Roman" w:hAnsi="Times New Roman" w:cs="Times New Roman"/>
            <w:sz w:val="24"/>
            <w:szCs w:val="24"/>
          </w:rPr>
          <w:t>Thomas et al., 2020</w:t>
        </w:r>
      </w:hyperlink>
      <w:r>
        <w:rPr>
          <w:rFonts w:ascii="Times New Roman" w:eastAsia="Times New Roman" w:hAnsi="Times New Roman" w:cs="Times New Roman"/>
          <w:sz w:val="24"/>
          <w:szCs w:val="24"/>
        </w:rPr>
        <w:t xml:space="preserve">; </w:t>
      </w:r>
      <w:hyperlink r:id="rId239">
        <w:r>
          <w:rPr>
            <w:rFonts w:ascii="Times New Roman" w:eastAsia="Times New Roman" w:hAnsi="Times New Roman" w:cs="Times New Roman"/>
            <w:sz w:val="24"/>
            <w:szCs w:val="24"/>
          </w:rPr>
          <w:t>Wang et al., 2014</w:t>
        </w:r>
      </w:hyperlink>
      <w:r>
        <w:rPr>
          <w:rFonts w:ascii="Times New Roman" w:eastAsia="Times New Roman" w:hAnsi="Times New Roman" w:cs="Times New Roman"/>
          <w:sz w:val="24"/>
          <w:szCs w:val="24"/>
        </w:rPr>
        <w:t xml:space="preserve">; </w:t>
      </w:r>
      <w:hyperlink r:id="rId240">
        <w:r>
          <w:rPr>
            <w:rFonts w:ascii="Times New Roman" w:eastAsia="Times New Roman" w:hAnsi="Times New Roman" w:cs="Times New Roman"/>
            <w:sz w:val="24"/>
            <w:szCs w:val="24"/>
          </w:rPr>
          <w:t>Xiao et al., 2019</w:t>
        </w:r>
      </w:hyperlink>
      <w:r>
        <w:rPr>
          <w:rFonts w:ascii="Times New Roman" w:eastAsia="Times New Roman" w:hAnsi="Times New Roman" w:cs="Times New Roman"/>
          <w:sz w:val="24"/>
          <w:szCs w:val="24"/>
        </w:rPr>
        <w:t xml:space="preserve">; </w:t>
      </w:r>
      <w:hyperlink r:id="rId241">
        <w:r>
          <w:rPr>
            <w:rFonts w:ascii="Times New Roman" w:eastAsia="Times New Roman" w:hAnsi="Times New Roman" w:cs="Times New Roman"/>
            <w:sz w:val="24"/>
            <w:szCs w:val="24"/>
          </w:rPr>
          <w:t>Kant et al., 1997</w:t>
        </w:r>
      </w:hyperlink>
      <w:r>
        <w:rPr>
          <w:rFonts w:ascii="Times New Roman" w:eastAsia="Times New Roman" w:hAnsi="Times New Roman" w:cs="Times New Roman"/>
          <w:sz w:val="24"/>
          <w:szCs w:val="24"/>
        </w:rPr>
        <w:t xml:space="preserve">; </w:t>
      </w:r>
      <w:hyperlink r:id="rId242">
        <w:r>
          <w:rPr>
            <w:rFonts w:ascii="Times New Roman" w:eastAsia="Times New Roman" w:hAnsi="Times New Roman" w:cs="Times New Roman"/>
            <w:sz w:val="24"/>
            <w:szCs w:val="24"/>
          </w:rPr>
          <w:t>Reid et al., 2014</w:t>
        </w:r>
      </w:hyperlink>
      <w:r>
        <w:rPr>
          <w:rFonts w:ascii="Times New Roman" w:eastAsia="Times New Roman" w:hAnsi="Times New Roman" w:cs="Times New Roman"/>
          <w:sz w:val="24"/>
          <w:szCs w:val="24"/>
        </w:rPr>
        <w:t xml:space="preserve">; </w:t>
      </w:r>
      <w:hyperlink r:id="rId243">
        <w:proofErr w:type="spellStart"/>
        <w:r>
          <w:rPr>
            <w:rFonts w:ascii="Times New Roman" w:eastAsia="Times New Roman" w:hAnsi="Times New Roman" w:cs="Times New Roman"/>
            <w:sz w:val="24"/>
            <w:szCs w:val="24"/>
          </w:rPr>
          <w:t>Kahleova</w:t>
        </w:r>
        <w:proofErr w:type="spellEnd"/>
        <w:r>
          <w:rPr>
            <w:rFonts w:ascii="Times New Roman" w:eastAsia="Times New Roman" w:hAnsi="Times New Roman" w:cs="Times New Roman"/>
            <w:sz w:val="24"/>
            <w:szCs w:val="24"/>
          </w:rPr>
          <w:t xml:space="preserve"> et al., 2017</w:t>
        </w:r>
      </w:hyperlink>
      <w:r>
        <w:rPr>
          <w:rFonts w:ascii="Times New Roman" w:eastAsia="Times New Roman" w:hAnsi="Times New Roman" w:cs="Times New Roman"/>
          <w:sz w:val="24"/>
          <w:szCs w:val="24"/>
        </w:rPr>
        <w:t xml:space="preserve">; </w:t>
      </w:r>
      <w:hyperlink r:id="rId244">
        <w:r>
          <w:rPr>
            <w:rFonts w:ascii="Times New Roman" w:eastAsia="Times New Roman" w:hAnsi="Times New Roman" w:cs="Times New Roman"/>
            <w:sz w:val="24"/>
            <w:szCs w:val="24"/>
          </w:rPr>
          <w:t>Baron et al., 2011; de Castro 2004)</w:t>
        </w:r>
      </w:hyperlink>
      <w:r>
        <w:rPr>
          <w:rFonts w:ascii="Times New Roman" w:eastAsia="Times New Roman" w:hAnsi="Times New Roman" w:cs="Times New Roman"/>
          <w:sz w:val="24"/>
          <w:szCs w:val="24"/>
        </w:rPr>
        <w:t xml:space="preserve">, six studies in Japan </w:t>
      </w:r>
      <w:hyperlink r:id="rId245">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Kutsuma</w:t>
        </w:r>
        <w:proofErr w:type="spellEnd"/>
        <w:r>
          <w:rPr>
            <w:rFonts w:ascii="Times New Roman" w:eastAsia="Times New Roman" w:hAnsi="Times New Roman" w:cs="Times New Roman"/>
            <w:sz w:val="24"/>
            <w:szCs w:val="24"/>
          </w:rPr>
          <w:t xml:space="preserve"> et al., 2014; </w:t>
        </w:r>
      </w:hyperlink>
      <w:hyperlink r:id="rId246">
        <w:r>
          <w:rPr>
            <w:rFonts w:ascii="Times New Roman" w:eastAsia="Times New Roman" w:hAnsi="Times New Roman" w:cs="Times New Roman"/>
            <w:sz w:val="24"/>
            <w:szCs w:val="24"/>
          </w:rPr>
          <w:t>Okada et al., 2019</w:t>
        </w:r>
      </w:hyperlink>
      <w:r>
        <w:rPr>
          <w:rFonts w:ascii="Times New Roman" w:eastAsia="Times New Roman" w:hAnsi="Times New Roman" w:cs="Times New Roman"/>
          <w:sz w:val="24"/>
          <w:szCs w:val="24"/>
        </w:rPr>
        <w:t xml:space="preserve">; </w:t>
      </w:r>
      <w:hyperlink r:id="rId247">
        <w:r>
          <w:rPr>
            <w:rFonts w:ascii="Times New Roman" w:eastAsia="Times New Roman" w:hAnsi="Times New Roman" w:cs="Times New Roman"/>
            <w:sz w:val="24"/>
            <w:szCs w:val="24"/>
          </w:rPr>
          <w:t>Suzuki et al., 2016</w:t>
        </w:r>
      </w:hyperlink>
      <w:r>
        <w:rPr>
          <w:rFonts w:ascii="Times New Roman" w:eastAsia="Times New Roman" w:hAnsi="Times New Roman" w:cs="Times New Roman"/>
          <w:sz w:val="24"/>
          <w:szCs w:val="24"/>
        </w:rPr>
        <w:t xml:space="preserve">; </w:t>
      </w:r>
      <w:hyperlink r:id="rId248">
        <w:r>
          <w:rPr>
            <w:rFonts w:ascii="Times New Roman" w:eastAsia="Times New Roman" w:hAnsi="Times New Roman" w:cs="Times New Roman"/>
            <w:sz w:val="24"/>
            <w:szCs w:val="24"/>
          </w:rPr>
          <w:t>Yoshida et al., 2018</w:t>
        </w:r>
      </w:hyperlink>
      <w:r>
        <w:rPr>
          <w:rFonts w:ascii="Times New Roman" w:eastAsia="Times New Roman" w:hAnsi="Times New Roman" w:cs="Times New Roman"/>
          <w:sz w:val="24"/>
          <w:szCs w:val="24"/>
        </w:rPr>
        <w:t xml:space="preserve">; </w:t>
      </w:r>
      <w:hyperlink r:id="rId249">
        <w:proofErr w:type="spellStart"/>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 2019</w:t>
        </w:r>
      </w:hyperlink>
      <w:r>
        <w:rPr>
          <w:rFonts w:ascii="Times New Roman" w:eastAsia="Times New Roman" w:hAnsi="Times New Roman" w:cs="Times New Roman"/>
          <w:sz w:val="24"/>
          <w:szCs w:val="24"/>
        </w:rPr>
        <w:t xml:space="preserve">; </w:t>
      </w:r>
      <w:hyperlink r:id="rId250">
        <w:r>
          <w:rPr>
            <w:rFonts w:ascii="Times New Roman" w:eastAsia="Times New Roman" w:hAnsi="Times New Roman" w:cs="Times New Roman"/>
            <w:sz w:val="24"/>
            <w:szCs w:val="24"/>
          </w:rPr>
          <w:t>Lee et al., 2016</w:t>
        </w:r>
      </w:hyperlink>
      <w:hyperlink r:id="rId251">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three in Spain </w:t>
      </w:r>
      <w:hyperlink r:id="rId252">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w:t>
        </w:r>
      </w:hyperlink>
      <w:hyperlink r:id="rId253">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2016</w:t>
        </w:r>
      </w:hyperlink>
      <w:r>
        <w:rPr>
          <w:rFonts w:ascii="Times New Roman" w:eastAsia="Times New Roman" w:hAnsi="Times New Roman" w:cs="Times New Roman"/>
          <w:sz w:val="24"/>
          <w:szCs w:val="24"/>
        </w:rPr>
        <w:t xml:space="preserve">; </w:t>
      </w:r>
      <w:hyperlink r:id="rId254">
        <w:r>
          <w:rPr>
            <w:rFonts w:ascii="Times New Roman" w:eastAsia="Times New Roman" w:hAnsi="Times New Roman" w:cs="Times New Roman"/>
            <w:sz w:val="24"/>
            <w:szCs w:val="24"/>
          </w:rPr>
          <w:t>Ruiz-Lozano et al., 2016</w:t>
        </w:r>
      </w:hyperlink>
      <w:hyperlink r:id="rId255">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three in UK </w:t>
      </w:r>
      <w:hyperlink r:id="rId25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Madjd</w:t>
        </w:r>
        <w:proofErr w:type="spellEnd"/>
        <w:r>
          <w:rPr>
            <w:rFonts w:ascii="Times New Roman" w:eastAsia="Times New Roman" w:hAnsi="Times New Roman" w:cs="Times New Roman"/>
            <w:sz w:val="24"/>
            <w:szCs w:val="24"/>
          </w:rPr>
          <w:t xml:space="preserve"> et al., 2021; </w:t>
        </w:r>
      </w:hyperlink>
      <w:hyperlink r:id="rId257">
        <w:proofErr w:type="spellStart"/>
        <w:r>
          <w:rPr>
            <w:rFonts w:ascii="Times New Roman" w:eastAsia="Times New Roman" w:hAnsi="Times New Roman" w:cs="Times New Roman"/>
            <w:sz w:val="24"/>
            <w:szCs w:val="24"/>
          </w:rPr>
          <w:t>Madjd</w:t>
        </w:r>
        <w:proofErr w:type="spellEnd"/>
        <w:r>
          <w:rPr>
            <w:rFonts w:ascii="Times New Roman" w:eastAsia="Times New Roman" w:hAnsi="Times New Roman" w:cs="Times New Roman"/>
            <w:sz w:val="24"/>
            <w:szCs w:val="24"/>
          </w:rPr>
          <w:t xml:space="preserve"> et al., 2016</w:t>
        </w:r>
      </w:hyperlink>
      <w:r>
        <w:rPr>
          <w:rFonts w:ascii="Times New Roman" w:eastAsia="Times New Roman" w:hAnsi="Times New Roman" w:cs="Times New Roman"/>
          <w:sz w:val="24"/>
          <w:szCs w:val="24"/>
        </w:rPr>
        <w:t xml:space="preserve">; </w:t>
      </w:r>
      <w:hyperlink r:id="rId258">
        <w:r>
          <w:rPr>
            <w:rFonts w:ascii="Times New Roman" w:eastAsia="Times New Roman" w:hAnsi="Times New Roman" w:cs="Times New Roman"/>
            <w:sz w:val="24"/>
            <w:szCs w:val="24"/>
          </w:rPr>
          <w:t>Ruddick-Collins et al., 2022</w:t>
        </w:r>
      </w:hyperlink>
      <w:hyperlink r:id="rId259">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two in Canada </w:t>
      </w:r>
      <w:hyperlink r:id="rId260">
        <w:r>
          <w:rPr>
            <w:rFonts w:ascii="Times New Roman" w:eastAsia="Times New Roman" w:hAnsi="Times New Roman" w:cs="Times New Roman"/>
            <w:sz w:val="24"/>
            <w:szCs w:val="24"/>
          </w:rPr>
          <w:t xml:space="preserve">(Jacob et al., 2023; </w:t>
        </w:r>
      </w:hyperlink>
      <w:hyperlink r:id="rId261">
        <w:r>
          <w:rPr>
            <w:rFonts w:ascii="Times New Roman" w:eastAsia="Times New Roman" w:hAnsi="Times New Roman" w:cs="Times New Roman"/>
            <w:sz w:val="24"/>
            <w:szCs w:val="24"/>
          </w:rPr>
          <w:t>Sandhu and Tang 2017</w:t>
        </w:r>
      </w:hyperlink>
      <w:hyperlink r:id="rId262">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two in Italy </w:t>
      </w:r>
      <w:hyperlink r:id="rId263">
        <w:r>
          <w:rPr>
            <w:rFonts w:ascii="Times New Roman" w:eastAsia="Times New Roman" w:hAnsi="Times New Roman" w:cs="Times New Roman"/>
            <w:sz w:val="24"/>
            <w:szCs w:val="24"/>
          </w:rPr>
          <w:t xml:space="preserve">(Bo et al., 2014; </w:t>
        </w:r>
      </w:hyperlink>
      <w:hyperlink r:id="rId264">
        <w:r>
          <w:rPr>
            <w:rFonts w:ascii="Times New Roman" w:eastAsia="Times New Roman" w:hAnsi="Times New Roman" w:cs="Times New Roman"/>
            <w:sz w:val="24"/>
            <w:szCs w:val="24"/>
          </w:rPr>
          <w:t>Lombardo et al., 2014</w:t>
        </w:r>
      </w:hyperlink>
      <w:hyperlink r:id="rId265">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one in Denmark </w:t>
      </w:r>
      <w:hyperlink r:id="rId26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Mogensen</w:t>
        </w:r>
        <w:proofErr w:type="spellEnd"/>
        <w:r>
          <w:rPr>
            <w:rFonts w:ascii="Times New Roman" w:eastAsia="Times New Roman" w:hAnsi="Times New Roman" w:cs="Times New Roman"/>
            <w:sz w:val="24"/>
            <w:szCs w:val="24"/>
          </w:rPr>
          <w:t xml:space="preserve"> et al., 2020)</w:t>
        </w:r>
      </w:hyperlink>
      <w:r>
        <w:rPr>
          <w:rFonts w:ascii="Times New Roman" w:eastAsia="Times New Roman" w:hAnsi="Times New Roman" w:cs="Times New Roman"/>
          <w:sz w:val="24"/>
          <w:szCs w:val="24"/>
        </w:rPr>
        <w:t xml:space="preserve"> and one in Israel </w:t>
      </w:r>
      <w:hyperlink r:id="rId26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Jakubowicz</w:t>
        </w:r>
        <w:proofErr w:type="spellEnd"/>
        <w:r>
          <w:rPr>
            <w:rFonts w:ascii="Times New Roman" w:eastAsia="Times New Roman" w:hAnsi="Times New Roman" w:cs="Times New Roman"/>
            <w:sz w:val="24"/>
            <w:szCs w:val="24"/>
          </w:rPr>
          <w:t xml:space="preserve"> et al., 2013)</w:t>
        </w:r>
      </w:hyperlink>
      <w:r>
        <w:rPr>
          <w:rFonts w:ascii="Times New Roman" w:eastAsia="Times New Roman" w:hAnsi="Times New Roman" w:cs="Times New Roman"/>
          <w:sz w:val="24"/>
          <w:szCs w:val="24"/>
        </w:rPr>
        <w:t xml:space="preserve">. Fifteen studies recruited participants from the general population, which included participants with and without overweight/obesity. Eleven studies recruited participants with overweight/obesity and two studies recruited participants of normal weight (see more details in Table 2.1). Most studies </w:t>
      </w:r>
      <w:r>
        <w:rPr>
          <w:rFonts w:ascii="Times New Roman" w:eastAsia="Times New Roman" w:hAnsi="Times New Roman" w:cs="Times New Roman"/>
          <w:sz w:val="24"/>
          <w:szCs w:val="24"/>
        </w:rPr>
        <w:lastRenderedPageBreak/>
        <w:t xml:space="preserve">included in this narrative review were observational studies (n = 23) and five were randomised controlled trials. In terms of measurements, 20 studies used objective measurements of height and weight, and seven studies used self-reported height and weight to calculate BMI. </w:t>
      </w:r>
    </w:p>
    <w:p w14:paraId="7F44CD5D" w14:textId="77777777" w:rsidR="007C2E7A" w:rsidRDefault="007C2E7A">
      <w:pPr>
        <w:spacing w:line="480" w:lineRule="auto"/>
        <w:rPr>
          <w:rFonts w:ascii="Times New Roman" w:eastAsia="Times New Roman" w:hAnsi="Times New Roman" w:cs="Times New Roman"/>
          <w:sz w:val="24"/>
          <w:szCs w:val="24"/>
        </w:rPr>
      </w:pPr>
    </w:p>
    <w:p w14:paraId="0000018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there is no standard definition of late eating, a number of definitions are presented in Table 2.1, </w:t>
      </w:r>
      <w:r>
        <w:rPr>
          <w:rFonts w:ascii="Times New Roman" w:eastAsia="Times New Roman" w:hAnsi="Times New Roman" w:cs="Times New Roman"/>
          <w:sz w:val="24"/>
          <w:szCs w:val="24"/>
          <w:highlight w:val="white"/>
        </w:rPr>
        <w:t xml:space="preserve">such as by using timing of evening meal consumption </w:t>
      </w:r>
      <w:hyperlink r:id="rId268">
        <w:r>
          <w:rPr>
            <w:rFonts w:ascii="Times New Roman" w:eastAsia="Times New Roman" w:hAnsi="Times New Roman" w:cs="Times New Roman"/>
            <w:sz w:val="24"/>
            <w:szCs w:val="24"/>
          </w:rPr>
          <w:t>(Reid et al., 2014</w:t>
        </w:r>
      </w:hyperlink>
      <w:r>
        <w:rPr>
          <w:rFonts w:ascii="Times New Roman" w:eastAsia="Times New Roman" w:hAnsi="Times New Roman" w:cs="Times New Roman"/>
          <w:sz w:val="24"/>
          <w:szCs w:val="24"/>
          <w:highlight w:val="white"/>
        </w:rPr>
        <w:t xml:space="preserve">; </w:t>
      </w:r>
      <w:hyperlink r:id="rId269">
        <w:proofErr w:type="spellStart"/>
        <w:r>
          <w:rPr>
            <w:rFonts w:ascii="Times New Roman" w:eastAsia="Times New Roman" w:hAnsi="Times New Roman" w:cs="Times New Roman"/>
            <w:sz w:val="24"/>
            <w:szCs w:val="24"/>
          </w:rPr>
          <w:t>Mogensen</w:t>
        </w:r>
        <w:proofErr w:type="spellEnd"/>
        <w:r>
          <w:rPr>
            <w:rFonts w:ascii="Times New Roman" w:eastAsia="Times New Roman" w:hAnsi="Times New Roman" w:cs="Times New Roman"/>
            <w:sz w:val="24"/>
            <w:szCs w:val="24"/>
          </w:rPr>
          <w:t xml:space="preserve"> et al., 2020</w:t>
        </w:r>
      </w:hyperlink>
      <w:r>
        <w:rPr>
          <w:rFonts w:ascii="Times New Roman" w:eastAsia="Times New Roman" w:hAnsi="Times New Roman" w:cs="Times New Roman"/>
          <w:sz w:val="24"/>
          <w:szCs w:val="24"/>
          <w:highlight w:val="white"/>
        </w:rPr>
        <w:t xml:space="preserve">; </w:t>
      </w:r>
      <w:hyperlink r:id="rId270">
        <w:r>
          <w:rPr>
            <w:rFonts w:ascii="Times New Roman" w:eastAsia="Times New Roman" w:hAnsi="Times New Roman" w:cs="Times New Roman"/>
            <w:sz w:val="24"/>
            <w:szCs w:val="24"/>
          </w:rPr>
          <w:t>Lee et al., 2016</w:t>
        </w:r>
      </w:hyperlink>
      <w:r>
        <w:rPr>
          <w:rFonts w:ascii="Times New Roman" w:eastAsia="Times New Roman" w:hAnsi="Times New Roman" w:cs="Times New Roman"/>
          <w:sz w:val="24"/>
          <w:szCs w:val="24"/>
          <w:highlight w:val="white"/>
        </w:rPr>
        <w:t xml:space="preserve">), using a specific time of day to characterise early or late eating (cut-off point as 8 PM: </w:t>
      </w:r>
      <w:hyperlink r:id="rId271">
        <w:r>
          <w:rPr>
            <w:rFonts w:ascii="Times New Roman" w:eastAsia="Times New Roman" w:hAnsi="Times New Roman" w:cs="Times New Roman"/>
            <w:sz w:val="24"/>
            <w:szCs w:val="24"/>
          </w:rPr>
          <w:t>Jacob et al., 2023</w:t>
        </w:r>
      </w:hyperlink>
      <w:r>
        <w:rPr>
          <w:rFonts w:ascii="Times New Roman" w:eastAsia="Times New Roman" w:hAnsi="Times New Roman" w:cs="Times New Roman"/>
          <w:sz w:val="24"/>
          <w:szCs w:val="24"/>
          <w:highlight w:val="white"/>
        </w:rPr>
        <w:t xml:space="preserve">; </w:t>
      </w:r>
      <w:hyperlink r:id="rId272">
        <w:r>
          <w:rPr>
            <w:rFonts w:ascii="Times New Roman" w:eastAsia="Times New Roman" w:hAnsi="Times New Roman" w:cs="Times New Roman"/>
            <w:sz w:val="24"/>
            <w:szCs w:val="24"/>
          </w:rPr>
          <w:t>Baron et al., 2011</w:t>
        </w:r>
      </w:hyperlink>
      <w:r>
        <w:rPr>
          <w:rFonts w:ascii="Times New Roman" w:eastAsia="Times New Roman" w:hAnsi="Times New Roman" w:cs="Times New Roman"/>
          <w:sz w:val="24"/>
          <w:szCs w:val="24"/>
          <w:highlight w:val="white"/>
        </w:rPr>
        <w:t xml:space="preserve">; </w:t>
      </w:r>
      <w:hyperlink r:id="rId273">
        <w:r>
          <w:rPr>
            <w:rFonts w:ascii="Times New Roman" w:eastAsia="Times New Roman" w:hAnsi="Times New Roman" w:cs="Times New Roman"/>
            <w:sz w:val="24"/>
            <w:szCs w:val="24"/>
          </w:rPr>
          <w:t>Sandhu and Tang 2017</w:t>
        </w:r>
      </w:hyperlink>
      <w:r>
        <w:rPr>
          <w:rFonts w:ascii="Times New Roman" w:eastAsia="Times New Roman" w:hAnsi="Times New Roman" w:cs="Times New Roman"/>
          <w:sz w:val="24"/>
          <w:szCs w:val="24"/>
          <w:highlight w:val="white"/>
        </w:rPr>
        <w:t xml:space="preserve">, cut-off point as 3 PM </w:t>
      </w:r>
      <w:hyperlink r:id="rId274">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Ruiz-Lozano et al., 2016</w:t>
        </w:r>
      </w:hyperlink>
      <w:r>
        <w:rPr>
          <w:rFonts w:ascii="Times New Roman" w:eastAsia="Times New Roman" w:hAnsi="Times New Roman" w:cs="Times New Roman"/>
          <w:sz w:val="24"/>
          <w:szCs w:val="24"/>
          <w:highlight w:val="white"/>
        </w:rPr>
        <w:t xml:space="preserve">; or cut-off point as 2:54 PM; </w:t>
      </w:r>
      <w:hyperlink r:id="rId275">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w:t>
        </w:r>
      </w:hyperlink>
      <w:r>
        <w:rPr>
          <w:rFonts w:ascii="Times New Roman" w:eastAsia="Times New Roman" w:hAnsi="Times New Roman" w:cs="Times New Roman"/>
          <w:sz w:val="24"/>
          <w:szCs w:val="24"/>
          <w:highlight w:val="white"/>
        </w:rPr>
        <w:t xml:space="preserve">), the </w:t>
      </w:r>
      <w:proofErr w:type="spellStart"/>
      <w:r>
        <w:rPr>
          <w:rFonts w:ascii="Times New Roman" w:eastAsia="Times New Roman" w:hAnsi="Times New Roman" w:cs="Times New Roman"/>
          <w:sz w:val="24"/>
          <w:szCs w:val="24"/>
          <w:highlight w:val="white"/>
        </w:rPr>
        <w:t>tertiles</w:t>
      </w:r>
      <w:proofErr w:type="spellEnd"/>
      <w:r>
        <w:rPr>
          <w:rFonts w:ascii="Times New Roman" w:eastAsia="Times New Roman" w:hAnsi="Times New Roman" w:cs="Times New Roman"/>
          <w:sz w:val="24"/>
          <w:szCs w:val="24"/>
          <w:highlight w:val="white"/>
        </w:rPr>
        <w:t xml:space="preserve"> of the percentage of total daily calorie intake from evening meal (such as </w:t>
      </w:r>
      <w:hyperlink r:id="rId276">
        <w:r>
          <w:rPr>
            <w:rFonts w:ascii="Times New Roman" w:eastAsia="Times New Roman" w:hAnsi="Times New Roman" w:cs="Times New Roman"/>
            <w:sz w:val="24"/>
            <w:szCs w:val="24"/>
          </w:rPr>
          <w:t xml:space="preserve">Xiao et al., 2019; </w:t>
        </w:r>
      </w:hyperlink>
      <w:hyperlink r:id="rId277">
        <w:r>
          <w:rPr>
            <w:rFonts w:ascii="Times New Roman" w:eastAsia="Times New Roman" w:hAnsi="Times New Roman" w:cs="Times New Roman"/>
            <w:sz w:val="24"/>
            <w:szCs w:val="24"/>
          </w:rPr>
          <w:t>Bo et al., 2014</w:t>
        </w:r>
      </w:hyperlink>
      <w:r>
        <w:rPr>
          <w:rFonts w:ascii="Times New Roman" w:eastAsia="Times New Roman" w:hAnsi="Times New Roman" w:cs="Times New Roman"/>
          <w:sz w:val="24"/>
          <w:szCs w:val="24"/>
        </w:rPr>
        <w:t xml:space="preserve">; </w:t>
      </w:r>
      <w:hyperlink r:id="rId278">
        <w:r>
          <w:rPr>
            <w:rFonts w:ascii="Times New Roman" w:eastAsia="Times New Roman" w:hAnsi="Times New Roman" w:cs="Times New Roman"/>
            <w:sz w:val="24"/>
            <w:szCs w:val="24"/>
          </w:rPr>
          <w:t>Lombardo et al., 2014</w:t>
        </w:r>
      </w:hyperlink>
      <w:r>
        <w:rPr>
          <w:rFonts w:ascii="Times New Roman" w:eastAsia="Times New Roman" w:hAnsi="Times New Roman" w:cs="Times New Roman"/>
          <w:sz w:val="24"/>
          <w:szCs w:val="24"/>
        </w:rPr>
        <w:t xml:space="preserve">; </w:t>
      </w:r>
      <w:hyperlink r:id="rId279">
        <w:r>
          <w:rPr>
            <w:rFonts w:ascii="Times New Roman" w:eastAsia="Times New Roman" w:hAnsi="Times New Roman" w:cs="Times New Roman"/>
            <w:sz w:val="24"/>
            <w:szCs w:val="24"/>
          </w:rPr>
          <w:t>Wang et al., 2014</w:t>
        </w:r>
      </w:hyperlink>
      <w:r>
        <w:rPr>
          <w:rFonts w:ascii="Times New Roman" w:eastAsia="Times New Roman" w:hAnsi="Times New Roman" w:cs="Times New Roman"/>
          <w:sz w:val="24"/>
          <w:szCs w:val="24"/>
          <w:highlight w:val="white"/>
        </w:rPr>
        <w:t xml:space="preserve">; </w:t>
      </w:r>
      <w:hyperlink r:id="rId280">
        <w:r>
          <w:rPr>
            <w:rFonts w:ascii="Times New Roman" w:eastAsia="Times New Roman" w:hAnsi="Times New Roman" w:cs="Times New Roman"/>
            <w:sz w:val="24"/>
            <w:szCs w:val="24"/>
          </w:rPr>
          <w:t>Ruddick-Collins et al., 2022</w:t>
        </w:r>
      </w:hyperlink>
      <w:r>
        <w:rPr>
          <w:rFonts w:ascii="Times New Roman" w:eastAsia="Times New Roman" w:hAnsi="Times New Roman" w:cs="Times New Roman"/>
          <w:sz w:val="24"/>
          <w:szCs w:val="24"/>
          <w:highlight w:val="white"/>
        </w:rPr>
        <w:t xml:space="preserve">), median for the midpoint of meal intake </w:t>
      </w:r>
      <w:hyperlink r:id="rId28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w:t>
        </w:r>
      </w:hyperlink>
      <w:hyperlink r:id="rId282">
        <w:r>
          <w:rPr>
            <w:rFonts w:ascii="Times New Roman" w:eastAsia="Times New Roman" w:hAnsi="Times New Roman" w:cs="Times New Roman"/>
            <w:sz w:val="24"/>
            <w:szCs w:val="24"/>
          </w:rPr>
          <w:t>Thomas et al., 2020</w:t>
        </w:r>
      </w:hyperlink>
      <w:hyperlink r:id="rId283">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highlight w:val="white"/>
        </w:rPr>
        <w:t xml:space="preserve"> or having 2 hours before bedtime </w:t>
      </w:r>
      <w:hyperlink r:id="rId284">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Kutsuma</w:t>
        </w:r>
        <w:proofErr w:type="spellEnd"/>
        <w:r>
          <w:rPr>
            <w:rFonts w:ascii="Times New Roman" w:eastAsia="Times New Roman" w:hAnsi="Times New Roman" w:cs="Times New Roman"/>
            <w:sz w:val="24"/>
            <w:szCs w:val="24"/>
          </w:rPr>
          <w:t xml:space="preserve"> et al., 2014</w:t>
        </w:r>
      </w:hyperlink>
      <w:r>
        <w:rPr>
          <w:rFonts w:ascii="Times New Roman" w:eastAsia="Times New Roman" w:hAnsi="Times New Roman" w:cs="Times New Roman"/>
          <w:sz w:val="24"/>
          <w:szCs w:val="24"/>
          <w:highlight w:val="white"/>
        </w:rPr>
        <w:t xml:space="preserve">; </w:t>
      </w:r>
      <w:hyperlink r:id="rId285">
        <w:r>
          <w:rPr>
            <w:rFonts w:ascii="Times New Roman" w:eastAsia="Times New Roman" w:hAnsi="Times New Roman" w:cs="Times New Roman"/>
            <w:sz w:val="24"/>
            <w:szCs w:val="24"/>
          </w:rPr>
          <w:t>Okada et al., 2019</w:t>
        </w:r>
      </w:hyperlink>
      <w:r>
        <w:rPr>
          <w:rFonts w:ascii="Times New Roman" w:eastAsia="Times New Roman" w:hAnsi="Times New Roman" w:cs="Times New Roman"/>
          <w:sz w:val="24"/>
          <w:szCs w:val="24"/>
          <w:highlight w:val="white"/>
        </w:rPr>
        <w:t xml:space="preserve">; </w:t>
      </w:r>
      <w:hyperlink r:id="rId286">
        <w:r>
          <w:rPr>
            <w:rFonts w:ascii="Times New Roman" w:eastAsia="Times New Roman" w:hAnsi="Times New Roman" w:cs="Times New Roman"/>
            <w:sz w:val="24"/>
            <w:szCs w:val="24"/>
          </w:rPr>
          <w:t>Yoshida et al., 2018</w:t>
        </w:r>
      </w:hyperlink>
      <w:r>
        <w:rPr>
          <w:rFonts w:ascii="Times New Roman" w:eastAsia="Times New Roman" w:hAnsi="Times New Roman" w:cs="Times New Roman"/>
          <w:sz w:val="24"/>
          <w:szCs w:val="24"/>
          <w:highlight w:val="white"/>
        </w:rPr>
        <w:t xml:space="preserve">; </w:t>
      </w:r>
      <w:hyperlink r:id="rId287">
        <w:proofErr w:type="spellStart"/>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 2019</w:t>
        </w:r>
      </w:hyperlink>
      <w:r>
        <w:rPr>
          <w:rFonts w:ascii="Times New Roman" w:eastAsia="Times New Roman" w:hAnsi="Times New Roman" w:cs="Times New Roman"/>
          <w:sz w:val="24"/>
          <w:szCs w:val="24"/>
          <w:highlight w:val="white"/>
        </w:rPr>
        <w:t>). Themes related to the association between meal timing and changes in outcomes were generated and discussed below.</w:t>
      </w:r>
    </w:p>
    <w:p w14:paraId="0000018A" w14:textId="77777777" w:rsidR="00CB4215" w:rsidRDefault="000530B4">
      <w:pPr>
        <w:rPr>
          <w:rFonts w:ascii="Times New Roman" w:eastAsia="Times New Roman" w:hAnsi="Times New Roman" w:cs="Times New Roman"/>
          <w:sz w:val="24"/>
          <w:szCs w:val="24"/>
          <w:highlight w:val="white"/>
        </w:rPr>
        <w:sectPr w:rsidR="00CB4215">
          <w:headerReference w:type="default" r:id="rId288"/>
          <w:pgSz w:w="11909" w:h="16834"/>
          <w:pgMar w:top="1440" w:right="1440" w:bottom="1440" w:left="1440" w:header="720" w:footer="720" w:gutter="0"/>
          <w:cols w:space="720"/>
        </w:sectPr>
      </w:pPr>
      <w:r>
        <w:br w:type="page"/>
      </w:r>
    </w:p>
    <w:p w14:paraId="0000018B"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32" w:name="_heading=h.1pxezwc" w:colFirst="0" w:colLast="0"/>
      <w:bookmarkEnd w:id="32"/>
      <w:r>
        <w:rPr>
          <w:rFonts w:ascii="Times New Roman" w:eastAsia="Times New Roman" w:hAnsi="Times New Roman" w:cs="Times New Roman"/>
          <w:i/>
          <w:color w:val="000000"/>
          <w:sz w:val="20"/>
          <w:szCs w:val="20"/>
        </w:rPr>
        <w:lastRenderedPageBreak/>
        <w:t xml:space="preserve">Table 2.1. </w:t>
      </w:r>
      <w:r>
        <w:rPr>
          <w:rFonts w:ascii="Times New Roman" w:eastAsia="Times New Roman" w:hAnsi="Times New Roman" w:cs="Times New Roman"/>
          <w:color w:val="000000"/>
          <w:sz w:val="20"/>
          <w:szCs w:val="20"/>
        </w:rPr>
        <w:t>Summary of meal timing literature.</w:t>
      </w:r>
    </w:p>
    <w:tbl>
      <w:tblPr>
        <w:tblStyle w:val="a1"/>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6"/>
        <w:gridCol w:w="1372"/>
        <w:gridCol w:w="1134"/>
        <w:gridCol w:w="1701"/>
        <w:gridCol w:w="1560"/>
        <w:gridCol w:w="1984"/>
        <w:gridCol w:w="2835"/>
        <w:gridCol w:w="2468"/>
      </w:tblGrid>
      <w:tr w:rsidR="00DF5838" w14:paraId="771B057C" w14:textId="77777777" w:rsidTr="00B750A9">
        <w:trPr>
          <w:trHeight w:val="624"/>
        </w:trPr>
        <w:tc>
          <w:tcPr>
            <w:tcW w:w="896" w:type="dxa"/>
            <w:tcBorders>
              <w:left w:val="nil"/>
              <w:bottom w:val="nil"/>
              <w:right w:val="nil"/>
            </w:tcBorders>
            <w:shd w:val="clear" w:color="auto" w:fill="F79646" w:themeFill="accent6"/>
            <w:tcMar>
              <w:top w:w="100" w:type="dxa"/>
              <w:left w:w="100" w:type="dxa"/>
              <w:bottom w:w="100" w:type="dxa"/>
              <w:right w:w="100" w:type="dxa"/>
            </w:tcMar>
          </w:tcPr>
          <w:p w14:paraId="0000018C" w14:textId="77777777" w:rsidR="00B633A4" w:rsidRDefault="00B633A4">
            <w:pPr>
              <w:widowControl w:val="0"/>
              <w:spacing w:line="240" w:lineRule="auto"/>
              <w:rPr>
                <w:rFonts w:ascii="Times New Roman" w:eastAsia="Times New Roman" w:hAnsi="Times New Roman" w:cs="Times New Roman"/>
              </w:rPr>
            </w:pPr>
            <w:bookmarkStart w:id="33" w:name="_Hlk172962735"/>
            <w:r>
              <w:rPr>
                <w:rFonts w:ascii="Times New Roman" w:eastAsia="Times New Roman" w:hAnsi="Times New Roman" w:cs="Times New Roman"/>
              </w:rPr>
              <w:t>Author (year)</w:t>
            </w:r>
          </w:p>
        </w:tc>
        <w:tc>
          <w:tcPr>
            <w:tcW w:w="1372" w:type="dxa"/>
            <w:tcBorders>
              <w:left w:val="nil"/>
              <w:bottom w:val="nil"/>
              <w:right w:val="nil"/>
            </w:tcBorders>
            <w:shd w:val="clear" w:color="auto" w:fill="F79646" w:themeFill="accent6"/>
            <w:tcMar>
              <w:top w:w="100" w:type="dxa"/>
              <w:left w:w="100" w:type="dxa"/>
              <w:bottom w:w="100" w:type="dxa"/>
              <w:right w:w="100" w:type="dxa"/>
            </w:tcMar>
          </w:tcPr>
          <w:p w14:paraId="0000018D" w14:textId="77777777"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Participants</w:t>
            </w:r>
          </w:p>
        </w:tc>
        <w:tc>
          <w:tcPr>
            <w:tcW w:w="1134" w:type="dxa"/>
            <w:tcBorders>
              <w:left w:val="nil"/>
              <w:bottom w:val="nil"/>
              <w:right w:val="nil"/>
            </w:tcBorders>
            <w:shd w:val="clear" w:color="auto" w:fill="F79646" w:themeFill="accent6"/>
          </w:tcPr>
          <w:p w14:paraId="05D06CE8" w14:textId="47E99434"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Country</w:t>
            </w:r>
          </w:p>
        </w:tc>
        <w:tc>
          <w:tcPr>
            <w:tcW w:w="1701" w:type="dxa"/>
            <w:tcBorders>
              <w:left w:val="nil"/>
              <w:bottom w:val="nil"/>
              <w:right w:val="nil"/>
            </w:tcBorders>
            <w:shd w:val="clear" w:color="auto" w:fill="F79646" w:themeFill="accent6"/>
            <w:tcMar>
              <w:top w:w="100" w:type="dxa"/>
              <w:left w:w="100" w:type="dxa"/>
              <w:bottom w:w="100" w:type="dxa"/>
              <w:right w:w="100" w:type="dxa"/>
            </w:tcMar>
          </w:tcPr>
          <w:p w14:paraId="0000018E" w14:textId="1B6B7E13"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Methods</w:t>
            </w:r>
          </w:p>
        </w:tc>
        <w:tc>
          <w:tcPr>
            <w:tcW w:w="1560" w:type="dxa"/>
            <w:tcBorders>
              <w:left w:val="nil"/>
              <w:bottom w:val="nil"/>
              <w:right w:val="nil"/>
            </w:tcBorders>
            <w:shd w:val="clear" w:color="auto" w:fill="F79646" w:themeFill="accent6"/>
            <w:tcMar>
              <w:top w:w="100" w:type="dxa"/>
              <w:left w:w="100" w:type="dxa"/>
              <w:bottom w:w="100" w:type="dxa"/>
              <w:right w:w="100" w:type="dxa"/>
            </w:tcMar>
          </w:tcPr>
          <w:p w14:paraId="0000018F" w14:textId="77777777"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Meal timing assessment method</w:t>
            </w:r>
          </w:p>
        </w:tc>
        <w:tc>
          <w:tcPr>
            <w:tcW w:w="1984" w:type="dxa"/>
            <w:tcBorders>
              <w:left w:val="nil"/>
              <w:bottom w:val="nil"/>
              <w:right w:val="nil"/>
            </w:tcBorders>
            <w:shd w:val="clear" w:color="auto" w:fill="F79646" w:themeFill="accent6"/>
            <w:tcMar>
              <w:top w:w="100" w:type="dxa"/>
              <w:left w:w="100" w:type="dxa"/>
              <w:bottom w:w="100" w:type="dxa"/>
              <w:right w:w="100" w:type="dxa"/>
            </w:tcMar>
          </w:tcPr>
          <w:p w14:paraId="00000190" w14:textId="77777777"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Definition of late eating</w:t>
            </w:r>
          </w:p>
        </w:tc>
        <w:tc>
          <w:tcPr>
            <w:tcW w:w="2835" w:type="dxa"/>
            <w:tcBorders>
              <w:left w:val="nil"/>
              <w:bottom w:val="nil"/>
              <w:right w:val="nil"/>
            </w:tcBorders>
            <w:shd w:val="clear" w:color="auto" w:fill="F79646" w:themeFill="accent6"/>
            <w:tcMar>
              <w:top w:w="100" w:type="dxa"/>
              <w:left w:w="100" w:type="dxa"/>
              <w:bottom w:w="100" w:type="dxa"/>
              <w:right w:w="100" w:type="dxa"/>
            </w:tcMar>
          </w:tcPr>
          <w:p w14:paraId="00000191" w14:textId="77777777"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Outcomes</w:t>
            </w:r>
          </w:p>
        </w:tc>
        <w:tc>
          <w:tcPr>
            <w:tcW w:w="2468" w:type="dxa"/>
            <w:tcBorders>
              <w:left w:val="nil"/>
              <w:bottom w:val="nil"/>
              <w:right w:val="nil"/>
            </w:tcBorders>
            <w:shd w:val="clear" w:color="auto" w:fill="F79646" w:themeFill="accent6"/>
            <w:tcMar>
              <w:top w:w="100" w:type="dxa"/>
              <w:left w:w="100" w:type="dxa"/>
              <w:bottom w:w="100" w:type="dxa"/>
              <w:right w:w="100" w:type="dxa"/>
            </w:tcMar>
          </w:tcPr>
          <w:p w14:paraId="00000192" w14:textId="77777777"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Changes in outcomes</w:t>
            </w:r>
          </w:p>
        </w:tc>
      </w:tr>
      <w:tr w:rsidR="00B633A4" w14:paraId="62AE4C2C" w14:textId="77777777" w:rsidTr="00B750A9">
        <w:trPr>
          <w:trHeight w:val="98"/>
        </w:trPr>
        <w:tc>
          <w:tcPr>
            <w:tcW w:w="13950" w:type="dxa"/>
            <w:gridSpan w:val="8"/>
            <w:tcBorders>
              <w:top w:val="nil"/>
              <w:left w:val="nil"/>
              <w:right w:val="nil"/>
            </w:tcBorders>
            <w:shd w:val="clear" w:color="auto" w:fill="F79646" w:themeFill="accent6"/>
          </w:tcPr>
          <w:p w14:paraId="00000193" w14:textId="27EEB721" w:rsidR="00B633A4" w:rsidRDefault="00B633A4">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Studies showing an association between late eating and body weight.</w:t>
            </w:r>
          </w:p>
        </w:tc>
      </w:tr>
      <w:bookmarkEnd w:id="33"/>
      <w:tr w:rsidR="00DF5838" w14:paraId="3CC09E2E" w14:textId="77777777" w:rsidTr="00DF5838">
        <w:trPr>
          <w:trHeight w:val="1218"/>
        </w:trPr>
        <w:tc>
          <w:tcPr>
            <w:tcW w:w="896" w:type="dxa"/>
            <w:tcBorders>
              <w:left w:val="nil"/>
              <w:bottom w:val="nil"/>
              <w:right w:val="nil"/>
            </w:tcBorders>
            <w:shd w:val="clear" w:color="auto" w:fill="auto"/>
            <w:tcMar>
              <w:top w:w="100" w:type="dxa"/>
              <w:left w:w="100" w:type="dxa"/>
              <w:bottom w:w="100" w:type="dxa"/>
              <w:right w:w="100" w:type="dxa"/>
            </w:tcMar>
          </w:tcPr>
          <w:p w14:paraId="0000019A" w14:textId="77777777" w:rsidR="00B633A4" w:rsidRDefault="00B633A4">
            <w:pPr>
              <w:widowControl w:val="0"/>
              <w:spacing w:line="240" w:lineRule="auto"/>
              <w:rPr>
                <w:rFonts w:ascii="Times New Roman" w:eastAsia="Times New Roman" w:hAnsi="Times New Roman" w:cs="Times New Roman"/>
              </w:rPr>
            </w:pPr>
            <w:r>
              <w:fldChar w:fldCharType="begin"/>
            </w:r>
            <w:r>
              <w:instrText xml:space="preserve"> HYPERLINK "https://sciwheel.com/work/citation?ids=3580106&amp;pre=&amp;suf=&amp;sa=0" \h </w:instrText>
            </w:r>
            <w:r>
              <w:fldChar w:fldCharType="separate"/>
            </w:r>
            <w:r>
              <w:rPr>
                <w:rFonts w:ascii="Times New Roman" w:eastAsia="Times New Roman" w:hAnsi="Times New Roman" w:cs="Times New Roman"/>
              </w:rPr>
              <w:t>(Baron et al., 2011)</w:t>
            </w:r>
            <w:r>
              <w:rPr>
                <w:rFonts w:ascii="Times New Roman" w:eastAsia="Times New Roman" w:hAnsi="Times New Roman" w:cs="Times New Roman"/>
              </w:rPr>
              <w:fldChar w:fldCharType="end"/>
            </w:r>
          </w:p>
        </w:tc>
        <w:tc>
          <w:tcPr>
            <w:tcW w:w="1372" w:type="dxa"/>
            <w:tcBorders>
              <w:left w:val="nil"/>
              <w:bottom w:val="nil"/>
              <w:right w:val="nil"/>
            </w:tcBorders>
            <w:shd w:val="clear" w:color="auto" w:fill="auto"/>
            <w:tcMar>
              <w:top w:w="100" w:type="dxa"/>
              <w:left w:w="100" w:type="dxa"/>
              <w:bottom w:w="100" w:type="dxa"/>
              <w:right w:w="100" w:type="dxa"/>
            </w:tcMar>
          </w:tcPr>
          <w:p w14:paraId="0000019B"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52 adults </w:t>
            </w:r>
          </w:p>
        </w:tc>
        <w:tc>
          <w:tcPr>
            <w:tcW w:w="1134" w:type="dxa"/>
            <w:tcBorders>
              <w:left w:val="nil"/>
              <w:bottom w:val="nil"/>
              <w:right w:val="nil"/>
            </w:tcBorders>
          </w:tcPr>
          <w:p w14:paraId="6F966783" w14:textId="269C12CA" w:rsidR="00B633A4" w:rsidRPr="001C6F50"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USA</w:t>
            </w:r>
          </w:p>
        </w:tc>
        <w:tc>
          <w:tcPr>
            <w:tcW w:w="1701" w:type="dxa"/>
            <w:tcBorders>
              <w:left w:val="nil"/>
              <w:bottom w:val="nil"/>
              <w:right w:val="nil"/>
            </w:tcBorders>
            <w:shd w:val="clear" w:color="auto" w:fill="auto"/>
            <w:tcMar>
              <w:top w:w="100" w:type="dxa"/>
              <w:left w:w="100" w:type="dxa"/>
              <w:bottom w:w="100" w:type="dxa"/>
              <w:right w:w="100" w:type="dxa"/>
            </w:tcMar>
          </w:tcPr>
          <w:p w14:paraId="0000019C" w14:textId="35148746"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60" w:type="dxa"/>
            <w:tcBorders>
              <w:left w:val="nil"/>
              <w:bottom w:val="nil"/>
              <w:right w:val="nil"/>
            </w:tcBorders>
            <w:shd w:val="clear" w:color="auto" w:fill="auto"/>
            <w:tcMar>
              <w:top w:w="100" w:type="dxa"/>
              <w:left w:w="100" w:type="dxa"/>
              <w:bottom w:w="100" w:type="dxa"/>
              <w:right w:w="100" w:type="dxa"/>
            </w:tcMar>
          </w:tcPr>
          <w:p w14:paraId="0000019D"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7-day food diary</w:t>
            </w:r>
          </w:p>
        </w:tc>
        <w:tc>
          <w:tcPr>
            <w:tcW w:w="1984" w:type="dxa"/>
            <w:tcBorders>
              <w:left w:val="nil"/>
              <w:bottom w:val="nil"/>
              <w:right w:val="nil"/>
            </w:tcBorders>
            <w:shd w:val="clear" w:color="auto" w:fill="auto"/>
            <w:tcMar>
              <w:top w:w="100" w:type="dxa"/>
              <w:left w:w="100" w:type="dxa"/>
              <w:bottom w:w="100" w:type="dxa"/>
              <w:right w:w="100" w:type="dxa"/>
            </w:tcMar>
          </w:tcPr>
          <w:p w14:paraId="0000019E"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8 PM</w:t>
            </w:r>
          </w:p>
        </w:tc>
        <w:tc>
          <w:tcPr>
            <w:tcW w:w="2835" w:type="dxa"/>
            <w:tcBorders>
              <w:left w:val="nil"/>
              <w:bottom w:val="nil"/>
              <w:right w:val="nil"/>
            </w:tcBorders>
            <w:shd w:val="clear" w:color="auto" w:fill="auto"/>
            <w:tcMar>
              <w:top w:w="100" w:type="dxa"/>
              <w:left w:w="100" w:type="dxa"/>
              <w:bottom w:w="100" w:type="dxa"/>
              <w:right w:w="100" w:type="dxa"/>
            </w:tcMar>
          </w:tcPr>
          <w:p w14:paraId="0000019F"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self-reported height, weight and calculated BMI</w:t>
            </w:r>
          </w:p>
          <w:p w14:paraId="000001A0"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7-day food diary</w:t>
            </w:r>
          </w:p>
        </w:tc>
        <w:tc>
          <w:tcPr>
            <w:tcW w:w="2468" w:type="dxa"/>
            <w:tcBorders>
              <w:left w:val="nil"/>
              <w:bottom w:val="nil"/>
              <w:right w:val="nil"/>
            </w:tcBorders>
            <w:shd w:val="clear" w:color="auto" w:fill="auto"/>
            <w:tcMar>
              <w:top w:w="100" w:type="dxa"/>
              <w:left w:w="100" w:type="dxa"/>
              <w:bottom w:w="100" w:type="dxa"/>
              <w:right w:w="100" w:type="dxa"/>
            </w:tcMar>
          </w:tcPr>
          <w:p w14:paraId="000001A1"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25"/>
                <w:id w:val="-1487312747"/>
              </w:sdtPr>
              <w:sdtEndPr/>
              <w:sdtContent>
                <w:r w:rsidR="00B633A4" w:rsidRPr="001C6F50">
                  <w:rPr>
                    <w:rFonts w:ascii="Times New Roman" w:eastAsia="Cardo" w:hAnsi="Times New Roman" w:cs="Times New Roman"/>
                  </w:rPr>
                  <w:t>↑ calories after 8:00 PM was associated with ↑ daily caloric intake and ↑ BMI.</w:t>
                </w:r>
              </w:sdtContent>
            </w:sdt>
          </w:p>
        </w:tc>
      </w:tr>
      <w:tr w:rsidR="00DF5838" w14:paraId="196011A7" w14:textId="77777777" w:rsidTr="00DF5838">
        <w:trPr>
          <w:trHeight w:val="1207"/>
        </w:trPr>
        <w:tc>
          <w:tcPr>
            <w:tcW w:w="896" w:type="dxa"/>
            <w:tcBorders>
              <w:top w:val="nil"/>
              <w:left w:val="nil"/>
              <w:bottom w:val="nil"/>
              <w:right w:val="nil"/>
            </w:tcBorders>
            <w:shd w:val="clear" w:color="auto" w:fill="auto"/>
            <w:tcMar>
              <w:top w:w="100" w:type="dxa"/>
              <w:left w:w="100" w:type="dxa"/>
              <w:bottom w:w="100" w:type="dxa"/>
              <w:right w:w="100" w:type="dxa"/>
            </w:tcMar>
          </w:tcPr>
          <w:p w14:paraId="000001A2" w14:textId="77777777" w:rsidR="00B633A4" w:rsidRDefault="007E2DD6">
            <w:pPr>
              <w:widowControl w:val="0"/>
              <w:spacing w:line="240" w:lineRule="auto"/>
              <w:rPr>
                <w:rFonts w:ascii="Times New Roman" w:eastAsia="Times New Roman" w:hAnsi="Times New Roman" w:cs="Times New Roman"/>
              </w:rPr>
            </w:pPr>
            <w:hyperlink r:id="rId289">
              <w:r w:rsidR="00B633A4">
                <w:rPr>
                  <w:rFonts w:ascii="Times New Roman" w:eastAsia="Times New Roman" w:hAnsi="Times New Roman" w:cs="Times New Roman"/>
                </w:rPr>
                <w:t>(Bo et al., 2014)</w:t>
              </w:r>
            </w:hyperlink>
          </w:p>
        </w:tc>
        <w:tc>
          <w:tcPr>
            <w:tcW w:w="1372" w:type="dxa"/>
            <w:tcBorders>
              <w:top w:val="nil"/>
              <w:left w:val="nil"/>
              <w:bottom w:val="nil"/>
              <w:right w:val="nil"/>
            </w:tcBorders>
            <w:shd w:val="clear" w:color="auto" w:fill="auto"/>
            <w:tcMar>
              <w:top w:w="100" w:type="dxa"/>
              <w:left w:w="100" w:type="dxa"/>
              <w:bottom w:w="100" w:type="dxa"/>
              <w:right w:w="100" w:type="dxa"/>
            </w:tcMar>
          </w:tcPr>
          <w:p w14:paraId="000001A3"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1245 healthy participants</w:t>
            </w:r>
          </w:p>
        </w:tc>
        <w:tc>
          <w:tcPr>
            <w:tcW w:w="1134" w:type="dxa"/>
            <w:tcBorders>
              <w:top w:val="nil"/>
              <w:left w:val="nil"/>
              <w:bottom w:val="nil"/>
              <w:right w:val="nil"/>
            </w:tcBorders>
          </w:tcPr>
          <w:p w14:paraId="4B309A65" w14:textId="2C5A987F" w:rsidR="00B633A4" w:rsidRPr="00B633A4" w:rsidRDefault="00B633A4">
            <w:pPr>
              <w:widowControl w:val="0"/>
              <w:spacing w:line="240" w:lineRule="auto"/>
              <w:rPr>
                <w:rFonts w:ascii="Times New Roman" w:eastAsia="Times New Roman" w:hAnsi="Times New Roman" w:cs="Times New Roman"/>
              </w:rPr>
            </w:pPr>
            <w:r w:rsidRPr="00B633A4">
              <w:rPr>
                <w:rFonts w:ascii="Times New Roman" w:eastAsia="Times New Roman" w:hAnsi="Times New Roman" w:cs="Times New Roman"/>
              </w:rPr>
              <w:t>Italy</w:t>
            </w:r>
          </w:p>
        </w:tc>
        <w:tc>
          <w:tcPr>
            <w:tcW w:w="1701" w:type="dxa"/>
            <w:tcBorders>
              <w:top w:val="nil"/>
              <w:left w:val="nil"/>
              <w:bottom w:val="nil"/>
              <w:right w:val="nil"/>
            </w:tcBorders>
            <w:shd w:val="clear" w:color="auto" w:fill="auto"/>
            <w:tcMar>
              <w:top w:w="100" w:type="dxa"/>
              <w:left w:w="100" w:type="dxa"/>
              <w:bottom w:w="100" w:type="dxa"/>
              <w:right w:w="100" w:type="dxa"/>
            </w:tcMar>
          </w:tcPr>
          <w:p w14:paraId="000001A4" w14:textId="780DF9AF"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60" w:type="dxa"/>
            <w:tcBorders>
              <w:top w:val="nil"/>
              <w:left w:val="nil"/>
              <w:bottom w:val="nil"/>
              <w:right w:val="nil"/>
            </w:tcBorders>
            <w:shd w:val="clear" w:color="auto" w:fill="auto"/>
            <w:tcMar>
              <w:top w:w="100" w:type="dxa"/>
              <w:left w:w="100" w:type="dxa"/>
              <w:bottom w:w="100" w:type="dxa"/>
              <w:right w:w="100" w:type="dxa"/>
            </w:tcMar>
          </w:tcPr>
          <w:p w14:paraId="000001A5"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3-day food diary</w:t>
            </w:r>
          </w:p>
        </w:tc>
        <w:tc>
          <w:tcPr>
            <w:tcW w:w="1984" w:type="dxa"/>
            <w:tcBorders>
              <w:top w:val="nil"/>
              <w:left w:val="nil"/>
              <w:bottom w:val="nil"/>
              <w:right w:val="nil"/>
            </w:tcBorders>
            <w:shd w:val="clear" w:color="auto" w:fill="auto"/>
            <w:tcMar>
              <w:top w:w="100" w:type="dxa"/>
              <w:left w:w="100" w:type="dxa"/>
              <w:bottom w:w="100" w:type="dxa"/>
              <w:right w:w="100" w:type="dxa"/>
            </w:tcMar>
          </w:tcPr>
          <w:p w14:paraId="000001A6" w14:textId="77777777" w:rsidR="00B633A4" w:rsidRPr="001C6F50" w:rsidRDefault="00B633A4">
            <w:pPr>
              <w:widowControl w:val="0"/>
              <w:spacing w:line="240" w:lineRule="auto"/>
              <w:rPr>
                <w:rFonts w:ascii="Times New Roman" w:eastAsia="Times New Roman" w:hAnsi="Times New Roman" w:cs="Times New Roman"/>
              </w:rPr>
            </w:pPr>
            <w:proofErr w:type="spellStart"/>
            <w:r w:rsidRPr="001C6F50">
              <w:rPr>
                <w:rFonts w:ascii="Times New Roman" w:eastAsia="Times New Roman" w:hAnsi="Times New Roman" w:cs="Times New Roman"/>
              </w:rPr>
              <w:t>Tertiles</w:t>
            </w:r>
            <w:proofErr w:type="spellEnd"/>
            <w:r w:rsidRPr="001C6F50">
              <w:rPr>
                <w:rFonts w:ascii="Times New Roman" w:eastAsia="Times New Roman" w:hAnsi="Times New Roman" w:cs="Times New Roman"/>
              </w:rPr>
              <w:t xml:space="preserve"> of the percentage of total daily caloric intake from dinner</w:t>
            </w:r>
          </w:p>
        </w:tc>
        <w:tc>
          <w:tcPr>
            <w:tcW w:w="2835" w:type="dxa"/>
            <w:tcBorders>
              <w:top w:val="nil"/>
              <w:left w:val="nil"/>
              <w:bottom w:val="nil"/>
              <w:right w:val="nil"/>
            </w:tcBorders>
            <w:shd w:val="clear" w:color="auto" w:fill="auto"/>
            <w:tcMar>
              <w:top w:w="100" w:type="dxa"/>
              <w:left w:w="100" w:type="dxa"/>
              <w:bottom w:w="100" w:type="dxa"/>
              <w:right w:w="100" w:type="dxa"/>
            </w:tcMar>
          </w:tcPr>
          <w:p w14:paraId="000001A7"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waist circumference and calculated BMI</w:t>
            </w:r>
          </w:p>
        </w:tc>
        <w:tc>
          <w:tcPr>
            <w:tcW w:w="2468" w:type="dxa"/>
            <w:tcBorders>
              <w:top w:val="nil"/>
              <w:left w:val="nil"/>
              <w:bottom w:val="nil"/>
              <w:right w:val="nil"/>
            </w:tcBorders>
            <w:shd w:val="clear" w:color="auto" w:fill="auto"/>
            <w:tcMar>
              <w:top w:w="100" w:type="dxa"/>
              <w:left w:w="100" w:type="dxa"/>
              <w:bottom w:w="100" w:type="dxa"/>
              <w:right w:w="100" w:type="dxa"/>
            </w:tcMar>
          </w:tcPr>
          <w:p w14:paraId="000001A8"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26"/>
                <w:id w:val="-1996403190"/>
              </w:sdtPr>
              <w:sdtEndPr/>
              <w:sdtContent>
                <w:r w:rsidR="00B633A4" w:rsidRPr="001C6F50">
                  <w:rPr>
                    <w:rFonts w:ascii="Times New Roman" w:eastAsia="Cardo" w:hAnsi="Times New Roman" w:cs="Times New Roman"/>
                  </w:rPr>
                  <w:t>↑ energy intake in the evening was associated with ↑ risk of obesity.</w:t>
                </w:r>
              </w:sdtContent>
            </w:sdt>
          </w:p>
        </w:tc>
      </w:tr>
      <w:tr w:rsidR="00DF5838" w14:paraId="50642932" w14:textId="77777777" w:rsidTr="00DF5838">
        <w:trPr>
          <w:trHeight w:val="1938"/>
        </w:trPr>
        <w:tc>
          <w:tcPr>
            <w:tcW w:w="896" w:type="dxa"/>
            <w:tcBorders>
              <w:top w:val="nil"/>
              <w:left w:val="nil"/>
              <w:bottom w:val="nil"/>
              <w:right w:val="nil"/>
            </w:tcBorders>
            <w:shd w:val="clear" w:color="auto" w:fill="auto"/>
            <w:tcMar>
              <w:top w:w="100" w:type="dxa"/>
              <w:left w:w="100" w:type="dxa"/>
              <w:bottom w:w="100" w:type="dxa"/>
              <w:right w:w="100" w:type="dxa"/>
            </w:tcMar>
          </w:tcPr>
          <w:p w14:paraId="000001A9" w14:textId="77777777" w:rsidR="00B633A4" w:rsidRDefault="007E2DD6">
            <w:pPr>
              <w:widowControl w:val="0"/>
              <w:spacing w:line="240" w:lineRule="auto"/>
              <w:rPr>
                <w:rFonts w:ascii="Times New Roman" w:eastAsia="Times New Roman" w:hAnsi="Times New Roman" w:cs="Times New Roman"/>
              </w:rPr>
            </w:pPr>
            <w:hyperlink r:id="rId290">
              <w:r w:rsidR="00B633A4">
                <w:rPr>
                  <w:rFonts w:ascii="Times New Roman" w:eastAsia="Times New Roman" w:hAnsi="Times New Roman" w:cs="Times New Roman"/>
                </w:rPr>
                <w:t>(</w:t>
              </w:r>
              <w:proofErr w:type="spellStart"/>
              <w:r w:rsidR="00B633A4">
                <w:rPr>
                  <w:rFonts w:ascii="Times New Roman" w:eastAsia="Times New Roman" w:hAnsi="Times New Roman" w:cs="Times New Roman"/>
                </w:rPr>
                <w:t>Dashti</w:t>
              </w:r>
              <w:proofErr w:type="spellEnd"/>
              <w:r w:rsidR="00B633A4">
                <w:rPr>
                  <w:rFonts w:ascii="Times New Roman" w:eastAsia="Times New Roman" w:hAnsi="Times New Roman" w:cs="Times New Roman"/>
                </w:rPr>
                <w:t xml:space="preserve"> et al., 2021)</w:t>
              </w:r>
            </w:hyperlink>
          </w:p>
        </w:tc>
        <w:tc>
          <w:tcPr>
            <w:tcW w:w="1372" w:type="dxa"/>
            <w:tcBorders>
              <w:top w:val="nil"/>
              <w:left w:val="nil"/>
              <w:bottom w:val="nil"/>
              <w:right w:val="nil"/>
            </w:tcBorders>
            <w:shd w:val="clear" w:color="auto" w:fill="auto"/>
            <w:tcMar>
              <w:top w:w="100" w:type="dxa"/>
              <w:left w:w="100" w:type="dxa"/>
              <w:bottom w:w="100" w:type="dxa"/>
              <w:right w:w="100" w:type="dxa"/>
            </w:tcMar>
          </w:tcPr>
          <w:p w14:paraId="000001AA"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3362 adults with overweight or obesity</w:t>
            </w:r>
          </w:p>
        </w:tc>
        <w:tc>
          <w:tcPr>
            <w:tcW w:w="1134" w:type="dxa"/>
            <w:tcBorders>
              <w:top w:val="nil"/>
              <w:left w:val="nil"/>
              <w:bottom w:val="nil"/>
              <w:right w:val="nil"/>
            </w:tcBorders>
          </w:tcPr>
          <w:p w14:paraId="6EC20FBA" w14:textId="19B6B50A" w:rsidR="00B633A4" w:rsidRPr="001C6F50"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USA</w:t>
            </w:r>
          </w:p>
        </w:tc>
        <w:tc>
          <w:tcPr>
            <w:tcW w:w="1701" w:type="dxa"/>
            <w:tcBorders>
              <w:top w:val="nil"/>
              <w:left w:val="nil"/>
              <w:bottom w:val="nil"/>
              <w:right w:val="nil"/>
            </w:tcBorders>
            <w:shd w:val="clear" w:color="auto" w:fill="auto"/>
            <w:tcMar>
              <w:top w:w="100" w:type="dxa"/>
              <w:left w:w="100" w:type="dxa"/>
              <w:bottom w:w="100" w:type="dxa"/>
              <w:right w:w="100" w:type="dxa"/>
            </w:tcMar>
          </w:tcPr>
          <w:p w14:paraId="000001AB" w14:textId="229FFD38"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60" w:type="dxa"/>
            <w:tcBorders>
              <w:top w:val="nil"/>
              <w:left w:val="nil"/>
              <w:bottom w:val="nil"/>
              <w:right w:val="nil"/>
            </w:tcBorders>
            <w:shd w:val="clear" w:color="auto" w:fill="auto"/>
            <w:tcMar>
              <w:top w:w="100" w:type="dxa"/>
              <w:left w:w="100" w:type="dxa"/>
              <w:bottom w:w="100" w:type="dxa"/>
              <w:right w:w="100" w:type="dxa"/>
            </w:tcMar>
          </w:tcPr>
          <w:p w14:paraId="000001AC"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Questionnaire </w:t>
            </w:r>
          </w:p>
        </w:tc>
        <w:tc>
          <w:tcPr>
            <w:tcW w:w="1984" w:type="dxa"/>
            <w:tcBorders>
              <w:top w:val="nil"/>
              <w:left w:val="nil"/>
              <w:bottom w:val="nil"/>
              <w:right w:val="nil"/>
            </w:tcBorders>
            <w:shd w:val="clear" w:color="auto" w:fill="auto"/>
            <w:tcMar>
              <w:top w:w="100" w:type="dxa"/>
              <w:left w:w="100" w:type="dxa"/>
              <w:bottom w:w="100" w:type="dxa"/>
              <w:right w:w="100" w:type="dxa"/>
            </w:tcMar>
          </w:tcPr>
          <w:p w14:paraId="000001AD"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Median for the midpoint of meal intake (2:54 PM)</w:t>
            </w:r>
          </w:p>
        </w:tc>
        <w:tc>
          <w:tcPr>
            <w:tcW w:w="2835" w:type="dxa"/>
            <w:tcBorders>
              <w:top w:val="nil"/>
              <w:left w:val="nil"/>
              <w:bottom w:val="nil"/>
              <w:right w:val="nil"/>
            </w:tcBorders>
            <w:shd w:val="clear" w:color="auto" w:fill="auto"/>
            <w:tcMar>
              <w:top w:w="100" w:type="dxa"/>
              <w:left w:w="100" w:type="dxa"/>
              <w:bottom w:w="100" w:type="dxa"/>
              <w:right w:w="100" w:type="dxa"/>
            </w:tcMar>
          </w:tcPr>
          <w:p w14:paraId="000001AE"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1AF"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a single 24-h dietary recall</w:t>
            </w:r>
          </w:p>
          <w:p w14:paraId="000001B0"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Physical activity: evaluated by questionnaire</w:t>
            </w:r>
          </w:p>
        </w:tc>
        <w:tc>
          <w:tcPr>
            <w:tcW w:w="2468" w:type="dxa"/>
            <w:tcBorders>
              <w:top w:val="nil"/>
              <w:left w:val="nil"/>
              <w:bottom w:val="nil"/>
              <w:right w:val="nil"/>
            </w:tcBorders>
            <w:shd w:val="clear" w:color="auto" w:fill="auto"/>
            <w:tcMar>
              <w:top w:w="100" w:type="dxa"/>
              <w:left w:w="100" w:type="dxa"/>
              <w:bottom w:w="100" w:type="dxa"/>
              <w:right w:w="100" w:type="dxa"/>
            </w:tcMar>
          </w:tcPr>
          <w:p w14:paraId="000001B1"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27"/>
                <w:id w:val="723728908"/>
              </w:sdtPr>
              <w:sdtEndPr/>
              <w:sdtContent>
                <w:r w:rsidR="00B633A4" w:rsidRPr="001C6F50">
                  <w:rPr>
                    <w:rFonts w:ascii="Times New Roman" w:eastAsia="Cardo" w:hAnsi="Times New Roman" w:cs="Times New Roman"/>
                  </w:rPr>
                  <w:t>Late eaters had ↑BMI than early eaters.</w:t>
                </w:r>
              </w:sdtContent>
            </w:sdt>
          </w:p>
          <w:p w14:paraId="000001B2"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28"/>
                <w:id w:val="815686289"/>
              </w:sdtPr>
              <w:sdtEndPr/>
              <w:sdtContent>
                <w:r w:rsidR="00B633A4" w:rsidRPr="001C6F50">
                  <w:rPr>
                    <w:rFonts w:ascii="Times New Roman" w:eastAsia="Cardo" w:hAnsi="Times New Roman" w:cs="Times New Roman"/>
                  </w:rPr>
                  <w:t>Late eaters had ↓ rate of weight loss.</w:t>
                </w:r>
              </w:sdtContent>
            </w:sdt>
          </w:p>
          <w:p w14:paraId="000001B3" w14:textId="655CD925"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No differences in energy intake or physical activity levels between early and late eaters</w:t>
            </w:r>
            <w:r w:rsidR="00C16E22">
              <w:rPr>
                <w:rFonts w:ascii="Times New Roman" w:eastAsia="Times New Roman" w:hAnsi="Times New Roman" w:cs="Times New Roman"/>
              </w:rPr>
              <w:t>.</w:t>
            </w:r>
          </w:p>
        </w:tc>
      </w:tr>
      <w:tr w:rsidR="00DF5838" w14:paraId="3AB2C360" w14:textId="77777777" w:rsidTr="00DF5838">
        <w:trPr>
          <w:trHeight w:val="1451"/>
        </w:trPr>
        <w:tc>
          <w:tcPr>
            <w:tcW w:w="896" w:type="dxa"/>
            <w:tcBorders>
              <w:top w:val="nil"/>
              <w:left w:val="nil"/>
              <w:bottom w:val="single" w:sz="4" w:space="0" w:color="auto"/>
              <w:right w:val="nil"/>
            </w:tcBorders>
            <w:shd w:val="clear" w:color="auto" w:fill="auto"/>
            <w:tcMar>
              <w:top w:w="100" w:type="dxa"/>
              <w:left w:w="100" w:type="dxa"/>
              <w:bottom w:w="100" w:type="dxa"/>
              <w:right w:w="100" w:type="dxa"/>
            </w:tcMar>
          </w:tcPr>
          <w:p w14:paraId="000001B4" w14:textId="13820E6B" w:rsidR="00B633A4" w:rsidRDefault="007E2DD6">
            <w:pPr>
              <w:widowControl w:val="0"/>
              <w:spacing w:line="240" w:lineRule="auto"/>
              <w:rPr>
                <w:rFonts w:ascii="Times New Roman" w:eastAsia="Times New Roman" w:hAnsi="Times New Roman" w:cs="Times New Roman"/>
              </w:rPr>
            </w:pPr>
            <w:hyperlink r:id="rId291">
              <w:r w:rsidR="00B633A4">
                <w:rPr>
                  <w:rFonts w:ascii="Times New Roman" w:eastAsia="Times New Roman" w:hAnsi="Times New Roman" w:cs="Times New Roman"/>
                  <w:color w:val="000000"/>
                </w:rPr>
                <w:t>(de Castro 2004)</w:t>
              </w:r>
            </w:hyperlink>
          </w:p>
        </w:tc>
        <w:tc>
          <w:tcPr>
            <w:tcW w:w="1372" w:type="dxa"/>
            <w:tcBorders>
              <w:top w:val="nil"/>
              <w:left w:val="nil"/>
              <w:bottom w:val="single" w:sz="4" w:space="0" w:color="auto"/>
              <w:right w:val="nil"/>
            </w:tcBorders>
            <w:shd w:val="clear" w:color="auto" w:fill="auto"/>
            <w:tcMar>
              <w:top w:w="100" w:type="dxa"/>
              <w:left w:w="100" w:type="dxa"/>
              <w:bottom w:w="100" w:type="dxa"/>
              <w:right w:w="100" w:type="dxa"/>
            </w:tcMar>
          </w:tcPr>
          <w:p w14:paraId="000001B5"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886 adults</w:t>
            </w:r>
          </w:p>
        </w:tc>
        <w:tc>
          <w:tcPr>
            <w:tcW w:w="1134" w:type="dxa"/>
            <w:tcBorders>
              <w:top w:val="nil"/>
              <w:left w:val="nil"/>
              <w:bottom w:val="single" w:sz="4" w:space="0" w:color="auto"/>
              <w:right w:val="nil"/>
            </w:tcBorders>
          </w:tcPr>
          <w:p w14:paraId="762C8C12" w14:textId="3BE70120" w:rsidR="00B633A4" w:rsidRPr="001C6F50"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USA</w:t>
            </w:r>
          </w:p>
        </w:tc>
        <w:tc>
          <w:tcPr>
            <w:tcW w:w="1701" w:type="dxa"/>
            <w:tcBorders>
              <w:top w:val="nil"/>
              <w:left w:val="nil"/>
              <w:bottom w:val="single" w:sz="4" w:space="0" w:color="auto"/>
              <w:right w:val="nil"/>
            </w:tcBorders>
            <w:shd w:val="clear" w:color="auto" w:fill="auto"/>
            <w:tcMar>
              <w:top w:w="100" w:type="dxa"/>
              <w:left w:w="100" w:type="dxa"/>
              <w:bottom w:w="100" w:type="dxa"/>
              <w:right w:w="100" w:type="dxa"/>
            </w:tcMar>
          </w:tcPr>
          <w:p w14:paraId="000001B6" w14:textId="25E2503A"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60" w:type="dxa"/>
            <w:tcBorders>
              <w:top w:val="nil"/>
              <w:left w:val="nil"/>
              <w:bottom w:val="single" w:sz="4" w:space="0" w:color="auto"/>
              <w:right w:val="nil"/>
            </w:tcBorders>
            <w:shd w:val="clear" w:color="auto" w:fill="auto"/>
            <w:tcMar>
              <w:top w:w="100" w:type="dxa"/>
              <w:left w:w="100" w:type="dxa"/>
              <w:bottom w:w="100" w:type="dxa"/>
              <w:right w:w="100" w:type="dxa"/>
            </w:tcMar>
          </w:tcPr>
          <w:p w14:paraId="000001B7" w14:textId="77777777" w:rsidR="00B633A4" w:rsidRPr="001C6F50" w:rsidRDefault="00B633A4">
            <w:pPr>
              <w:pBdr>
                <w:top w:val="nil"/>
                <w:left w:val="nil"/>
                <w:bottom w:val="nil"/>
                <w:right w:val="nil"/>
                <w:between w:val="nil"/>
              </w:pBdr>
              <w:rPr>
                <w:rFonts w:ascii="Times New Roman" w:eastAsia="Times New Roman" w:hAnsi="Times New Roman" w:cs="Times New Roman"/>
                <w:color w:val="000000"/>
              </w:rPr>
            </w:pPr>
            <w:r w:rsidRPr="001C6F50">
              <w:rPr>
                <w:rFonts w:ascii="Times New Roman" w:eastAsia="Times New Roman" w:hAnsi="Times New Roman" w:cs="Times New Roman"/>
                <w:color w:val="000000"/>
              </w:rPr>
              <w:t>7-day food diary</w:t>
            </w:r>
          </w:p>
        </w:tc>
        <w:tc>
          <w:tcPr>
            <w:tcW w:w="1984" w:type="dxa"/>
            <w:tcBorders>
              <w:top w:val="nil"/>
              <w:left w:val="nil"/>
              <w:bottom w:val="single" w:sz="4" w:space="0" w:color="auto"/>
              <w:right w:val="nil"/>
            </w:tcBorders>
            <w:shd w:val="clear" w:color="auto" w:fill="auto"/>
            <w:tcMar>
              <w:top w:w="100" w:type="dxa"/>
              <w:left w:w="100" w:type="dxa"/>
              <w:bottom w:w="100" w:type="dxa"/>
              <w:right w:w="100" w:type="dxa"/>
            </w:tcMar>
          </w:tcPr>
          <w:p w14:paraId="000001B8" w14:textId="77777777" w:rsidR="00B633A4" w:rsidRPr="001C6F50" w:rsidRDefault="00B633A4">
            <w:pPr>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at different times (6–9:59</w:t>
            </w:r>
          </w:p>
          <w:p w14:paraId="000001B9" w14:textId="77777777" w:rsidR="00B633A4" w:rsidRPr="001C6F50" w:rsidRDefault="00B633A4">
            <w:pPr>
              <w:spacing w:line="240" w:lineRule="auto"/>
              <w:rPr>
                <w:rFonts w:ascii="Times New Roman" w:eastAsia="Times New Roman" w:hAnsi="Times New Roman" w:cs="Times New Roman"/>
              </w:rPr>
            </w:pPr>
            <w:r w:rsidRPr="001C6F50">
              <w:rPr>
                <w:rFonts w:ascii="Times New Roman" w:eastAsia="Times New Roman" w:hAnsi="Times New Roman" w:cs="Times New Roman"/>
              </w:rPr>
              <w:t>AM, 10AM–1:59 PM, 2–5:59 PM,</w:t>
            </w:r>
          </w:p>
          <w:p w14:paraId="000001BA" w14:textId="77777777" w:rsidR="00B633A4" w:rsidRPr="001C6F50" w:rsidRDefault="00B633A4">
            <w:pPr>
              <w:spacing w:line="240" w:lineRule="auto"/>
              <w:rPr>
                <w:rFonts w:ascii="Times New Roman" w:eastAsia="Times New Roman" w:hAnsi="Times New Roman" w:cs="Times New Roman"/>
              </w:rPr>
            </w:pPr>
            <w:r w:rsidRPr="001C6F50">
              <w:rPr>
                <w:rFonts w:ascii="Times New Roman" w:eastAsia="Times New Roman" w:hAnsi="Times New Roman" w:cs="Times New Roman"/>
              </w:rPr>
              <w:t>6–9:59 PM., 10:00 PM–1:59 AM)</w:t>
            </w:r>
          </w:p>
        </w:tc>
        <w:tc>
          <w:tcPr>
            <w:tcW w:w="2835" w:type="dxa"/>
            <w:tcBorders>
              <w:top w:val="nil"/>
              <w:left w:val="nil"/>
              <w:bottom w:val="single" w:sz="4" w:space="0" w:color="auto"/>
              <w:right w:val="nil"/>
            </w:tcBorders>
            <w:shd w:val="clear" w:color="auto" w:fill="auto"/>
            <w:tcMar>
              <w:top w:w="100" w:type="dxa"/>
              <w:left w:w="100" w:type="dxa"/>
              <w:bottom w:w="100" w:type="dxa"/>
              <w:right w:w="100" w:type="dxa"/>
            </w:tcMar>
          </w:tcPr>
          <w:p w14:paraId="000001BB" w14:textId="77777777" w:rsidR="00B633A4" w:rsidRPr="001C6F50" w:rsidRDefault="00B633A4">
            <w:pPr>
              <w:pBdr>
                <w:top w:val="nil"/>
                <w:left w:val="nil"/>
                <w:bottom w:val="nil"/>
                <w:right w:val="nil"/>
                <w:between w:val="nil"/>
              </w:pBdr>
              <w:rPr>
                <w:rFonts w:ascii="Times New Roman" w:eastAsia="Times New Roman" w:hAnsi="Times New Roman" w:cs="Times New Roman"/>
                <w:color w:val="000000"/>
              </w:rPr>
            </w:pPr>
            <w:r w:rsidRPr="001C6F50">
              <w:rPr>
                <w:rFonts w:ascii="Times New Roman" w:eastAsia="Times New Roman" w:hAnsi="Times New Roman" w:cs="Times New Roman"/>
                <w:color w:val="000000"/>
              </w:rPr>
              <w:t>Energy intake: 7-day food diary</w:t>
            </w:r>
          </w:p>
          <w:p w14:paraId="000001BC"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Appetite: satiety ratio</w:t>
            </w:r>
          </w:p>
        </w:tc>
        <w:tc>
          <w:tcPr>
            <w:tcW w:w="2468" w:type="dxa"/>
            <w:tcBorders>
              <w:top w:val="nil"/>
              <w:left w:val="nil"/>
              <w:bottom w:val="single" w:sz="4" w:space="0" w:color="auto"/>
              <w:right w:val="nil"/>
            </w:tcBorders>
            <w:shd w:val="clear" w:color="auto" w:fill="auto"/>
            <w:tcMar>
              <w:top w:w="100" w:type="dxa"/>
              <w:left w:w="100" w:type="dxa"/>
              <w:bottom w:w="100" w:type="dxa"/>
              <w:right w:w="100" w:type="dxa"/>
            </w:tcMar>
          </w:tcPr>
          <w:p w14:paraId="000001BD" w14:textId="1EACC70C"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29"/>
                <w:id w:val="1528447756"/>
              </w:sdtPr>
              <w:sdtEndPr/>
              <w:sdtContent>
                <w:r w:rsidR="00B633A4" w:rsidRPr="001C6F50">
                  <w:rPr>
                    <w:rFonts w:ascii="Times New Roman" w:eastAsia="Cardo" w:hAnsi="Times New Roman" w:cs="Times New Roman"/>
                  </w:rPr>
                  <w:t>Energy intake in the late-night lacks satiating value and can result in ↑overall daily intake</w:t>
                </w:r>
                <w:r w:rsidR="00C16E22">
                  <w:rPr>
                    <w:rFonts w:ascii="Times New Roman" w:eastAsia="Cardo" w:hAnsi="Times New Roman" w:cs="Times New Roman"/>
                  </w:rPr>
                  <w:t>.</w:t>
                </w:r>
              </w:sdtContent>
            </w:sdt>
          </w:p>
        </w:tc>
      </w:tr>
    </w:tbl>
    <w:p w14:paraId="3D9AE647" w14:textId="22759555" w:rsidR="007867D6" w:rsidRDefault="007867D6" w:rsidP="007867D6">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lastRenderedPageBreak/>
        <w:t xml:space="preserve">Table 2.1. </w:t>
      </w:r>
      <w:r>
        <w:rPr>
          <w:rFonts w:ascii="Times New Roman" w:eastAsia="Times New Roman" w:hAnsi="Times New Roman" w:cs="Times New Roman"/>
          <w:color w:val="000000"/>
          <w:sz w:val="20"/>
          <w:szCs w:val="20"/>
        </w:rPr>
        <w:t>Summary of meal timing literature (</w:t>
      </w:r>
      <w:r w:rsidRPr="007867D6">
        <w:rPr>
          <w:rFonts w:ascii="Times New Roman" w:eastAsia="Times New Roman" w:hAnsi="Times New Roman" w:cs="Times New Roman"/>
          <w:i/>
          <w:iCs/>
          <w:color w:val="000000"/>
          <w:sz w:val="20"/>
          <w:szCs w:val="20"/>
        </w:rPr>
        <w:t>Continued</w:t>
      </w:r>
      <w:r>
        <w:rPr>
          <w:rFonts w:ascii="Times New Roman" w:eastAsia="Times New Roman" w:hAnsi="Times New Roman" w:cs="Times New Roman"/>
          <w:color w:val="000000"/>
          <w:sz w:val="20"/>
          <w:szCs w:val="20"/>
        </w:rPr>
        <w:t>).</w:t>
      </w:r>
    </w:p>
    <w:tbl>
      <w:tblPr>
        <w:tblW w:w="13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79646" w:themeFill="accent6"/>
        <w:tblLayout w:type="fixed"/>
        <w:tblLook w:val="0600" w:firstRow="0" w:lastRow="0" w:firstColumn="0" w:lastColumn="0" w:noHBand="1" w:noVBand="1"/>
      </w:tblPr>
      <w:tblGrid>
        <w:gridCol w:w="993"/>
        <w:gridCol w:w="1275"/>
        <w:gridCol w:w="993"/>
        <w:gridCol w:w="1417"/>
        <w:gridCol w:w="1559"/>
        <w:gridCol w:w="1967"/>
        <w:gridCol w:w="2711"/>
        <w:gridCol w:w="3058"/>
      </w:tblGrid>
      <w:tr w:rsidR="00B633A4" w14:paraId="6B9C3F82" w14:textId="77777777" w:rsidTr="00FB6346">
        <w:trPr>
          <w:trHeight w:val="408"/>
        </w:trPr>
        <w:tc>
          <w:tcPr>
            <w:tcW w:w="993" w:type="dxa"/>
            <w:tcBorders>
              <w:left w:val="nil"/>
              <w:bottom w:val="nil"/>
              <w:right w:val="nil"/>
            </w:tcBorders>
            <w:shd w:val="clear" w:color="auto" w:fill="F79646" w:themeFill="accent6"/>
            <w:tcMar>
              <w:top w:w="100" w:type="dxa"/>
              <w:left w:w="100" w:type="dxa"/>
              <w:bottom w:w="100" w:type="dxa"/>
              <w:right w:w="100" w:type="dxa"/>
            </w:tcMar>
          </w:tcPr>
          <w:p w14:paraId="2A4C8936" w14:textId="77777777" w:rsidR="00B633A4" w:rsidRDefault="00B633A4" w:rsidP="00977F7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Author (year)</w:t>
            </w:r>
          </w:p>
        </w:tc>
        <w:tc>
          <w:tcPr>
            <w:tcW w:w="1275" w:type="dxa"/>
            <w:tcBorders>
              <w:left w:val="nil"/>
              <w:bottom w:val="nil"/>
              <w:right w:val="nil"/>
            </w:tcBorders>
            <w:shd w:val="clear" w:color="auto" w:fill="F79646" w:themeFill="accent6"/>
            <w:tcMar>
              <w:top w:w="100" w:type="dxa"/>
              <w:left w:w="100" w:type="dxa"/>
              <w:bottom w:w="100" w:type="dxa"/>
              <w:right w:w="100" w:type="dxa"/>
            </w:tcMar>
          </w:tcPr>
          <w:p w14:paraId="5538B927" w14:textId="77777777" w:rsidR="00B633A4" w:rsidRDefault="00B633A4" w:rsidP="00977F7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Participants</w:t>
            </w:r>
          </w:p>
        </w:tc>
        <w:tc>
          <w:tcPr>
            <w:tcW w:w="993" w:type="dxa"/>
            <w:tcBorders>
              <w:left w:val="nil"/>
              <w:bottom w:val="nil"/>
              <w:right w:val="nil"/>
            </w:tcBorders>
            <w:shd w:val="clear" w:color="auto" w:fill="F79646" w:themeFill="accent6"/>
          </w:tcPr>
          <w:p w14:paraId="30B0C643" w14:textId="1FB3A559" w:rsidR="00B633A4" w:rsidRDefault="00B633A4" w:rsidP="00977F7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Country</w:t>
            </w:r>
          </w:p>
        </w:tc>
        <w:tc>
          <w:tcPr>
            <w:tcW w:w="1417" w:type="dxa"/>
            <w:tcBorders>
              <w:left w:val="nil"/>
              <w:bottom w:val="nil"/>
              <w:right w:val="nil"/>
            </w:tcBorders>
            <w:shd w:val="clear" w:color="auto" w:fill="F79646" w:themeFill="accent6"/>
            <w:tcMar>
              <w:top w:w="100" w:type="dxa"/>
              <w:left w:w="100" w:type="dxa"/>
              <w:bottom w:w="100" w:type="dxa"/>
              <w:right w:w="100" w:type="dxa"/>
            </w:tcMar>
          </w:tcPr>
          <w:p w14:paraId="7C23F384" w14:textId="241ABC26" w:rsidR="00B633A4" w:rsidRDefault="00B633A4" w:rsidP="00977F7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Methods</w:t>
            </w:r>
          </w:p>
        </w:tc>
        <w:tc>
          <w:tcPr>
            <w:tcW w:w="1559" w:type="dxa"/>
            <w:tcBorders>
              <w:left w:val="nil"/>
              <w:bottom w:val="nil"/>
              <w:right w:val="nil"/>
            </w:tcBorders>
            <w:shd w:val="clear" w:color="auto" w:fill="F79646" w:themeFill="accent6"/>
            <w:tcMar>
              <w:top w:w="100" w:type="dxa"/>
              <w:left w:w="100" w:type="dxa"/>
              <w:bottom w:w="100" w:type="dxa"/>
              <w:right w:w="100" w:type="dxa"/>
            </w:tcMar>
          </w:tcPr>
          <w:p w14:paraId="0A4213CE" w14:textId="77777777" w:rsidR="00B633A4" w:rsidRDefault="00B633A4" w:rsidP="00977F7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Meal timing assessment method</w:t>
            </w:r>
          </w:p>
        </w:tc>
        <w:tc>
          <w:tcPr>
            <w:tcW w:w="1967" w:type="dxa"/>
            <w:tcBorders>
              <w:left w:val="nil"/>
              <w:bottom w:val="nil"/>
              <w:right w:val="nil"/>
            </w:tcBorders>
            <w:shd w:val="clear" w:color="auto" w:fill="F79646" w:themeFill="accent6"/>
            <w:tcMar>
              <w:top w:w="100" w:type="dxa"/>
              <w:left w:w="100" w:type="dxa"/>
              <w:bottom w:w="100" w:type="dxa"/>
              <w:right w:w="100" w:type="dxa"/>
            </w:tcMar>
          </w:tcPr>
          <w:p w14:paraId="23FE7B43" w14:textId="77777777" w:rsidR="00B633A4" w:rsidRDefault="00B633A4" w:rsidP="00977F7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Definition of late eating</w:t>
            </w:r>
          </w:p>
        </w:tc>
        <w:tc>
          <w:tcPr>
            <w:tcW w:w="2711" w:type="dxa"/>
            <w:tcBorders>
              <w:left w:val="nil"/>
              <w:bottom w:val="nil"/>
              <w:right w:val="nil"/>
            </w:tcBorders>
            <w:shd w:val="clear" w:color="auto" w:fill="F79646" w:themeFill="accent6"/>
            <w:tcMar>
              <w:top w:w="100" w:type="dxa"/>
              <w:left w:w="100" w:type="dxa"/>
              <w:bottom w:w="100" w:type="dxa"/>
              <w:right w:w="100" w:type="dxa"/>
            </w:tcMar>
          </w:tcPr>
          <w:p w14:paraId="74CB805E" w14:textId="77777777" w:rsidR="00B633A4" w:rsidRDefault="00B633A4" w:rsidP="00977F7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Outcomes</w:t>
            </w:r>
          </w:p>
        </w:tc>
        <w:tc>
          <w:tcPr>
            <w:tcW w:w="3058" w:type="dxa"/>
            <w:tcBorders>
              <w:left w:val="nil"/>
              <w:bottom w:val="nil"/>
              <w:right w:val="nil"/>
            </w:tcBorders>
            <w:shd w:val="clear" w:color="auto" w:fill="F79646" w:themeFill="accent6"/>
            <w:tcMar>
              <w:top w:w="100" w:type="dxa"/>
              <w:left w:w="100" w:type="dxa"/>
              <w:bottom w:w="100" w:type="dxa"/>
              <w:right w:w="100" w:type="dxa"/>
            </w:tcMar>
          </w:tcPr>
          <w:p w14:paraId="3E089DD8" w14:textId="77777777" w:rsidR="00B633A4" w:rsidRDefault="00B633A4" w:rsidP="00977F7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Changes in outcomes</w:t>
            </w:r>
          </w:p>
        </w:tc>
      </w:tr>
      <w:tr w:rsidR="00B633A4" w14:paraId="1E1239AD" w14:textId="77777777" w:rsidTr="00B750A9">
        <w:trPr>
          <w:trHeight w:val="64"/>
        </w:trPr>
        <w:tc>
          <w:tcPr>
            <w:tcW w:w="13973" w:type="dxa"/>
            <w:gridSpan w:val="8"/>
            <w:tcBorders>
              <w:top w:val="nil"/>
              <w:left w:val="nil"/>
              <w:right w:val="nil"/>
            </w:tcBorders>
            <w:shd w:val="clear" w:color="auto" w:fill="F79646" w:themeFill="accent6"/>
          </w:tcPr>
          <w:p w14:paraId="643D4879" w14:textId="08B2C49F" w:rsidR="00B633A4" w:rsidRDefault="00B633A4" w:rsidP="00977F7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Studies showing an association between late eating and body weight.</w:t>
            </w:r>
          </w:p>
        </w:tc>
      </w:tr>
    </w:tbl>
    <w:tbl>
      <w:tblPr>
        <w:tblStyle w:val="a1"/>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276"/>
        <w:gridCol w:w="851"/>
        <w:gridCol w:w="1559"/>
        <w:gridCol w:w="1559"/>
        <w:gridCol w:w="1727"/>
        <w:gridCol w:w="126"/>
        <w:gridCol w:w="2788"/>
        <w:gridCol w:w="2872"/>
      </w:tblGrid>
      <w:tr w:rsidR="00B633A4" w14:paraId="503E9004" w14:textId="77777777" w:rsidTr="00851C07">
        <w:trPr>
          <w:trHeight w:val="1431"/>
        </w:trPr>
        <w:tc>
          <w:tcPr>
            <w:tcW w:w="1134" w:type="dxa"/>
            <w:tcBorders>
              <w:top w:val="single" w:sz="4" w:space="0" w:color="auto"/>
              <w:left w:val="nil"/>
              <w:bottom w:val="nil"/>
              <w:right w:val="nil"/>
            </w:tcBorders>
            <w:shd w:val="clear" w:color="auto" w:fill="auto"/>
            <w:tcMar>
              <w:top w:w="100" w:type="dxa"/>
              <w:left w:w="100" w:type="dxa"/>
              <w:bottom w:w="100" w:type="dxa"/>
              <w:right w:w="100" w:type="dxa"/>
            </w:tcMar>
          </w:tcPr>
          <w:p w14:paraId="7F1A0FC0" w14:textId="242FD9BA" w:rsidR="00B633A4" w:rsidRDefault="007E2DD6">
            <w:pPr>
              <w:widowControl w:val="0"/>
              <w:spacing w:line="240" w:lineRule="auto"/>
              <w:rPr>
                <w:rFonts w:ascii="Times New Roman" w:eastAsia="Times New Roman" w:hAnsi="Times New Roman" w:cs="Times New Roman"/>
              </w:rPr>
            </w:pPr>
            <w:hyperlink r:id="rId292">
              <w:r w:rsidR="00B633A4">
                <w:rPr>
                  <w:rFonts w:ascii="Times New Roman" w:eastAsia="Times New Roman" w:hAnsi="Times New Roman" w:cs="Times New Roman"/>
                </w:rPr>
                <w:t>(</w:t>
              </w:r>
              <w:proofErr w:type="spellStart"/>
              <w:r w:rsidR="00B633A4">
                <w:rPr>
                  <w:rFonts w:ascii="Times New Roman" w:eastAsia="Times New Roman" w:hAnsi="Times New Roman" w:cs="Times New Roman"/>
                </w:rPr>
                <w:t>Garaulet</w:t>
              </w:r>
              <w:proofErr w:type="spellEnd"/>
              <w:r w:rsidR="00B633A4">
                <w:rPr>
                  <w:rFonts w:ascii="Times New Roman" w:eastAsia="Times New Roman" w:hAnsi="Times New Roman" w:cs="Times New Roman"/>
                </w:rPr>
                <w:t xml:space="preserve"> et al., 2013)</w:t>
              </w:r>
            </w:hyperlink>
          </w:p>
          <w:p w14:paraId="0E5FF947" w14:textId="77777777" w:rsidR="00B633A4" w:rsidRDefault="00B633A4">
            <w:pPr>
              <w:widowControl w:val="0"/>
              <w:spacing w:line="240" w:lineRule="auto"/>
              <w:rPr>
                <w:rFonts w:ascii="Times New Roman" w:eastAsia="Times New Roman" w:hAnsi="Times New Roman" w:cs="Times New Roman"/>
              </w:rPr>
            </w:pPr>
          </w:p>
          <w:p w14:paraId="67F0A5B1" w14:textId="77777777" w:rsidR="00B633A4" w:rsidRDefault="00B633A4">
            <w:pPr>
              <w:widowControl w:val="0"/>
              <w:spacing w:line="240" w:lineRule="auto"/>
              <w:rPr>
                <w:rFonts w:ascii="Times New Roman" w:eastAsia="Times New Roman" w:hAnsi="Times New Roman" w:cs="Times New Roman"/>
              </w:rPr>
            </w:pPr>
          </w:p>
          <w:p w14:paraId="000001BE" w14:textId="25DB44F1" w:rsidR="00B633A4" w:rsidRDefault="00B633A4">
            <w:pPr>
              <w:widowControl w:val="0"/>
              <w:spacing w:line="240" w:lineRule="auto"/>
              <w:rPr>
                <w:rFonts w:ascii="Times New Roman" w:eastAsia="Times New Roman" w:hAnsi="Times New Roman" w:cs="Times New Roman"/>
              </w:rPr>
            </w:pPr>
          </w:p>
        </w:tc>
        <w:tc>
          <w:tcPr>
            <w:tcW w:w="1276" w:type="dxa"/>
            <w:tcBorders>
              <w:top w:val="single" w:sz="4" w:space="0" w:color="auto"/>
              <w:left w:val="nil"/>
              <w:bottom w:val="nil"/>
              <w:right w:val="nil"/>
            </w:tcBorders>
            <w:shd w:val="clear" w:color="auto" w:fill="auto"/>
            <w:tcMar>
              <w:top w:w="100" w:type="dxa"/>
              <w:left w:w="100" w:type="dxa"/>
              <w:bottom w:w="100" w:type="dxa"/>
              <w:right w:w="100" w:type="dxa"/>
            </w:tcMar>
          </w:tcPr>
          <w:p w14:paraId="370882B3" w14:textId="615835AD" w:rsidR="00B633A4"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420 adults with overweight </w:t>
            </w:r>
          </w:p>
          <w:p w14:paraId="000001BF" w14:textId="5C8AE524"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and obesity </w:t>
            </w:r>
          </w:p>
        </w:tc>
        <w:tc>
          <w:tcPr>
            <w:tcW w:w="851" w:type="dxa"/>
            <w:tcBorders>
              <w:top w:val="single" w:sz="4" w:space="0" w:color="auto"/>
              <w:left w:val="nil"/>
              <w:bottom w:val="nil"/>
              <w:right w:val="nil"/>
            </w:tcBorders>
          </w:tcPr>
          <w:p w14:paraId="1B1B96C1" w14:textId="24258C18"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Spain</w:t>
            </w:r>
          </w:p>
        </w:tc>
        <w:tc>
          <w:tcPr>
            <w:tcW w:w="1559" w:type="dxa"/>
            <w:tcBorders>
              <w:top w:val="single" w:sz="4" w:space="0" w:color="auto"/>
              <w:left w:val="nil"/>
              <w:bottom w:val="nil"/>
              <w:right w:val="nil"/>
            </w:tcBorders>
            <w:shd w:val="clear" w:color="auto" w:fill="auto"/>
            <w:tcMar>
              <w:top w:w="100" w:type="dxa"/>
              <w:left w:w="100" w:type="dxa"/>
              <w:bottom w:w="100" w:type="dxa"/>
              <w:right w:w="100" w:type="dxa"/>
            </w:tcMar>
          </w:tcPr>
          <w:p w14:paraId="000001C0" w14:textId="3CEA8C72"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59" w:type="dxa"/>
            <w:tcBorders>
              <w:top w:val="single" w:sz="4" w:space="0" w:color="auto"/>
              <w:left w:val="nil"/>
              <w:bottom w:val="nil"/>
              <w:right w:val="nil"/>
            </w:tcBorders>
            <w:shd w:val="clear" w:color="auto" w:fill="auto"/>
            <w:tcMar>
              <w:top w:w="100" w:type="dxa"/>
              <w:left w:w="100" w:type="dxa"/>
              <w:bottom w:w="100" w:type="dxa"/>
              <w:right w:w="100" w:type="dxa"/>
            </w:tcMar>
          </w:tcPr>
          <w:p w14:paraId="000001C1" w14:textId="218A4400"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7-day food diary</w:t>
            </w:r>
          </w:p>
        </w:tc>
        <w:tc>
          <w:tcPr>
            <w:tcW w:w="1727" w:type="dxa"/>
            <w:tcBorders>
              <w:top w:val="single" w:sz="4" w:space="0" w:color="auto"/>
              <w:left w:val="nil"/>
              <w:bottom w:val="nil"/>
              <w:right w:val="nil"/>
            </w:tcBorders>
            <w:shd w:val="clear" w:color="auto" w:fill="auto"/>
            <w:tcMar>
              <w:top w:w="100" w:type="dxa"/>
              <w:left w:w="100" w:type="dxa"/>
              <w:bottom w:w="100" w:type="dxa"/>
              <w:right w:w="100" w:type="dxa"/>
            </w:tcMar>
          </w:tcPr>
          <w:p w14:paraId="000001C2" w14:textId="1FA54A9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Lunch time (3 PM)</w:t>
            </w:r>
          </w:p>
        </w:tc>
        <w:tc>
          <w:tcPr>
            <w:tcW w:w="2914" w:type="dxa"/>
            <w:gridSpan w:val="2"/>
            <w:tcBorders>
              <w:top w:val="single" w:sz="4" w:space="0" w:color="auto"/>
              <w:left w:val="nil"/>
              <w:bottom w:val="nil"/>
              <w:right w:val="nil"/>
            </w:tcBorders>
            <w:shd w:val="clear" w:color="auto" w:fill="auto"/>
            <w:tcMar>
              <w:top w:w="100" w:type="dxa"/>
              <w:left w:w="100" w:type="dxa"/>
              <w:bottom w:w="100" w:type="dxa"/>
              <w:right w:w="100" w:type="dxa"/>
            </w:tcMar>
          </w:tcPr>
          <w:p w14:paraId="000001C3" w14:textId="228D3BD2"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1C4"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7-day food diary</w:t>
            </w:r>
          </w:p>
          <w:p w14:paraId="000001C5"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Physical activity: evaluated by questionnaire</w:t>
            </w:r>
          </w:p>
        </w:tc>
        <w:tc>
          <w:tcPr>
            <w:tcW w:w="2872" w:type="dxa"/>
            <w:tcBorders>
              <w:top w:val="single" w:sz="4" w:space="0" w:color="auto"/>
              <w:left w:val="nil"/>
              <w:bottom w:val="nil"/>
              <w:right w:val="nil"/>
            </w:tcBorders>
            <w:shd w:val="clear" w:color="auto" w:fill="auto"/>
            <w:tcMar>
              <w:top w:w="100" w:type="dxa"/>
              <w:left w:w="100" w:type="dxa"/>
              <w:bottom w:w="100" w:type="dxa"/>
              <w:right w:w="100" w:type="dxa"/>
            </w:tcMar>
          </w:tcPr>
          <w:sdt>
            <w:sdtPr>
              <w:rPr>
                <w:rFonts w:ascii="Times New Roman" w:hAnsi="Times New Roman" w:cs="Times New Roman"/>
              </w:rPr>
              <w:tag w:val="goog_rdk_30"/>
              <w:id w:val="-302313041"/>
            </w:sdtPr>
            <w:sdtEndPr/>
            <w:sdtContent>
              <w:p w14:paraId="000001C6" w14:textId="2B5A3290" w:rsidR="00B633A4" w:rsidRPr="00B633A4" w:rsidRDefault="00B633A4">
                <w:pPr>
                  <w:widowControl w:val="0"/>
                  <w:spacing w:line="240" w:lineRule="auto"/>
                  <w:rPr>
                    <w:rFonts w:ascii="Times New Roman" w:hAnsi="Times New Roman" w:cs="Times New Roman"/>
                  </w:rPr>
                </w:pPr>
                <w:r w:rsidRPr="001C6F50">
                  <w:rPr>
                    <w:rFonts w:ascii="Times New Roman" w:eastAsia="Cardo" w:hAnsi="Times New Roman" w:cs="Times New Roman"/>
                  </w:rPr>
                  <w:t>Late lunch eaters lost ↓weight than early eaters.</w:t>
                </w:r>
              </w:p>
            </w:sdtContent>
          </w:sdt>
          <w:p w14:paraId="000001C7" w14:textId="6C935E45"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No differences in energy intake or physical activity levels between early and late eaters</w:t>
            </w:r>
            <w:r w:rsidR="00C16E22">
              <w:rPr>
                <w:rFonts w:ascii="Times New Roman" w:eastAsia="Times New Roman" w:hAnsi="Times New Roman" w:cs="Times New Roman"/>
              </w:rPr>
              <w:t>.</w:t>
            </w:r>
          </w:p>
        </w:tc>
      </w:tr>
      <w:tr w:rsidR="00B633A4" w14:paraId="7034A00D" w14:textId="77777777" w:rsidTr="00851C07">
        <w:trPr>
          <w:trHeight w:val="710"/>
        </w:trPr>
        <w:tc>
          <w:tcPr>
            <w:tcW w:w="1134" w:type="dxa"/>
            <w:tcBorders>
              <w:top w:val="nil"/>
              <w:left w:val="nil"/>
              <w:bottom w:val="nil"/>
              <w:right w:val="nil"/>
            </w:tcBorders>
            <w:shd w:val="clear" w:color="auto" w:fill="auto"/>
            <w:tcMar>
              <w:top w:w="100" w:type="dxa"/>
              <w:left w:w="100" w:type="dxa"/>
              <w:bottom w:w="100" w:type="dxa"/>
              <w:right w:w="100" w:type="dxa"/>
            </w:tcMar>
          </w:tcPr>
          <w:p w14:paraId="000001C8" w14:textId="77777777" w:rsidR="00B633A4" w:rsidRDefault="007E2DD6">
            <w:pPr>
              <w:widowControl w:val="0"/>
              <w:spacing w:line="240" w:lineRule="auto"/>
              <w:rPr>
                <w:rFonts w:ascii="Times New Roman" w:eastAsia="Times New Roman" w:hAnsi="Times New Roman" w:cs="Times New Roman"/>
              </w:rPr>
            </w:pPr>
            <w:hyperlink r:id="rId293">
              <w:r w:rsidR="00B633A4">
                <w:rPr>
                  <w:rFonts w:ascii="Times New Roman" w:eastAsia="Times New Roman" w:hAnsi="Times New Roman" w:cs="Times New Roman"/>
                </w:rPr>
                <w:t>(</w:t>
              </w:r>
              <w:proofErr w:type="spellStart"/>
              <w:r w:rsidR="00B633A4">
                <w:rPr>
                  <w:rFonts w:ascii="Times New Roman" w:eastAsia="Times New Roman" w:hAnsi="Times New Roman" w:cs="Times New Roman"/>
                </w:rPr>
                <w:t>Garaulet</w:t>
              </w:r>
              <w:proofErr w:type="spellEnd"/>
              <w:r w:rsidR="00B633A4">
                <w:rPr>
                  <w:rFonts w:ascii="Times New Roman" w:eastAsia="Times New Roman" w:hAnsi="Times New Roman" w:cs="Times New Roman"/>
                </w:rPr>
                <w:t xml:space="preserve"> et al., 2016)</w:t>
              </w:r>
            </w:hyperlink>
          </w:p>
        </w:tc>
        <w:tc>
          <w:tcPr>
            <w:tcW w:w="1276" w:type="dxa"/>
            <w:tcBorders>
              <w:top w:val="nil"/>
              <w:left w:val="nil"/>
              <w:bottom w:val="nil"/>
              <w:right w:val="nil"/>
            </w:tcBorders>
            <w:shd w:val="clear" w:color="auto" w:fill="auto"/>
            <w:tcMar>
              <w:top w:w="100" w:type="dxa"/>
              <w:left w:w="100" w:type="dxa"/>
              <w:bottom w:w="100" w:type="dxa"/>
              <w:right w:w="100" w:type="dxa"/>
            </w:tcMar>
          </w:tcPr>
          <w:p w14:paraId="000001C9"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1287 participants</w:t>
            </w:r>
          </w:p>
        </w:tc>
        <w:tc>
          <w:tcPr>
            <w:tcW w:w="851" w:type="dxa"/>
            <w:tcBorders>
              <w:top w:val="nil"/>
              <w:left w:val="nil"/>
              <w:bottom w:val="nil"/>
              <w:right w:val="nil"/>
            </w:tcBorders>
          </w:tcPr>
          <w:p w14:paraId="3BE905FD" w14:textId="6C96BCE9" w:rsidR="00B633A4" w:rsidRPr="001C6F50"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Spain</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1CA" w14:textId="0C733C9D"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1CB"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Questionnaire</w:t>
            </w:r>
          </w:p>
        </w:tc>
        <w:tc>
          <w:tcPr>
            <w:tcW w:w="1853" w:type="dxa"/>
            <w:gridSpan w:val="2"/>
            <w:tcBorders>
              <w:top w:val="nil"/>
              <w:left w:val="nil"/>
              <w:bottom w:val="nil"/>
              <w:right w:val="nil"/>
            </w:tcBorders>
            <w:shd w:val="clear" w:color="auto" w:fill="auto"/>
            <w:tcMar>
              <w:top w:w="100" w:type="dxa"/>
              <w:left w:w="100" w:type="dxa"/>
              <w:bottom w:w="100" w:type="dxa"/>
              <w:right w:w="100" w:type="dxa"/>
            </w:tcMar>
          </w:tcPr>
          <w:p w14:paraId="000001CC"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Lunch timing (12 PM-4.30PM)</w:t>
            </w:r>
          </w:p>
        </w:tc>
        <w:tc>
          <w:tcPr>
            <w:tcW w:w="2788" w:type="dxa"/>
            <w:tcBorders>
              <w:top w:val="nil"/>
              <w:left w:val="nil"/>
              <w:bottom w:val="nil"/>
              <w:right w:val="nil"/>
            </w:tcBorders>
            <w:shd w:val="clear" w:color="auto" w:fill="auto"/>
            <w:tcMar>
              <w:top w:w="100" w:type="dxa"/>
              <w:left w:w="100" w:type="dxa"/>
              <w:bottom w:w="100" w:type="dxa"/>
              <w:right w:w="100" w:type="dxa"/>
            </w:tcMar>
          </w:tcPr>
          <w:p w14:paraId="000001CD"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tc>
        <w:tc>
          <w:tcPr>
            <w:tcW w:w="2872" w:type="dxa"/>
            <w:tcBorders>
              <w:top w:val="nil"/>
              <w:left w:val="nil"/>
              <w:bottom w:val="nil"/>
              <w:right w:val="nil"/>
            </w:tcBorders>
            <w:shd w:val="clear" w:color="auto" w:fill="auto"/>
            <w:tcMar>
              <w:top w:w="100" w:type="dxa"/>
              <w:left w:w="100" w:type="dxa"/>
              <w:bottom w:w="100" w:type="dxa"/>
              <w:right w:w="100" w:type="dxa"/>
            </w:tcMar>
          </w:tcPr>
          <w:p w14:paraId="000001CE"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31"/>
                <w:id w:val="374283167"/>
              </w:sdtPr>
              <w:sdtEndPr/>
              <w:sdtContent>
                <w:r w:rsidR="00B633A4" w:rsidRPr="001C6F50">
                  <w:rPr>
                    <w:rFonts w:ascii="Times New Roman" w:eastAsia="Cardo" w:hAnsi="Times New Roman" w:cs="Times New Roman"/>
                  </w:rPr>
                  <w:t>Eating late was related to ↓ weight-loss effectiveness.</w:t>
                </w:r>
              </w:sdtContent>
            </w:sdt>
          </w:p>
        </w:tc>
      </w:tr>
      <w:tr w:rsidR="00B633A4" w14:paraId="090EC441" w14:textId="77777777" w:rsidTr="00851C07">
        <w:trPr>
          <w:trHeight w:val="950"/>
        </w:trPr>
        <w:tc>
          <w:tcPr>
            <w:tcW w:w="1134" w:type="dxa"/>
            <w:tcBorders>
              <w:top w:val="nil"/>
              <w:left w:val="nil"/>
              <w:bottom w:val="nil"/>
              <w:right w:val="nil"/>
            </w:tcBorders>
            <w:shd w:val="clear" w:color="auto" w:fill="auto"/>
            <w:tcMar>
              <w:top w:w="100" w:type="dxa"/>
              <w:left w:w="100" w:type="dxa"/>
              <w:bottom w:w="100" w:type="dxa"/>
              <w:right w:w="100" w:type="dxa"/>
            </w:tcMar>
          </w:tcPr>
          <w:p w14:paraId="000001CF" w14:textId="77777777" w:rsidR="00B633A4" w:rsidRDefault="007E2DD6">
            <w:pPr>
              <w:widowControl w:val="0"/>
              <w:spacing w:line="240" w:lineRule="auto"/>
              <w:rPr>
                <w:rFonts w:ascii="Times New Roman" w:eastAsia="Times New Roman" w:hAnsi="Times New Roman" w:cs="Times New Roman"/>
              </w:rPr>
            </w:pPr>
            <w:hyperlink r:id="rId294">
              <w:r w:rsidR="00B633A4">
                <w:rPr>
                  <w:rFonts w:ascii="Times New Roman" w:eastAsia="Times New Roman" w:hAnsi="Times New Roman" w:cs="Times New Roman"/>
                </w:rPr>
                <w:t>(</w:t>
              </w:r>
              <w:proofErr w:type="spellStart"/>
              <w:r w:rsidR="00B633A4">
                <w:rPr>
                  <w:rFonts w:ascii="Times New Roman" w:eastAsia="Times New Roman" w:hAnsi="Times New Roman" w:cs="Times New Roman"/>
                </w:rPr>
                <w:t>Jakubowicz</w:t>
              </w:r>
              <w:proofErr w:type="spellEnd"/>
              <w:r w:rsidR="00B633A4">
                <w:rPr>
                  <w:rFonts w:ascii="Times New Roman" w:eastAsia="Times New Roman" w:hAnsi="Times New Roman" w:cs="Times New Roman"/>
                </w:rPr>
                <w:t xml:space="preserve"> et al., 2013)</w:t>
              </w:r>
            </w:hyperlink>
          </w:p>
        </w:tc>
        <w:tc>
          <w:tcPr>
            <w:tcW w:w="1276" w:type="dxa"/>
            <w:tcBorders>
              <w:top w:val="nil"/>
              <w:left w:val="nil"/>
              <w:bottom w:val="nil"/>
              <w:right w:val="nil"/>
            </w:tcBorders>
            <w:shd w:val="clear" w:color="auto" w:fill="auto"/>
            <w:tcMar>
              <w:top w:w="100" w:type="dxa"/>
              <w:left w:w="100" w:type="dxa"/>
              <w:bottom w:w="100" w:type="dxa"/>
              <w:right w:w="100" w:type="dxa"/>
            </w:tcMar>
          </w:tcPr>
          <w:p w14:paraId="000001D0"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93 adults with obesity</w:t>
            </w:r>
          </w:p>
        </w:tc>
        <w:tc>
          <w:tcPr>
            <w:tcW w:w="851" w:type="dxa"/>
            <w:tcBorders>
              <w:top w:val="nil"/>
              <w:left w:val="nil"/>
              <w:bottom w:val="nil"/>
              <w:right w:val="nil"/>
            </w:tcBorders>
          </w:tcPr>
          <w:p w14:paraId="50697B7E" w14:textId="20D68E5D" w:rsidR="00B633A4" w:rsidRPr="001C6F50" w:rsidRDefault="004B0CB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Israel</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1D1" w14:textId="7597822A"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Randomised controlled trial</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1D2"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3-day food diary</w:t>
            </w:r>
          </w:p>
        </w:tc>
        <w:tc>
          <w:tcPr>
            <w:tcW w:w="1853" w:type="dxa"/>
            <w:gridSpan w:val="2"/>
            <w:tcBorders>
              <w:top w:val="nil"/>
              <w:left w:val="nil"/>
              <w:bottom w:val="nil"/>
              <w:right w:val="nil"/>
            </w:tcBorders>
            <w:shd w:val="clear" w:color="auto" w:fill="auto"/>
            <w:tcMar>
              <w:top w:w="100" w:type="dxa"/>
              <w:left w:w="100" w:type="dxa"/>
              <w:bottom w:w="100" w:type="dxa"/>
              <w:right w:w="100" w:type="dxa"/>
            </w:tcMar>
          </w:tcPr>
          <w:p w14:paraId="000001D3"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Breakfast group or a dinner group </w:t>
            </w:r>
          </w:p>
        </w:tc>
        <w:tc>
          <w:tcPr>
            <w:tcW w:w="2788" w:type="dxa"/>
            <w:tcBorders>
              <w:top w:val="nil"/>
              <w:left w:val="nil"/>
              <w:bottom w:val="nil"/>
              <w:right w:val="nil"/>
            </w:tcBorders>
            <w:shd w:val="clear" w:color="auto" w:fill="auto"/>
            <w:tcMar>
              <w:top w:w="100" w:type="dxa"/>
              <w:left w:w="100" w:type="dxa"/>
              <w:bottom w:w="100" w:type="dxa"/>
              <w:right w:w="100" w:type="dxa"/>
            </w:tcMar>
          </w:tcPr>
          <w:p w14:paraId="000001D4"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waist circumference and calculated BMI</w:t>
            </w:r>
          </w:p>
        </w:tc>
        <w:tc>
          <w:tcPr>
            <w:tcW w:w="2872" w:type="dxa"/>
            <w:tcBorders>
              <w:top w:val="nil"/>
              <w:left w:val="nil"/>
              <w:bottom w:val="nil"/>
              <w:right w:val="nil"/>
            </w:tcBorders>
            <w:shd w:val="clear" w:color="auto" w:fill="auto"/>
            <w:tcMar>
              <w:top w:w="100" w:type="dxa"/>
              <w:left w:w="100" w:type="dxa"/>
              <w:bottom w:w="100" w:type="dxa"/>
              <w:right w:w="100" w:type="dxa"/>
            </w:tcMar>
          </w:tcPr>
          <w:p w14:paraId="000001D5" w14:textId="6C946331"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32"/>
                <w:id w:val="1541008704"/>
              </w:sdtPr>
              <w:sdtEndPr/>
              <w:sdtContent>
                <w:r w:rsidR="00B633A4" w:rsidRPr="001C6F50">
                  <w:rPr>
                    <w:rFonts w:ascii="Times New Roman" w:eastAsia="Cardo" w:hAnsi="Times New Roman" w:cs="Times New Roman"/>
                  </w:rPr>
                  <w:t>Dinner group showed ↓ weight loss and ↓ waist circumference reduction</w:t>
                </w:r>
                <w:r w:rsidR="00C16E22">
                  <w:rPr>
                    <w:rFonts w:ascii="Times New Roman" w:eastAsia="Cardo" w:hAnsi="Times New Roman" w:cs="Times New Roman"/>
                  </w:rPr>
                  <w:t>.</w:t>
                </w:r>
              </w:sdtContent>
            </w:sdt>
          </w:p>
        </w:tc>
      </w:tr>
      <w:tr w:rsidR="00B633A4" w14:paraId="2E02C9DE" w14:textId="77777777" w:rsidTr="00851C07">
        <w:trPr>
          <w:trHeight w:val="721"/>
        </w:trPr>
        <w:tc>
          <w:tcPr>
            <w:tcW w:w="1134" w:type="dxa"/>
            <w:tcBorders>
              <w:top w:val="nil"/>
              <w:left w:val="nil"/>
              <w:bottom w:val="nil"/>
              <w:right w:val="nil"/>
            </w:tcBorders>
            <w:shd w:val="clear" w:color="auto" w:fill="auto"/>
            <w:tcMar>
              <w:top w:w="100" w:type="dxa"/>
              <w:left w:w="100" w:type="dxa"/>
              <w:bottom w:w="100" w:type="dxa"/>
              <w:right w:w="100" w:type="dxa"/>
            </w:tcMar>
          </w:tcPr>
          <w:p w14:paraId="000001D6" w14:textId="77777777" w:rsidR="00B633A4" w:rsidRDefault="007E2DD6">
            <w:pPr>
              <w:widowControl w:val="0"/>
              <w:spacing w:line="240" w:lineRule="auto"/>
              <w:rPr>
                <w:rFonts w:ascii="Times New Roman" w:eastAsia="Times New Roman" w:hAnsi="Times New Roman" w:cs="Times New Roman"/>
              </w:rPr>
            </w:pPr>
            <w:hyperlink r:id="rId295">
              <w:r w:rsidR="00B633A4">
                <w:rPr>
                  <w:rFonts w:ascii="Times New Roman" w:eastAsia="Times New Roman" w:hAnsi="Times New Roman" w:cs="Times New Roman"/>
                </w:rPr>
                <w:t>(</w:t>
              </w:r>
              <w:proofErr w:type="spellStart"/>
              <w:r w:rsidR="00B633A4">
                <w:rPr>
                  <w:rFonts w:ascii="Times New Roman" w:eastAsia="Times New Roman" w:hAnsi="Times New Roman" w:cs="Times New Roman"/>
                </w:rPr>
                <w:t>Kahleova</w:t>
              </w:r>
              <w:proofErr w:type="spellEnd"/>
              <w:r w:rsidR="00B633A4">
                <w:rPr>
                  <w:rFonts w:ascii="Times New Roman" w:eastAsia="Times New Roman" w:hAnsi="Times New Roman" w:cs="Times New Roman"/>
                </w:rPr>
                <w:t xml:space="preserve"> et al., 2017)</w:t>
              </w:r>
            </w:hyperlink>
          </w:p>
        </w:tc>
        <w:tc>
          <w:tcPr>
            <w:tcW w:w="1276" w:type="dxa"/>
            <w:tcBorders>
              <w:top w:val="nil"/>
              <w:left w:val="nil"/>
              <w:bottom w:val="nil"/>
              <w:right w:val="nil"/>
            </w:tcBorders>
            <w:shd w:val="clear" w:color="auto" w:fill="auto"/>
            <w:tcMar>
              <w:top w:w="100" w:type="dxa"/>
              <w:left w:w="100" w:type="dxa"/>
              <w:bottom w:w="100" w:type="dxa"/>
              <w:right w:w="100" w:type="dxa"/>
            </w:tcMar>
          </w:tcPr>
          <w:p w14:paraId="000001D7"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50,660 adults</w:t>
            </w:r>
          </w:p>
        </w:tc>
        <w:tc>
          <w:tcPr>
            <w:tcW w:w="851" w:type="dxa"/>
            <w:tcBorders>
              <w:top w:val="nil"/>
              <w:left w:val="nil"/>
              <w:bottom w:val="nil"/>
              <w:right w:val="nil"/>
            </w:tcBorders>
          </w:tcPr>
          <w:p w14:paraId="76B130CD" w14:textId="6DE910AD" w:rsidR="00B633A4" w:rsidRPr="001C6F50" w:rsidRDefault="004B0CB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USA</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1D8" w14:textId="79B382E3"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1D9"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Questionnaire</w:t>
            </w:r>
          </w:p>
        </w:tc>
        <w:tc>
          <w:tcPr>
            <w:tcW w:w="1853" w:type="dxa"/>
            <w:gridSpan w:val="2"/>
            <w:tcBorders>
              <w:top w:val="nil"/>
              <w:left w:val="nil"/>
              <w:bottom w:val="nil"/>
              <w:right w:val="nil"/>
            </w:tcBorders>
            <w:shd w:val="clear" w:color="auto" w:fill="auto"/>
            <w:tcMar>
              <w:top w:w="100" w:type="dxa"/>
              <w:left w:w="100" w:type="dxa"/>
              <w:bottom w:w="100" w:type="dxa"/>
              <w:right w:w="100" w:type="dxa"/>
            </w:tcMar>
          </w:tcPr>
          <w:p w14:paraId="000001DA"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Not specified</w:t>
            </w:r>
          </w:p>
        </w:tc>
        <w:tc>
          <w:tcPr>
            <w:tcW w:w="2788" w:type="dxa"/>
            <w:tcBorders>
              <w:top w:val="nil"/>
              <w:left w:val="nil"/>
              <w:bottom w:val="nil"/>
              <w:right w:val="nil"/>
            </w:tcBorders>
            <w:shd w:val="clear" w:color="auto" w:fill="auto"/>
            <w:tcMar>
              <w:top w:w="100" w:type="dxa"/>
              <w:left w:w="100" w:type="dxa"/>
              <w:bottom w:w="100" w:type="dxa"/>
              <w:right w:w="100" w:type="dxa"/>
            </w:tcMar>
          </w:tcPr>
          <w:p w14:paraId="000001DB"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self-reported measured height, weight and calculated BMI.</w:t>
            </w:r>
          </w:p>
        </w:tc>
        <w:tc>
          <w:tcPr>
            <w:tcW w:w="2872" w:type="dxa"/>
            <w:tcBorders>
              <w:top w:val="nil"/>
              <w:left w:val="nil"/>
              <w:bottom w:val="nil"/>
              <w:right w:val="nil"/>
            </w:tcBorders>
            <w:shd w:val="clear" w:color="auto" w:fill="auto"/>
            <w:tcMar>
              <w:top w:w="100" w:type="dxa"/>
              <w:left w:w="100" w:type="dxa"/>
              <w:bottom w:w="100" w:type="dxa"/>
              <w:right w:w="100" w:type="dxa"/>
            </w:tcMar>
          </w:tcPr>
          <w:p w14:paraId="000001DC" w14:textId="13AE3ED2"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33"/>
                <w:id w:val="756484691"/>
              </w:sdtPr>
              <w:sdtEndPr/>
              <w:sdtContent>
                <w:r w:rsidR="00B633A4" w:rsidRPr="001C6F50">
                  <w:rPr>
                    <w:rFonts w:ascii="Times New Roman" w:eastAsia="Cardo" w:hAnsi="Times New Roman" w:cs="Times New Roman"/>
                  </w:rPr>
                  <w:t>Participants who ate their largest meal at dinner, experienced ↓weight loss</w:t>
                </w:r>
                <w:r w:rsidR="00C16E22">
                  <w:rPr>
                    <w:rFonts w:ascii="Times New Roman" w:eastAsia="Cardo" w:hAnsi="Times New Roman" w:cs="Times New Roman"/>
                  </w:rPr>
                  <w:t>.</w:t>
                </w:r>
              </w:sdtContent>
            </w:sdt>
          </w:p>
        </w:tc>
      </w:tr>
      <w:tr w:rsidR="00B633A4" w14:paraId="0E908CA8" w14:textId="77777777" w:rsidTr="00851C07">
        <w:trPr>
          <w:trHeight w:val="1191"/>
        </w:trPr>
        <w:tc>
          <w:tcPr>
            <w:tcW w:w="1134" w:type="dxa"/>
            <w:tcBorders>
              <w:top w:val="nil"/>
              <w:left w:val="nil"/>
              <w:bottom w:val="single" w:sz="4" w:space="0" w:color="auto"/>
              <w:right w:val="nil"/>
            </w:tcBorders>
            <w:shd w:val="clear" w:color="auto" w:fill="auto"/>
            <w:tcMar>
              <w:top w:w="100" w:type="dxa"/>
              <w:left w:w="100" w:type="dxa"/>
              <w:bottom w:w="100" w:type="dxa"/>
              <w:right w:w="100" w:type="dxa"/>
            </w:tcMar>
          </w:tcPr>
          <w:p w14:paraId="000001DD" w14:textId="77777777" w:rsidR="00B633A4" w:rsidRDefault="007E2DD6">
            <w:pPr>
              <w:widowControl w:val="0"/>
              <w:spacing w:line="240" w:lineRule="auto"/>
              <w:rPr>
                <w:rFonts w:ascii="Times New Roman" w:eastAsia="Times New Roman" w:hAnsi="Times New Roman" w:cs="Times New Roman"/>
              </w:rPr>
            </w:pPr>
            <w:hyperlink r:id="rId296">
              <w:r w:rsidR="00B633A4">
                <w:rPr>
                  <w:rFonts w:ascii="Times New Roman" w:eastAsia="Times New Roman" w:hAnsi="Times New Roman" w:cs="Times New Roman"/>
                </w:rPr>
                <w:t>(</w:t>
              </w:r>
              <w:proofErr w:type="spellStart"/>
              <w:r w:rsidR="00B633A4">
                <w:rPr>
                  <w:rFonts w:ascii="Times New Roman" w:eastAsia="Times New Roman" w:hAnsi="Times New Roman" w:cs="Times New Roman"/>
                </w:rPr>
                <w:t>Kutsuma</w:t>
              </w:r>
              <w:proofErr w:type="spellEnd"/>
              <w:r w:rsidR="00B633A4">
                <w:rPr>
                  <w:rFonts w:ascii="Times New Roman" w:eastAsia="Times New Roman" w:hAnsi="Times New Roman" w:cs="Times New Roman"/>
                </w:rPr>
                <w:t xml:space="preserve"> et al., 2014)</w:t>
              </w:r>
            </w:hyperlink>
          </w:p>
        </w:tc>
        <w:tc>
          <w:tcPr>
            <w:tcW w:w="1276" w:type="dxa"/>
            <w:tcBorders>
              <w:top w:val="nil"/>
              <w:left w:val="nil"/>
              <w:bottom w:val="single" w:sz="4" w:space="0" w:color="auto"/>
              <w:right w:val="nil"/>
            </w:tcBorders>
            <w:shd w:val="clear" w:color="auto" w:fill="auto"/>
            <w:tcMar>
              <w:top w:w="100" w:type="dxa"/>
              <w:left w:w="100" w:type="dxa"/>
              <w:bottom w:w="100" w:type="dxa"/>
              <w:right w:w="100" w:type="dxa"/>
            </w:tcMar>
          </w:tcPr>
          <w:p w14:paraId="000001DE"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60,800 adults</w:t>
            </w:r>
          </w:p>
        </w:tc>
        <w:tc>
          <w:tcPr>
            <w:tcW w:w="851" w:type="dxa"/>
            <w:tcBorders>
              <w:top w:val="nil"/>
              <w:left w:val="nil"/>
              <w:bottom w:val="single" w:sz="4" w:space="0" w:color="auto"/>
              <w:right w:val="nil"/>
            </w:tcBorders>
          </w:tcPr>
          <w:p w14:paraId="49FB3A2E" w14:textId="2B1F31D6" w:rsidR="00B633A4" w:rsidRPr="001C6F50" w:rsidRDefault="004B0CB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Japan</w:t>
            </w:r>
          </w:p>
        </w:tc>
        <w:tc>
          <w:tcPr>
            <w:tcW w:w="1559" w:type="dxa"/>
            <w:tcBorders>
              <w:top w:val="nil"/>
              <w:left w:val="nil"/>
              <w:bottom w:val="single" w:sz="4" w:space="0" w:color="auto"/>
              <w:right w:val="nil"/>
            </w:tcBorders>
            <w:shd w:val="clear" w:color="auto" w:fill="auto"/>
            <w:tcMar>
              <w:top w:w="100" w:type="dxa"/>
              <w:left w:w="100" w:type="dxa"/>
              <w:bottom w:w="100" w:type="dxa"/>
              <w:right w:w="100" w:type="dxa"/>
            </w:tcMar>
          </w:tcPr>
          <w:p w14:paraId="000001DF" w14:textId="06AA2FDF"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59" w:type="dxa"/>
            <w:tcBorders>
              <w:top w:val="nil"/>
              <w:left w:val="nil"/>
              <w:bottom w:val="single" w:sz="4" w:space="0" w:color="auto"/>
              <w:right w:val="nil"/>
            </w:tcBorders>
            <w:shd w:val="clear" w:color="auto" w:fill="auto"/>
            <w:tcMar>
              <w:top w:w="100" w:type="dxa"/>
              <w:left w:w="100" w:type="dxa"/>
              <w:bottom w:w="100" w:type="dxa"/>
              <w:right w:w="100" w:type="dxa"/>
            </w:tcMar>
          </w:tcPr>
          <w:p w14:paraId="000001E0"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Questionnaire </w:t>
            </w:r>
          </w:p>
        </w:tc>
        <w:tc>
          <w:tcPr>
            <w:tcW w:w="1853" w:type="dxa"/>
            <w:gridSpan w:val="2"/>
            <w:tcBorders>
              <w:top w:val="nil"/>
              <w:left w:val="nil"/>
              <w:bottom w:val="single" w:sz="4" w:space="0" w:color="auto"/>
              <w:right w:val="nil"/>
            </w:tcBorders>
            <w:shd w:val="clear" w:color="auto" w:fill="auto"/>
            <w:tcMar>
              <w:top w:w="100" w:type="dxa"/>
              <w:left w:w="100" w:type="dxa"/>
              <w:bottom w:w="100" w:type="dxa"/>
              <w:right w:w="100" w:type="dxa"/>
            </w:tcMar>
          </w:tcPr>
          <w:p w14:paraId="000001E1"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Eat dinner within two hours before bedtime at least three times per week</w:t>
            </w:r>
          </w:p>
        </w:tc>
        <w:tc>
          <w:tcPr>
            <w:tcW w:w="2788" w:type="dxa"/>
            <w:tcBorders>
              <w:top w:val="nil"/>
              <w:left w:val="nil"/>
              <w:bottom w:val="single" w:sz="4" w:space="0" w:color="auto"/>
              <w:right w:val="nil"/>
            </w:tcBorders>
            <w:shd w:val="clear" w:color="auto" w:fill="auto"/>
            <w:tcMar>
              <w:top w:w="100" w:type="dxa"/>
              <w:left w:w="100" w:type="dxa"/>
              <w:bottom w:w="100" w:type="dxa"/>
              <w:right w:w="100" w:type="dxa"/>
            </w:tcMar>
          </w:tcPr>
          <w:p w14:paraId="000001E2"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tc>
        <w:tc>
          <w:tcPr>
            <w:tcW w:w="2872" w:type="dxa"/>
            <w:tcBorders>
              <w:top w:val="nil"/>
              <w:left w:val="nil"/>
              <w:bottom w:val="single" w:sz="4" w:space="0" w:color="auto"/>
              <w:right w:val="nil"/>
            </w:tcBorders>
            <w:shd w:val="clear" w:color="auto" w:fill="auto"/>
            <w:tcMar>
              <w:top w:w="100" w:type="dxa"/>
              <w:left w:w="100" w:type="dxa"/>
              <w:bottom w:w="100" w:type="dxa"/>
              <w:right w:w="100" w:type="dxa"/>
            </w:tcMar>
          </w:tcPr>
          <w:p w14:paraId="000001E3" w14:textId="6BBC205C"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34"/>
                <w:id w:val="2014178971"/>
              </w:sdtPr>
              <w:sdtEndPr/>
              <w:sdtContent>
                <w:r w:rsidR="00B633A4" w:rsidRPr="001C6F50">
                  <w:rPr>
                    <w:rFonts w:ascii="Times New Roman" w:eastAsia="Cardo" w:hAnsi="Times New Roman" w:cs="Times New Roman"/>
                  </w:rPr>
                  <w:t>Late eating was significantly associated with ↑ BMIs.</w:t>
                </w:r>
              </w:sdtContent>
            </w:sdt>
          </w:p>
        </w:tc>
      </w:tr>
      <w:tr w:rsidR="00B633A4" w14:paraId="6BC0D47D" w14:textId="77777777" w:rsidTr="00851C07">
        <w:trPr>
          <w:trHeight w:val="229"/>
        </w:trPr>
        <w:tc>
          <w:tcPr>
            <w:tcW w:w="1134" w:type="dxa"/>
            <w:tcBorders>
              <w:top w:val="single" w:sz="4" w:space="0" w:color="auto"/>
              <w:left w:val="nil"/>
              <w:bottom w:val="nil"/>
              <w:right w:val="nil"/>
            </w:tcBorders>
            <w:shd w:val="clear" w:color="auto" w:fill="auto"/>
            <w:tcMar>
              <w:top w:w="100" w:type="dxa"/>
              <w:left w:w="100" w:type="dxa"/>
              <w:bottom w:w="100" w:type="dxa"/>
              <w:right w:w="100" w:type="dxa"/>
            </w:tcMar>
          </w:tcPr>
          <w:p w14:paraId="13C796D5" w14:textId="77777777" w:rsidR="00B633A4" w:rsidRDefault="00B633A4">
            <w:pPr>
              <w:widowControl w:val="0"/>
              <w:spacing w:line="240" w:lineRule="auto"/>
            </w:pPr>
          </w:p>
        </w:tc>
        <w:tc>
          <w:tcPr>
            <w:tcW w:w="1276" w:type="dxa"/>
            <w:tcBorders>
              <w:top w:val="single" w:sz="4" w:space="0" w:color="auto"/>
              <w:left w:val="nil"/>
              <w:bottom w:val="nil"/>
              <w:right w:val="nil"/>
            </w:tcBorders>
            <w:shd w:val="clear" w:color="auto" w:fill="auto"/>
            <w:tcMar>
              <w:top w:w="100" w:type="dxa"/>
              <w:left w:w="100" w:type="dxa"/>
              <w:bottom w:w="100" w:type="dxa"/>
              <w:right w:w="100" w:type="dxa"/>
            </w:tcMar>
          </w:tcPr>
          <w:p w14:paraId="6AF216C8" w14:textId="77777777" w:rsidR="00B633A4" w:rsidRPr="001C6F50" w:rsidRDefault="00B633A4">
            <w:pPr>
              <w:widowControl w:val="0"/>
              <w:spacing w:line="240" w:lineRule="auto"/>
              <w:rPr>
                <w:rFonts w:ascii="Times New Roman" w:eastAsia="Times New Roman" w:hAnsi="Times New Roman" w:cs="Times New Roman"/>
              </w:rPr>
            </w:pPr>
          </w:p>
        </w:tc>
        <w:tc>
          <w:tcPr>
            <w:tcW w:w="851" w:type="dxa"/>
            <w:tcBorders>
              <w:top w:val="single" w:sz="4" w:space="0" w:color="auto"/>
              <w:left w:val="nil"/>
              <w:bottom w:val="nil"/>
              <w:right w:val="nil"/>
            </w:tcBorders>
          </w:tcPr>
          <w:p w14:paraId="34C2AC56" w14:textId="77777777" w:rsidR="00B633A4" w:rsidRPr="001C6F50" w:rsidRDefault="00B633A4">
            <w:pPr>
              <w:widowControl w:val="0"/>
              <w:spacing w:line="240" w:lineRule="auto"/>
              <w:rPr>
                <w:rFonts w:ascii="Times New Roman" w:eastAsia="Times New Roman" w:hAnsi="Times New Roman" w:cs="Times New Roman"/>
              </w:rPr>
            </w:pPr>
          </w:p>
        </w:tc>
        <w:tc>
          <w:tcPr>
            <w:tcW w:w="1559" w:type="dxa"/>
            <w:tcBorders>
              <w:top w:val="single" w:sz="4" w:space="0" w:color="auto"/>
              <w:left w:val="nil"/>
              <w:bottom w:val="nil"/>
              <w:right w:val="nil"/>
            </w:tcBorders>
            <w:shd w:val="clear" w:color="auto" w:fill="auto"/>
            <w:tcMar>
              <w:top w:w="100" w:type="dxa"/>
              <w:left w:w="100" w:type="dxa"/>
              <w:bottom w:w="100" w:type="dxa"/>
              <w:right w:w="100" w:type="dxa"/>
            </w:tcMar>
          </w:tcPr>
          <w:p w14:paraId="6460F9B4" w14:textId="45F3CB15" w:rsidR="00B633A4" w:rsidRPr="001C6F50" w:rsidRDefault="00B633A4">
            <w:pPr>
              <w:widowControl w:val="0"/>
              <w:spacing w:line="240" w:lineRule="auto"/>
              <w:rPr>
                <w:rFonts w:ascii="Times New Roman" w:eastAsia="Times New Roman" w:hAnsi="Times New Roman" w:cs="Times New Roman"/>
              </w:rPr>
            </w:pPr>
          </w:p>
        </w:tc>
        <w:tc>
          <w:tcPr>
            <w:tcW w:w="1559" w:type="dxa"/>
            <w:tcBorders>
              <w:top w:val="single" w:sz="4" w:space="0" w:color="auto"/>
              <w:left w:val="nil"/>
              <w:bottom w:val="nil"/>
              <w:right w:val="nil"/>
            </w:tcBorders>
            <w:shd w:val="clear" w:color="auto" w:fill="auto"/>
            <w:tcMar>
              <w:top w:w="100" w:type="dxa"/>
              <w:left w:w="100" w:type="dxa"/>
              <w:bottom w:w="100" w:type="dxa"/>
              <w:right w:w="100" w:type="dxa"/>
            </w:tcMar>
          </w:tcPr>
          <w:p w14:paraId="775862C0" w14:textId="77777777" w:rsidR="00B633A4" w:rsidRPr="001C6F50" w:rsidRDefault="00B633A4">
            <w:pPr>
              <w:widowControl w:val="0"/>
              <w:spacing w:line="240" w:lineRule="auto"/>
              <w:rPr>
                <w:rFonts w:ascii="Times New Roman" w:eastAsia="Times New Roman" w:hAnsi="Times New Roman" w:cs="Times New Roman"/>
              </w:rPr>
            </w:pPr>
          </w:p>
        </w:tc>
        <w:tc>
          <w:tcPr>
            <w:tcW w:w="1853" w:type="dxa"/>
            <w:gridSpan w:val="2"/>
            <w:tcBorders>
              <w:top w:val="single" w:sz="4" w:space="0" w:color="auto"/>
              <w:left w:val="nil"/>
              <w:bottom w:val="nil"/>
              <w:right w:val="nil"/>
            </w:tcBorders>
            <w:shd w:val="clear" w:color="auto" w:fill="auto"/>
            <w:tcMar>
              <w:top w:w="100" w:type="dxa"/>
              <w:left w:w="100" w:type="dxa"/>
              <w:bottom w:w="100" w:type="dxa"/>
              <w:right w:w="100" w:type="dxa"/>
            </w:tcMar>
          </w:tcPr>
          <w:p w14:paraId="14D16354" w14:textId="77777777" w:rsidR="00B633A4" w:rsidRPr="001C6F50" w:rsidRDefault="00B633A4">
            <w:pPr>
              <w:widowControl w:val="0"/>
              <w:spacing w:line="240" w:lineRule="auto"/>
              <w:rPr>
                <w:rFonts w:ascii="Times New Roman" w:eastAsia="Times New Roman" w:hAnsi="Times New Roman" w:cs="Times New Roman"/>
              </w:rPr>
            </w:pPr>
          </w:p>
        </w:tc>
        <w:tc>
          <w:tcPr>
            <w:tcW w:w="2788" w:type="dxa"/>
            <w:tcBorders>
              <w:top w:val="single" w:sz="4" w:space="0" w:color="auto"/>
              <w:left w:val="nil"/>
              <w:bottom w:val="nil"/>
              <w:right w:val="nil"/>
            </w:tcBorders>
            <w:shd w:val="clear" w:color="auto" w:fill="auto"/>
            <w:tcMar>
              <w:top w:w="100" w:type="dxa"/>
              <w:left w:w="100" w:type="dxa"/>
              <w:bottom w:w="100" w:type="dxa"/>
              <w:right w:w="100" w:type="dxa"/>
            </w:tcMar>
          </w:tcPr>
          <w:p w14:paraId="3FDC3F7E" w14:textId="77777777" w:rsidR="00B633A4" w:rsidRPr="001C6F50" w:rsidRDefault="00B633A4">
            <w:pPr>
              <w:widowControl w:val="0"/>
              <w:spacing w:line="240" w:lineRule="auto"/>
              <w:rPr>
                <w:rFonts w:ascii="Times New Roman" w:eastAsia="Times New Roman" w:hAnsi="Times New Roman" w:cs="Times New Roman"/>
              </w:rPr>
            </w:pPr>
          </w:p>
        </w:tc>
        <w:tc>
          <w:tcPr>
            <w:tcW w:w="2872" w:type="dxa"/>
            <w:tcBorders>
              <w:top w:val="single" w:sz="4" w:space="0" w:color="auto"/>
              <w:left w:val="nil"/>
              <w:bottom w:val="nil"/>
              <w:right w:val="nil"/>
            </w:tcBorders>
            <w:shd w:val="clear" w:color="auto" w:fill="auto"/>
            <w:tcMar>
              <w:top w:w="100" w:type="dxa"/>
              <w:left w:w="100" w:type="dxa"/>
              <w:bottom w:w="100" w:type="dxa"/>
              <w:right w:w="100" w:type="dxa"/>
            </w:tcMar>
          </w:tcPr>
          <w:p w14:paraId="7F7CA487" w14:textId="77777777" w:rsidR="00B633A4" w:rsidRDefault="00B633A4">
            <w:pPr>
              <w:widowControl w:val="0"/>
              <w:spacing w:line="240" w:lineRule="auto"/>
              <w:rPr>
                <w:rFonts w:ascii="Times New Roman" w:hAnsi="Times New Roman" w:cs="Times New Roman"/>
              </w:rPr>
            </w:pPr>
          </w:p>
        </w:tc>
      </w:tr>
    </w:tbl>
    <w:p w14:paraId="153B593A" w14:textId="77777777" w:rsidR="007867D6" w:rsidRDefault="007867D6" w:rsidP="007867D6">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lastRenderedPageBreak/>
        <w:t xml:space="preserve">Table 2.1. </w:t>
      </w:r>
      <w:r>
        <w:rPr>
          <w:rFonts w:ascii="Times New Roman" w:eastAsia="Times New Roman" w:hAnsi="Times New Roman" w:cs="Times New Roman"/>
          <w:color w:val="000000"/>
          <w:sz w:val="20"/>
          <w:szCs w:val="20"/>
        </w:rPr>
        <w:t>Summary of meal timing literature (</w:t>
      </w:r>
      <w:r w:rsidRPr="007867D6">
        <w:rPr>
          <w:rFonts w:ascii="Times New Roman" w:eastAsia="Times New Roman" w:hAnsi="Times New Roman" w:cs="Times New Roman"/>
          <w:i/>
          <w:iCs/>
          <w:color w:val="000000"/>
          <w:sz w:val="20"/>
          <w:szCs w:val="20"/>
        </w:rPr>
        <w:t>Continued</w:t>
      </w:r>
      <w:r>
        <w:rPr>
          <w:rFonts w:ascii="Times New Roman" w:eastAsia="Times New Roman" w:hAnsi="Times New Roman" w:cs="Times New Roman"/>
          <w:color w:val="000000"/>
          <w:sz w:val="20"/>
          <w:szCs w:val="20"/>
        </w:rPr>
        <w:t>).</w:t>
      </w:r>
    </w:p>
    <w:tbl>
      <w:tblPr>
        <w:tblW w:w="13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79646" w:themeFill="accent6"/>
        <w:tblLayout w:type="fixed"/>
        <w:tblLook w:val="0600" w:firstRow="0" w:lastRow="0" w:firstColumn="0" w:lastColumn="0" w:noHBand="1" w:noVBand="1"/>
      </w:tblPr>
      <w:tblGrid>
        <w:gridCol w:w="1154"/>
        <w:gridCol w:w="1256"/>
        <w:gridCol w:w="992"/>
        <w:gridCol w:w="1276"/>
        <w:gridCol w:w="1559"/>
        <w:gridCol w:w="2127"/>
        <w:gridCol w:w="2787"/>
        <w:gridCol w:w="2822"/>
      </w:tblGrid>
      <w:tr w:rsidR="00B750A9" w14:paraId="1CED796F" w14:textId="77777777" w:rsidTr="00B750A9">
        <w:trPr>
          <w:trHeight w:val="468"/>
        </w:trPr>
        <w:tc>
          <w:tcPr>
            <w:tcW w:w="1154" w:type="dxa"/>
            <w:tcBorders>
              <w:left w:val="nil"/>
              <w:bottom w:val="nil"/>
              <w:right w:val="nil"/>
            </w:tcBorders>
            <w:shd w:val="clear" w:color="auto" w:fill="F79646" w:themeFill="accent6"/>
            <w:tcMar>
              <w:top w:w="100" w:type="dxa"/>
              <w:left w:w="100" w:type="dxa"/>
              <w:bottom w:w="100" w:type="dxa"/>
              <w:right w:w="100" w:type="dxa"/>
            </w:tcMar>
          </w:tcPr>
          <w:p w14:paraId="768006B9" w14:textId="77777777" w:rsidR="00B633A4" w:rsidRDefault="00B633A4" w:rsidP="00B64CA5">
            <w:pPr>
              <w:widowControl w:val="0"/>
              <w:spacing w:line="240" w:lineRule="auto"/>
              <w:rPr>
                <w:rFonts w:ascii="Times New Roman" w:eastAsia="Times New Roman" w:hAnsi="Times New Roman" w:cs="Times New Roman"/>
              </w:rPr>
            </w:pPr>
            <w:bookmarkStart w:id="34" w:name="_Hlk172965042"/>
            <w:r>
              <w:rPr>
                <w:rFonts w:ascii="Times New Roman" w:eastAsia="Times New Roman" w:hAnsi="Times New Roman" w:cs="Times New Roman"/>
              </w:rPr>
              <w:t>Author (year)</w:t>
            </w:r>
          </w:p>
        </w:tc>
        <w:tc>
          <w:tcPr>
            <w:tcW w:w="1256" w:type="dxa"/>
            <w:tcBorders>
              <w:left w:val="nil"/>
              <w:bottom w:val="nil"/>
              <w:right w:val="nil"/>
            </w:tcBorders>
            <w:shd w:val="clear" w:color="auto" w:fill="F79646" w:themeFill="accent6"/>
            <w:tcMar>
              <w:top w:w="100" w:type="dxa"/>
              <w:left w:w="100" w:type="dxa"/>
              <w:bottom w:w="100" w:type="dxa"/>
              <w:right w:w="100" w:type="dxa"/>
            </w:tcMar>
          </w:tcPr>
          <w:p w14:paraId="288ECC36" w14:textId="77777777" w:rsidR="00B633A4" w:rsidRDefault="00B633A4"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Participants</w:t>
            </w:r>
          </w:p>
        </w:tc>
        <w:tc>
          <w:tcPr>
            <w:tcW w:w="992" w:type="dxa"/>
            <w:tcBorders>
              <w:left w:val="nil"/>
              <w:bottom w:val="nil"/>
              <w:right w:val="nil"/>
            </w:tcBorders>
            <w:shd w:val="clear" w:color="auto" w:fill="F79646" w:themeFill="accent6"/>
          </w:tcPr>
          <w:p w14:paraId="1E74A739" w14:textId="389CE1C8" w:rsidR="00B633A4" w:rsidRDefault="004B0CBE"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Country</w:t>
            </w:r>
          </w:p>
        </w:tc>
        <w:tc>
          <w:tcPr>
            <w:tcW w:w="1276" w:type="dxa"/>
            <w:tcBorders>
              <w:left w:val="nil"/>
              <w:bottom w:val="nil"/>
              <w:right w:val="nil"/>
            </w:tcBorders>
            <w:shd w:val="clear" w:color="auto" w:fill="F79646" w:themeFill="accent6"/>
            <w:tcMar>
              <w:top w:w="100" w:type="dxa"/>
              <w:left w:w="100" w:type="dxa"/>
              <w:bottom w:w="100" w:type="dxa"/>
              <w:right w:w="100" w:type="dxa"/>
            </w:tcMar>
          </w:tcPr>
          <w:p w14:paraId="093D07C4" w14:textId="3342A304" w:rsidR="00B633A4" w:rsidRDefault="00B633A4"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Methods</w:t>
            </w:r>
          </w:p>
        </w:tc>
        <w:tc>
          <w:tcPr>
            <w:tcW w:w="1559" w:type="dxa"/>
            <w:tcBorders>
              <w:left w:val="nil"/>
              <w:bottom w:val="nil"/>
              <w:right w:val="nil"/>
            </w:tcBorders>
            <w:shd w:val="clear" w:color="auto" w:fill="F79646" w:themeFill="accent6"/>
            <w:tcMar>
              <w:top w:w="100" w:type="dxa"/>
              <w:left w:w="100" w:type="dxa"/>
              <w:bottom w:w="100" w:type="dxa"/>
              <w:right w:w="100" w:type="dxa"/>
            </w:tcMar>
          </w:tcPr>
          <w:p w14:paraId="055F9D02" w14:textId="77777777" w:rsidR="00B633A4" w:rsidRDefault="00B633A4"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Meal timing assessment method</w:t>
            </w:r>
          </w:p>
        </w:tc>
        <w:tc>
          <w:tcPr>
            <w:tcW w:w="2127" w:type="dxa"/>
            <w:tcBorders>
              <w:left w:val="nil"/>
              <w:bottom w:val="nil"/>
              <w:right w:val="nil"/>
            </w:tcBorders>
            <w:shd w:val="clear" w:color="auto" w:fill="F79646" w:themeFill="accent6"/>
            <w:tcMar>
              <w:top w:w="100" w:type="dxa"/>
              <w:left w:w="100" w:type="dxa"/>
              <w:bottom w:w="100" w:type="dxa"/>
              <w:right w:w="100" w:type="dxa"/>
            </w:tcMar>
          </w:tcPr>
          <w:p w14:paraId="40170F0C" w14:textId="77777777" w:rsidR="00B633A4" w:rsidRDefault="00B633A4"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Definition of late eating</w:t>
            </w:r>
          </w:p>
        </w:tc>
        <w:tc>
          <w:tcPr>
            <w:tcW w:w="2787" w:type="dxa"/>
            <w:tcBorders>
              <w:left w:val="nil"/>
              <w:bottom w:val="nil"/>
              <w:right w:val="nil"/>
            </w:tcBorders>
            <w:shd w:val="clear" w:color="auto" w:fill="F79646" w:themeFill="accent6"/>
            <w:tcMar>
              <w:top w:w="100" w:type="dxa"/>
              <w:left w:w="100" w:type="dxa"/>
              <w:bottom w:w="100" w:type="dxa"/>
              <w:right w:w="100" w:type="dxa"/>
            </w:tcMar>
          </w:tcPr>
          <w:p w14:paraId="4FA91779" w14:textId="77777777" w:rsidR="00B633A4" w:rsidRDefault="00B633A4"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Outcomes</w:t>
            </w:r>
          </w:p>
        </w:tc>
        <w:tc>
          <w:tcPr>
            <w:tcW w:w="2822" w:type="dxa"/>
            <w:tcBorders>
              <w:left w:val="nil"/>
              <w:bottom w:val="nil"/>
              <w:right w:val="nil"/>
            </w:tcBorders>
            <w:shd w:val="clear" w:color="auto" w:fill="F79646" w:themeFill="accent6"/>
            <w:tcMar>
              <w:top w:w="100" w:type="dxa"/>
              <w:left w:w="100" w:type="dxa"/>
              <w:bottom w:w="100" w:type="dxa"/>
              <w:right w:w="100" w:type="dxa"/>
            </w:tcMar>
          </w:tcPr>
          <w:p w14:paraId="24F66E2D" w14:textId="77777777" w:rsidR="00B633A4" w:rsidRDefault="00B633A4"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Changes in outcomes</w:t>
            </w:r>
          </w:p>
        </w:tc>
      </w:tr>
      <w:tr w:rsidR="00B633A4" w14:paraId="21F20CDA" w14:textId="77777777" w:rsidTr="00B750A9">
        <w:trPr>
          <w:trHeight w:val="73"/>
        </w:trPr>
        <w:tc>
          <w:tcPr>
            <w:tcW w:w="13973" w:type="dxa"/>
            <w:gridSpan w:val="8"/>
            <w:tcBorders>
              <w:top w:val="nil"/>
              <w:left w:val="nil"/>
              <w:right w:val="nil"/>
            </w:tcBorders>
            <w:shd w:val="clear" w:color="auto" w:fill="F79646" w:themeFill="accent6"/>
          </w:tcPr>
          <w:p w14:paraId="5D585CEE" w14:textId="7C3FF638" w:rsidR="00B633A4" w:rsidRDefault="00B633A4" w:rsidP="00B64CA5">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Studies showing an association between late eating and body weight.</w:t>
            </w:r>
          </w:p>
        </w:tc>
      </w:tr>
    </w:tbl>
    <w:tbl>
      <w:tblPr>
        <w:tblStyle w:val="a1"/>
        <w:tblW w:w="13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
        <w:gridCol w:w="1538"/>
        <w:gridCol w:w="709"/>
        <w:gridCol w:w="1559"/>
        <w:gridCol w:w="1276"/>
        <w:gridCol w:w="2268"/>
        <w:gridCol w:w="2835"/>
        <w:gridCol w:w="2636"/>
      </w:tblGrid>
      <w:tr w:rsidR="00B633A4" w14:paraId="756B0FE2" w14:textId="77777777" w:rsidTr="00DF5838">
        <w:trPr>
          <w:trHeight w:val="1732"/>
        </w:trPr>
        <w:tc>
          <w:tcPr>
            <w:tcW w:w="1014" w:type="dxa"/>
            <w:tcBorders>
              <w:top w:val="nil"/>
              <w:left w:val="nil"/>
              <w:bottom w:val="nil"/>
              <w:right w:val="nil"/>
            </w:tcBorders>
            <w:shd w:val="clear" w:color="auto" w:fill="auto"/>
            <w:tcMar>
              <w:top w:w="100" w:type="dxa"/>
              <w:left w:w="100" w:type="dxa"/>
              <w:bottom w:w="100" w:type="dxa"/>
              <w:right w:w="100" w:type="dxa"/>
            </w:tcMar>
          </w:tcPr>
          <w:bookmarkEnd w:id="34"/>
          <w:p w14:paraId="000001E4" w14:textId="77777777" w:rsidR="00B633A4" w:rsidRDefault="00B633A4">
            <w:pPr>
              <w:widowControl w:val="0"/>
              <w:spacing w:line="240" w:lineRule="auto"/>
              <w:rPr>
                <w:rFonts w:ascii="Times New Roman" w:eastAsia="Times New Roman" w:hAnsi="Times New Roman" w:cs="Times New Roman"/>
              </w:rPr>
            </w:pPr>
            <w:r>
              <w:fldChar w:fldCharType="begin"/>
            </w:r>
            <w:r>
              <w:instrText xml:space="preserve"> HYPERLINK "https://sciwheel.com/work/citation?ids=12174661&amp;pre=&amp;suf=&amp;sa=0" \h </w:instrText>
            </w:r>
            <w:r>
              <w:fldChar w:fldCharType="separate"/>
            </w:r>
            <w:r>
              <w:rPr>
                <w:rFonts w:ascii="Times New Roman" w:eastAsia="Times New Roman" w:hAnsi="Times New Roman" w:cs="Times New Roman"/>
              </w:rPr>
              <w:t>(Lombardo et al., 2014)</w:t>
            </w:r>
            <w:r>
              <w:rPr>
                <w:rFonts w:ascii="Times New Roman" w:eastAsia="Times New Roman" w:hAnsi="Times New Roman" w:cs="Times New Roman"/>
              </w:rPr>
              <w:fldChar w:fldCharType="end"/>
            </w:r>
          </w:p>
        </w:tc>
        <w:tc>
          <w:tcPr>
            <w:tcW w:w="1538" w:type="dxa"/>
            <w:tcBorders>
              <w:top w:val="nil"/>
              <w:left w:val="nil"/>
              <w:bottom w:val="nil"/>
              <w:right w:val="nil"/>
            </w:tcBorders>
            <w:shd w:val="clear" w:color="auto" w:fill="auto"/>
            <w:tcMar>
              <w:top w:w="100" w:type="dxa"/>
              <w:left w:w="100" w:type="dxa"/>
              <w:bottom w:w="100" w:type="dxa"/>
              <w:right w:w="100" w:type="dxa"/>
            </w:tcMar>
          </w:tcPr>
          <w:p w14:paraId="000001E5"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42 adults with obesity</w:t>
            </w:r>
          </w:p>
        </w:tc>
        <w:tc>
          <w:tcPr>
            <w:tcW w:w="709" w:type="dxa"/>
            <w:tcBorders>
              <w:top w:val="nil"/>
              <w:left w:val="nil"/>
              <w:bottom w:val="nil"/>
              <w:right w:val="nil"/>
            </w:tcBorders>
          </w:tcPr>
          <w:p w14:paraId="13CB2553" w14:textId="345C8728" w:rsidR="00B633A4" w:rsidRPr="001C6F50" w:rsidRDefault="004B0CB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Italy</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1E6" w14:textId="79502C94"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Randomised controlled trial</w:t>
            </w:r>
          </w:p>
        </w:tc>
        <w:tc>
          <w:tcPr>
            <w:tcW w:w="1276" w:type="dxa"/>
            <w:tcBorders>
              <w:top w:val="nil"/>
              <w:left w:val="nil"/>
              <w:bottom w:val="nil"/>
              <w:right w:val="nil"/>
            </w:tcBorders>
            <w:shd w:val="clear" w:color="auto" w:fill="auto"/>
            <w:tcMar>
              <w:top w:w="100" w:type="dxa"/>
              <w:left w:w="100" w:type="dxa"/>
              <w:bottom w:w="100" w:type="dxa"/>
              <w:right w:w="100" w:type="dxa"/>
            </w:tcMar>
          </w:tcPr>
          <w:p w14:paraId="000001E7" w14:textId="77777777" w:rsidR="00B633A4" w:rsidRPr="001C6F50" w:rsidRDefault="00B633A4">
            <w:pPr>
              <w:widowControl w:val="0"/>
              <w:spacing w:line="240" w:lineRule="auto"/>
              <w:rPr>
                <w:rFonts w:ascii="Times New Roman" w:eastAsia="Times New Roman" w:hAnsi="Times New Roman" w:cs="Times New Roman"/>
              </w:rPr>
            </w:pPr>
          </w:p>
        </w:tc>
        <w:tc>
          <w:tcPr>
            <w:tcW w:w="2268" w:type="dxa"/>
            <w:tcBorders>
              <w:top w:val="nil"/>
              <w:left w:val="nil"/>
              <w:bottom w:val="nil"/>
              <w:right w:val="nil"/>
            </w:tcBorders>
            <w:shd w:val="clear" w:color="auto" w:fill="auto"/>
            <w:tcMar>
              <w:top w:w="100" w:type="dxa"/>
              <w:left w:w="100" w:type="dxa"/>
              <w:bottom w:w="100" w:type="dxa"/>
              <w:right w:w="100" w:type="dxa"/>
            </w:tcMar>
          </w:tcPr>
          <w:p w14:paraId="000001E8"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G1: 70% breakfast, morning snack, lunch and 30% afternoon snack and dinner; G2: 55 breakfast, morning snack, lunch and 45% afternoon snack and dinner</w:t>
            </w:r>
          </w:p>
        </w:tc>
        <w:tc>
          <w:tcPr>
            <w:tcW w:w="2835" w:type="dxa"/>
            <w:tcBorders>
              <w:top w:val="nil"/>
              <w:left w:val="nil"/>
              <w:bottom w:val="nil"/>
              <w:right w:val="nil"/>
            </w:tcBorders>
            <w:shd w:val="clear" w:color="auto" w:fill="auto"/>
            <w:tcMar>
              <w:top w:w="100" w:type="dxa"/>
              <w:left w:w="100" w:type="dxa"/>
              <w:bottom w:w="100" w:type="dxa"/>
              <w:right w:w="100" w:type="dxa"/>
            </w:tcMar>
          </w:tcPr>
          <w:p w14:paraId="000001E9"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total body fat, total fat-free mass, and percentage of fat and calculated BMI.</w:t>
            </w:r>
          </w:p>
        </w:tc>
        <w:tc>
          <w:tcPr>
            <w:tcW w:w="2636" w:type="dxa"/>
            <w:tcBorders>
              <w:top w:val="nil"/>
              <w:left w:val="nil"/>
              <w:bottom w:val="nil"/>
              <w:right w:val="nil"/>
            </w:tcBorders>
            <w:shd w:val="clear" w:color="auto" w:fill="auto"/>
            <w:tcMar>
              <w:top w:w="100" w:type="dxa"/>
              <w:left w:w="100" w:type="dxa"/>
              <w:bottom w:w="100" w:type="dxa"/>
              <w:right w:w="100" w:type="dxa"/>
            </w:tcMar>
          </w:tcPr>
          <w:p w14:paraId="000001EA"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35"/>
                <w:id w:val="-1260361863"/>
              </w:sdtPr>
              <w:sdtEndPr/>
              <w:sdtContent>
                <w:r w:rsidR="00B633A4" w:rsidRPr="001C6F50">
                  <w:rPr>
                    <w:rFonts w:ascii="Times New Roman" w:eastAsia="Cardo" w:hAnsi="Times New Roman" w:cs="Times New Roman"/>
                  </w:rPr>
                  <w:t>G2 had ↓weight loss and fat mass loss than G1.</w:t>
                </w:r>
              </w:sdtContent>
            </w:sdt>
          </w:p>
        </w:tc>
      </w:tr>
      <w:tr w:rsidR="00B633A4" w14:paraId="5FE92213" w14:textId="77777777" w:rsidTr="00DF5838">
        <w:trPr>
          <w:trHeight w:val="2229"/>
        </w:trPr>
        <w:tc>
          <w:tcPr>
            <w:tcW w:w="1014" w:type="dxa"/>
            <w:tcBorders>
              <w:top w:val="nil"/>
              <w:left w:val="nil"/>
              <w:bottom w:val="nil"/>
              <w:right w:val="nil"/>
            </w:tcBorders>
            <w:shd w:val="clear" w:color="auto" w:fill="auto"/>
            <w:tcMar>
              <w:top w:w="100" w:type="dxa"/>
              <w:left w:w="100" w:type="dxa"/>
              <w:bottom w:w="100" w:type="dxa"/>
              <w:right w:w="100" w:type="dxa"/>
            </w:tcMar>
          </w:tcPr>
          <w:p w14:paraId="000001EB" w14:textId="77777777" w:rsidR="00B633A4" w:rsidRDefault="007E2DD6">
            <w:pPr>
              <w:widowControl w:val="0"/>
              <w:spacing w:line="240" w:lineRule="auto"/>
              <w:rPr>
                <w:rFonts w:ascii="Times New Roman" w:eastAsia="Times New Roman" w:hAnsi="Times New Roman" w:cs="Times New Roman"/>
              </w:rPr>
            </w:pPr>
            <w:hyperlink r:id="rId297">
              <w:r w:rsidR="00B633A4">
                <w:rPr>
                  <w:rFonts w:ascii="Times New Roman" w:eastAsia="Times New Roman" w:hAnsi="Times New Roman" w:cs="Times New Roman"/>
                </w:rPr>
                <w:t>(</w:t>
              </w:r>
              <w:proofErr w:type="spellStart"/>
              <w:r w:rsidR="00B633A4">
                <w:rPr>
                  <w:rFonts w:ascii="Times New Roman" w:eastAsia="Times New Roman" w:hAnsi="Times New Roman" w:cs="Times New Roman"/>
                </w:rPr>
                <w:t>Madjd</w:t>
              </w:r>
              <w:proofErr w:type="spellEnd"/>
              <w:r w:rsidR="00B633A4">
                <w:rPr>
                  <w:rFonts w:ascii="Times New Roman" w:eastAsia="Times New Roman" w:hAnsi="Times New Roman" w:cs="Times New Roman"/>
                </w:rPr>
                <w:t xml:space="preserve"> et al., 2021)</w:t>
              </w:r>
            </w:hyperlink>
          </w:p>
        </w:tc>
        <w:tc>
          <w:tcPr>
            <w:tcW w:w="1538" w:type="dxa"/>
            <w:tcBorders>
              <w:top w:val="nil"/>
              <w:left w:val="nil"/>
              <w:bottom w:val="nil"/>
              <w:right w:val="nil"/>
            </w:tcBorders>
            <w:shd w:val="clear" w:color="auto" w:fill="auto"/>
            <w:tcMar>
              <w:top w:w="100" w:type="dxa"/>
              <w:left w:w="100" w:type="dxa"/>
              <w:bottom w:w="100" w:type="dxa"/>
              <w:right w:w="100" w:type="dxa"/>
            </w:tcMar>
          </w:tcPr>
          <w:p w14:paraId="000001EC" w14:textId="77777777"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82 adults with obesity</w:t>
            </w:r>
          </w:p>
        </w:tc>
        <w:tc>
          <w:tcPr>
            <w:tcW w:w="709" w:type="dxa"/>
            <w:tcBorders>
              <w:top w:val="nil"/>
              <w:left w:val="nil"/>
              <w:bottom w:val="nil"/>
              <w:right w:val="nil"/>
            </w:tcBorders>
          </w:tcPr>
          <w:p w14:paraId="5151D33E" w14:textId="627FA33E" w:rsidR="00B633A4" w:rsidRPr="001C6F50" w:rsidRDefault="004B0CB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UK</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1ED" w14:textId="7363A8DB"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Randomised clinical trial</w:t>
            </w:r>
          </w:p>
        </w:tc>
        <w:tc>
          <w:tcPr>
            <w:tcW w:w="1276" w:type="dxa"/>
            <w:tcBorders>
              <w:top w:val="nil"/>
              <w:left w:val="nil"/>
              <w:bottom w:val="nil"/>
              <w:right w:val="nil"/>
            </w:tcBorders>
            <w:shd w:val="clear" w:color="auto" w:fill="auto"/>
            <w:tcMar>
              <w:top w:w="100" w:type="dxa"/>
              <w:left w:w="100" w:type="dxa"/>
              <w:bottom w:w="100" w:type="dxa"/>
              <w:right w:w="100" w:type="dxa"/>
            </w:tcMar>
          </w:tcPr>
          <w:p w14:paraId="000001EE"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3-day food diary</w:t>
            </w:r>
          </w:p>
        </w:tc>
        <w:tc>
          <w:tcPr>
            <w:tcW w:w="2268" w:type="dxa"/>
            <w:tcBorders>
              <w:top w:val="nil"/>
              <w:left w:val="nil"/>
              <w:bottom w:val="nil"/>
              <w:right w:val="nil"/>
            </w:tcBorders>
            <w:shd w:val="clear" w:color="auto" w:fill="auto"/>
            <w:tcMar>
              <w:top w:w="100" w:type="dxa"/>
              <w:left w:w="100" w:type="dxa"/>
              <w:bottom w:w="100" w:type="dxa"/>
              <w:right w:w="100" w:type="dxa"/>
            </w:tcMar>
          </w:tcPr>
          <w:p w14:paraId="000001EF"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36"/>
                <w:id w:val="1318763250"/>
              </w:sdtPr>
              <w:sdtEndPr/>
              <w:sdtContent>
                <w:r w:rsidR="00B633A4" w:rsidRPr="001C6F50">
                  <w:rPr>
                    <w:rFonts w:ascii="Times New Roman" w:eastAsia="Gungsuh" w:hAnsi="Times New Roman" w:cs="Times New Roman"/>
                  </w:rPr>
                  <w:t>Early evening meal (EEM) group (eating at 19.00−19.30 hours) or late evening meal (LEM) group (eating at 22.30−23.00 hours)</w:t>
                </w:r>
              </w:sdtContent>
            </w:sdt>
          </w:p>
        </w:tc>
        <w:tc>
          <w:tcPr>
            <w:tcW w:w="2835" w:type="dxa"/>
            <w:tcBorders>
              <w:top w:val="nil"/>
              <w:left w:val="nil"/>
              <w:bottom w:val="nil"/>
              <w:right w:val="nil"/>
            </w:tcBorders>
            <w:shd w:val="clear" w:color="auto" w:fill="auto"/>
            <w:tcMar>
              <w:top w:w="100" w:type="dxa"/>
              <w:left w:w="100" w:type="dxa"/>
              <w:bottom w:w="100" w:type="dxa"/>
              <w:right w:w="100" w:type="dxa"/>
            </w:tcMar>
          </w:tcPr>
          <w:p w14:paraId="000001F0"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1F1"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3-day food diary</w:t>
            </w:r>
          </w:p>
          <w:p w14:paraId="000001F2"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Physical activity: pedometer </w:t>
            </w:r>
          </w:p>
          <w:p w14:paraId="000001F3" w14:textId="77777777" w:rsidR="00B633A4" w:rsidRPr="001C6F50" w:rsidRDefault="00B633A4">
            <w:pPr>
              <w:widowControl w:val="0"/>
              <w:spacing w:line="240" w:lineRule="auto"/>
              <w:rPr>
                <w:rFonts w:ascii="Times New Roman" w:eastAsia="Times New Roman" w:hAnsi="Times New Roman" w:cs="Times New Roman"/>
              </w:rPr>
            </w:pPr>
          </w:p>
        </w:tc>
        <w:tc>
          <w:tcPr>
            <w:tcW w:w="2636" w:type="dxa"/>
            <w:tcBorders>
              <w:top w:val="nil"/>
              <w:left w:val="nil"/>
              <w:bottom w:val="nil"/>
              <w:right w:val="nil"/>
            </w:tcBorders>
            <w:shd w:val="clear" w:color="auto" w:fill="auto"/>
            <w:tcMar>
              <w:top w:w="100" w:type="dxa"/>
              <w:left w:w="100" w:type="dxa"/>
              <w:bottom w:w="100" w:type="dxa"/>
              <w:right w:w="100" w:type="dxa"/>
            </w:tcMar>
          </w:tcPr>
          <w:p w14:paraId="000001F4"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37"/>
                <w:id w:val="1168983132"/>
              </w:sdtPr>
              <w:sdtEndPr/>
              <w:sdtContent>
                <w:r w:rsidR="00B633A4" w:rsidRPr="001C6F50">
                  <w:rPr>
                    <w:rFonts w:ascii="Times New Roman" w:eastAsia="Cardo" w:hAnsi="Times New Roman" w:cs="Times New Roman"/>
                  </w:rPr>
                  <w:t>Late evening meal group had a ↓ mean reduction in weight and BMI than early evening meal group.</w:t>
                </w:r>
              </w:sdtContent>
            </w:sdt>
          </w:p>
          <w:p w14:paraId="000001F5"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There were no significant</w:t>
            </w:r>
          </w:p>
          <w:p w14:paraId="000001F6"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differences between groups for total energy intake, macronutrient intakes and step count from baseline to 12 weeks.</w:t>
            </w:r>
          </w:p>
        </w:tc>
      </w:tr>
      <w:tr w:rsidR="00B633A4" w14:paraId="364A3F1E" w14:textId="77777777" w:rsidTr="00DF5838">
        <w:trPr>
          <w:trHeight w:val="1981"/>
        </w:trPr>
        <w:tc>
          <w:tcPr>
            <w:tcW w:w="1014" w:type="dxa"/>
            <w:tcBorders>
              <w:top w:val="nil"/>
              <w:left w:val="nil"/>
              <w:bottom w:val="nil"/>
              <w:right w:val="nil"/>
            </w:tcBorders>
            <w:shd w:val="clear" w:color="auto" w:fill="auto"/>
            <w:tcMar>
              <w:top w:w="100" w:type="dxa"/>
              <w:left w:w="100" w:type="dxa"/>
              <w:bottom w:w="100" w:type="dxa"/>
              <w:right w:w="100" w:type="dxa"/>
            </w:tcMar>
          </w:tcPr>
          <w:p w14:paraId="000001F7" w14:textId="77777777" w:rsidR="00B633A4" w:rsidRDefault="007E2DD6">
            <w:pPr>
              <w:widowControl w:val="0"/>
              <w:spacing w:line="240" w:lineRule="auto"/>
              <w:rPr>
                <w:rFonts w:ascii="Times New Roman" w:eastAsia="Times New Roman" w:hAnsi="Times New Roman" w:cs="Times New Roman"/>
              </w:rPr>
            </w:pPr>
            <w:hyperlink r:id="rId298">
              <w:r w:rsidR="00B633A4">
                <w:rPr>
                  <w:rFonts w:ascii="Times New Roman" w:eastAsia="Times New Roman" w:hAnsi="Times New Roman" w:cs="Times New Roman"/>
                </w:rPr>
                <w:t>(</w:t>
              </w:r>
              <w:proofErr w:type="spellStart"/>
              <w:r w:rsidR="00B633A4">
                <w:rPr>
                  <w:rFonts w:ascii="Times New Roman" w:eastAsia="Times New Roman" w:hAnsi="Times New Roman" w:cs="Times New Roman"/>
                </w:rPr>
                <w:t>Madjd</w:t>
              </w:r>
              <w:proofErr w:type="spellEnd"/>
              <w:r w:rsidR="00B633A4">
                <w:rPr>
                  <w:rFonts w:ascii="Times New Roman" w:eastAsia="Times New Roman" w:hAnsi="Times New Roman" w:cs="Times New Roman"/>
                </w:rPr>
                <w:t xml:space="preserve"> et al., 2016)</w:t>
              </w:r>
            </w:hyperlink>
          </w:p>
        </w:tc>
        <w:tc>
          <w:tcPr>
            <w:tcW w:w="1538" w:type="dxa"/>
            <w:tcBorders>
              <w:top w:val="nil"/>
              <w:left w:val="nil"/>
              <w:bottom w:val="nil"/>
              <w:right w:val="nil"/>
            </w:tcBorders>
            <w:shd w:val="clear" w:color="auto" w:fill="auto"/>
            <w:tcMar>
              <w:top w:w="100" w:type="dxa"/>
              <w:left w:w="100" w:type="dxa"/>
              <w:bottom w:w="100" w:type="dxa"/>
              <w:right w:w="100" w:type="dxa"/>
            </w:tcMar>
          </w:tcPr>
          <w:p w14:paraId="000001F8" w14:textId="77777777"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80 women with overweight or obesity</w:t>
            </w:r>
          </w:p>
        </w:tc>
        <w:tc>
          <w:tcPr>
            <w:tcW w:w="709" w:type="dxa"/>
            <w:tcBorders>
              <w:top w:val="nil"/>
              <w:left w:val="nil"/>
              <w:bottom w:val="nil"/>
              <w:right w:val="nil"/>
            </w:tcBorders>
          </w:tcPr>
          <w:p w14:paraId="6A6C817D" w14:textId="6C36977F" w:rsidR="00B633A4" w:rsidRPr="001C6F50" w:rsidRDefault="004B0CB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UK</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1F9" w14:textId="4B21CAC3"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Randomised clinical trial</w:t>
            </w:r>
          </w:p>
        </w:tc>
        <w:tc>
          <w:tcPr>
            <w:tcW w:w="1276" w:type="dxa"/>
            <w:tcBorders>
              <w:top w:val="nil"/>
              <w:left w:val="nil"/>
              <w:bottom w:val="nil"/>
              <w:right w:val="nil"/>
            </w:tcBorders>
            <w:shd w:val="clear" w:color="auto" w:fill="auto"/>
            <w:tcMar>
              <w:top w:w="100" w:type="dxa"/>
              <w:left w:w="100" w:type="dxa"/>
              <w:bottom w:w="100" w:type="dxa"/>
              <w:right w:w="100" w:type="dxa"/>
            </w:tcMar>
          </w:tcPr>
          <w:p w14:paraId="000001FA"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4-day food diary</w:t>
            </w:r>
          </w:p>
        </w:tc>
        <w:tc>
          <w:tcPr>
            <w:tcW w:w="2268" w:type="dxa"/>
            <w:tcBorders>
              <w:top w:val="nil"/>
              <w:left w:val="nil"/>
              <w:bottom w:val="nil"/>
              <w:right w:val="nil"/>
            </w:tcBorders>
            <w:shd w:val="clear" w:color="auto" w:fill="auto"/>
            <w:tcMar>
              <w:top w:w="100" w:type="dxa"/>
              <w:left w:w="100" w:type="dxa"/>
              <w:bottom w:w="100" w:type="dxa"/>
              <w:right w:w="100" w:type="dxa"/>
            </w:tcMar>
          </w:tcPr>
          <w:p w14:paraId="000001FB"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Consume 15% of energy intake at breakfast and with either 50% of daily energy intake at lunch and 20% of daily energy intake at dinner (LM group) or vice versa (DM group)</w:t>
            </w:r>
          </w:p>
        </w:tc>
        <w:tc>
          <w:tcPr>
            <w:tcW w:w="2835" w:type="dxa"/>
            <w:tcBorders>
              <w:top w:val="nil"/>
              <w:left w:val="nil"/>
              <w:bottom w:val="nil"/>
              <w:right w:val="nil"/>
            </w:tcBorders>
            <w:shd w:val="clear" w:color="auto" w:fill="auto"/>
            <w:tcMar>
              <w:top w:w="100" w:type="dxa"/>
              <w:left w:w="100" w:type="dxa"/>
              <w:bottom w:w="100" w:type="dxa"/>
              <w:right w:w="100" w:type="dxa"/>
            </w:tcMar>
          </w:tcPr>
          <w:p w14:paraId="000001FC"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1FD"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3-day food diary</w:t>
            </w:r>
          </w:p>
        </w:tc>
        <w:tc>
          <w:tcPr>
            <w:tcW w:w="2636" w:type="dxa"/>
            <w:tcBorders>
              <w:top w:val="nil"/>
              <w:left w:val="nil"/>
              <w:bottom w:val="nil"/>
              <w:right w:val="nil"/>
            </w:tcBorders>
            <w:shd w:val="clear" w:color="auto" w:fill="auto"/>
            <w:tcMar>
              <w:top w:w="100" w:type="dxa"/>
              <w:left w:w="100" w:type="dxa"/>
              <w:bottom w:w="100" w:type="dxa"/>
              <w:right w:w="100" w:type="dxa"/>
            </w:tcMar>
          </w:tcPr>
          <w:p w14:paraId="000001FE"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38"/>
                <w:id w:val="463019068"/>
              </w:sdtPr>
              <w:sdtEndPr/>
              <w:sdtContent>
                <w:r w:rsidR="00B633A4" w:rsidRPr="001C6F50">
                  <w:rPr>
                    <w:rFonts w:ascii="Times New Roman" w:eastAsia="Cardo" w:hAnsi="Times New Roman" w:cs="Times New Roman"/>
                  </w:rPr>
                  <w:t>Dinner meal group had ↓ reductions in weight.</w:t>
                </w:r>
              </w:sdtContent>
            </w:sdt>
          </w:p>
          <w:p w14:paraId="000001FF"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There were no significant differences between groups for total energy and macronutrient intakes from baseline to 12 weeks.</w:t>
            </w:r>
          </w:p>
        </w:tc>
      </w:tr>
    </w:tbl>
    <w:p w14:paraId="4EEED7DB" w14:textId="77777777" w:rsidR="00DF5838" w:rsidRDefault="00DF5838" w:rsidP="00DF5838">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lastRenderedPageBreak/>
        <w:t xml:space="preserve">Table 2.1. </w:t>
      </w:r>
      <w:r>
        <w:rPr>
          <w:rFonts w:ascii="Times New Roman" w:eastAsia="Times New Roman" w:hAnsi="Times New Roman" w:cs="Times New Roman"/>
          <w:color w:val="000000"/>
          <w:sz w:val="20"/>
          <w:szCs w:val="20"/>
        </w:rPr>
        <w:t>Summary of meal timing literature (</w:t>
      </w:r>
      <w:r w:rsidRPr="007867D6">
        <w:rPr>
          <w:rFonts w:ascii="Times New Roman" w:eastAsia="Times New Roman" w:hAnsi="Times New Roman" w:cs="Times New Roman"/>
          <w:i/>
          <w:iCs/>
          <w:color w:val="000000"/>
          <w:sz w:val="20"/>
          <w:szCs w:val="20"/>
        </w:rPr>
        <w:t>Continued</w:t>
      </w:r>
      <w:r>
        <w:rPr>
          <w:rFonts w:ascii="Times New Roman" w:eastAsia="Times New Roman" w:hAnsi="Times New Roman" w:cs="Times New Roman"/>
          <w:color w:val="000000"/>
          <w:sz w:val="20"/>
          <w:szCs w:val="20"/>
        </w:rPr>
        <w:t>).</w:t>
      </w:r>
    </w:p>
    <w:tbl>
      <w:tblPr>
        <w:tblW w:w="13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
        <w:gridCol w:w="1275"/>
        <w:gridCol w:w="993"/>
        <w:gridCol w:w="1417"/>
        <w:gridCol w:w="1701"/>
        <w:gridCol w:w="1701"/>
        <w:gridCol w:w="3544"/>
        <w:gridCol w:w="2349"/>
      </w:tblGrid>
      <w:tr w:rsidR="00DF5838" w14:paraId="62F6C2DD" w14:textId="77777777" w:rsidTr="00B750A9">
        <w:trPr>
          <w:trHeight w:val="468"/>
        </w:trPr>
        <w:tc>
          <w:tcPr>
            <w:tcW w:w="993" w:type="dxa"/>
            <w:tcBorders>
              <w:left w:val="nil"/>
              <w:bottom w:val="nil"/>
              <w:right w:val="nil"/>
            </w:tcBorders>
            <w:shd w:val="clear" w:color="auto" w:fill="F79646" w:themeFill="accent6"/>
            <w:tcMar>
              <w:top w:w="100" w:type="dxa"/>
              <w:left w:w="100" w:type="dxa"/>
              <w:bottom w:w="100" w:type="dxa"/>
              <w:right w:w="100" w:type="dxa"/>
            </w:tcMar>
          </w:tcPr>
          <w:p w14:paraId="74BC91CC" w14:textId="77777777" w:rsidR="00734307" w:rsidRDefault="00734307" w:rsidP="00B64CA5">
            <w:pPr>
              <w:widowControl w:val="0"/>
              <w:spacing w:line="240" w:lineRule="auto"/>
              <w:rPr>
                <w:rFonts w:ascii="Times New Roman" w:eastAsia="Times New Roman" w:hAnsi="Times New Roman" w:cs="Times New Roman"/>
              </w:rPr>
            </w:pPr>
            <w:bookmarkStart w:id="35" w:name="_Hlk172965798"/>
            <w:r>
              <w:rPr>
                <w:rFonts w:ascii="Times New Roman" w:eastAsia="Times New Roman" w:hAnsi="Times New Roman" w:cs="Times New Roman"/>
              </w:rPr>
              <w:t>Author (year)</w:t>
            </w:r>
          </w:p>
        </w:tc>
        <w:tc>
          <w:tcPr>
            <w:tcW w:w="1275" w:type="dxa"/>
            <w:tcBorders>
              <w:left w:val="nil"/>
              <w:bottom w:val="nil"/>
              <w:right w:val="nil"/>
            </w:tcBorders>
            <w:shd w:val="clear" w:color="auto" w:fill="F79646" w:themeFill="accent6"/>
            <w:tcMar>
              <w:top w:w="100" w:type="dxa"/>
              <w:left w:w="100" w:type="dxa"/>
              <w:bottom w:w="100" w:type="dxa"/>
              <w:right w:w="100" w:type="dxa"/>
            </w:tcMar>
          </w:tcPr>
          <w:p w14:paraId="01322ED5" w14:textId="77777777" w:rsidR="00734307" w:rsidRDefault="00734307"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Participants</w:t>
            </w:r>
          </w:p>
        </w:tc>
        <w:tc>
          <w:tcPr>
            <w:tcW w:w="993" w:type="dxa"/>
            <w:tcBorders>
              <w:left w:val="nil"/>
              <w:bottom w:val="nil"/>
              <w:right w:val="nil"/>
            </w:tcBorders>
            <w:shd w:val="clear" w:color="auto" w:fill="F79646" w:themeFill="accent6"/>
          </w:tcPr>
          <w:p w14:paraId="7D3B4E42" w14:textId="77777777" w:rsidR="00734307" w:rsidRDefault="00734307"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Country</w:t>
            </w:r>
          </w:p>
        </w:tc>
        <w:tc>
          <w:tcPr>
            <w:tcW w:w="1417" w:type="dxa"/>
            <w:tcBorders>
              <w:left w:val="nil"/>
              <w:bottom w:val="nil"/>
              <w:right w:val="nil"/>
            </w:tcBorders>
            <w:shd w:val="clear" w:color="auto" w:fill="F79646" w:themeFill="accent6"/>
            <w:tcMar>
              <w:top w:w="100" w:type="dxa"/>
              <w:left w:w="100" w:type="dxa"/>
              <w:bottom w:w="100" w:type="dxa"/>
              <w:right w:w="100" w:type="dxa"/>
            </w:tcMar>
          </w:tcPr>
          <w:p w14:paraId="6736329C" w14:textId="77777777" w:rsidR="00734307" w:rsidRDefault="00734307"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Methods</w:t>
            </w:r>
          </w:p>
        </w:tc>
        <w:tc>
          <w:tcPr>
            <w:tcW w:w="1701" w:type="dxa"/>
            <w:tcBorders>
              <w:left w:val="nil"/>
              <w:bottom w:val="nil"/>
              <w:right w:val="nil"/>
            </w:tcBorders>
            <w:shd w:val="clear" w:color="auto" w:fill="F79646" w:themeFill="accent6"/>
            <w:tcMar>
              <w:top w:w="100" w:type="dxa"/>
              <w:left w:w="100" w:type="dxa"/>
              <w:bottom w:w="100" w:type="dxa"/>
              <w:right w:w="100" w:type="dxa"/>
            </w:tcMar>
          </w:tcPr>
          <w:p w14:paraId="254080FC" w14:textId="77777777" w:rsidR="00734307" w:rsidRDefault="00734307"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Meal timing assessment method</w:t>
            </w:r>
          </w:p>
        </w:tc>
        <w:tc>
          <w:tcPr>
            <w:tcW w:w="1701" w:type="dxa"/>
            <w:tcBorders>
              <w:left w:val="nil"/>
              <w:bottom w:val="nil"/>
              <w:right w:val="nil"/>
            </w:tcBorders>
            <w:shd w:val="clear" w:color="auto" w:fill="F79646" w:themeFill="accent6"/>
            <w:tcMar>
              <w:top w:w="100" w:type="dxa"/>
              <w:left w:w="100" w:type="dxa"/>
              <w:bottom w:w="100" w:type="dxa"/>
              <w:right w:w="100" w:type="dxa"/>
            </w:tcMar>
          </w:tcPr>
          <w:p w14:paraId="36A1161E" w14:textId="77777777" w:rsidR="00734307" w:rsidRDefault="00734307"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Definition of late eating</w:t>
            </w:r>
          </w:p>
        </w:tc>
        <w:tc>
          <w:tcPr>
            <w:tcW w:w="3544" w:type="dxa"/>
            <w:tcBorders>
              <w:left w:val="nil"/>
              <w:bottom w:val="nil"/>
              <w:right w:val="nil"/>
            </w:tcBorders>
            <w:shd w:val="clear" w:color="auto" w:fill="F79646" w:themeFill="accent6"/>
            <w:tcMar>
              <w:top w:w="100" w:type="dxa"/>
              <w:left w:w="100" w:type="dxa"/>
              <w:bottom w:w="100" w:type="dxa"/>
              <w:right w:w="100" w:type="dxa"/>
            </w:tcMar>
          </w:tcPr>
          <w:p w14:paraId="5CDA5D2E" w14:textId="77777777" w:rsidR="00734307" w:rsidRDefault="00734307"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Outcomes</w:t>
            </w:r>
          </w:p>
        </w:tc>
        <w:tc>
          <w:tcPr>
            <w:tcW w:w="2349" w:type="dxa"/>
            <w:tcBorders>
              <w:left w:val="nil"/>
              <w:bottom w:val="nil"/>
              <w:right w:val="nil"/>
            </w:tcBorders>
            <w:shd w:val="clear" w:color="auto" w:fill="F79646" w:themeFill="accent6"/>
            <w:tcMar>
              <w:top w:w="100" w:type="dxa"/>
              <w:left w:w="100" w:type="dxa"/>
              <w:bottom w:w="100" w:type="dxa"/>
              <w:right w:w="100" w:type="dxa"/>
            </w:tcMar>
          </w:tcPr>
          <w:p w14:paraId="40359736" w14:textId="77777777" w:rsidR="00734307" w:rsidRDefault="00734307"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Changes in outcomes</w:t>
            </w:r>
          </w:p>
        </w:tc>
      </w:tr>
      <w:tr w:rsidR="00734307" w14:paraId="6FA383BB" w14:textId="77777777" w:rsidTr="00B750A9">
        <w:trPr>
          <w:trHeight w:val="73"/>
        </w:trPr>
        <w:tc>
          <w:tcPr>
            <w:tcW w:w="13973" w:type="dxa"/>
            <w:gridSpan w:val="8"/>
            <w:tcBorders>
              <w:top w:val="nil"/>
              <w:left w:val="nil"/>
              <w:right w:val="nil"/>
            </w:tcBorders>
            <w:shd w:val="clear" w:color="auto" w:fill="F79646" w:themeFill="accent6"/>
          </w:tcPr>
          <w:p w14:paraId="2F9E86BB" w14:textId="77777777" w:rsidR="00734307" w:rsidRDefault="00734307" w:rsidP="00B64CA5">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Studies showing an association between late eating and body weight.</w:t>
            </w:r>
          </w:p>
        </w:tc>
      </w:tr>
    </w:tbl>
    <w:tbl>
      <w:tblPr>
        <w:tblStyle w:val="a1"/>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
        <w:gridCol w:w="1269"/>
        <w:gridCol w:w="836"/>
        <w:gridCol w:w="1559"/>
        <w:gridCol w:w="1843"/>
        <w:gridCol w:w="1559"/>
        <w:gridCol w:w="3544"/>
        <w:gridCol w:w="2268"/>
      </w:tblGrid>
      <w:tr w:rsidR="00DF5838" w14:paraId="3580F786" w14:textId="77777777" w:rsidTr="00DF5838">
        <w:trPr>
          <w:trHeight w:val="486"/>
        </w:trPr>
        <w:tc>
          <w:tcPr>
            <w:tcW w:w="1014" w:type="dxa"/>
            <w:tcBorders>
              <w:top w:val="nil"/>
              <w:left w:val="nil"/>
              <w:bottom w:val="nil"/>
              <w:right w:val="nil"/>
            </w:tcBorders>
            <w:shd w:val="clear" w:color="auto" w:fill="auto"/>
            <w:tcMar>
              <w:top w:w="100" w:type="dxa"/>
              <w:left w:w="100" w:type="dxa"/>
              <w:bottom w:w="100" w:type="dxa"/>
              <w:right w:w="100" w:type="dxa"/>
            </w:tcMar>
          </w:tcPr>
          <w:bookmarkEnd w:id="35"/>
          <w:p w14:paraId="00000200" w14:textId="77777777" w:rsidR="00B633A4" w:rsidRDefault="00B633A4">
            <w:pPr>
              <w:widowControl w:val="0"/>
              <w:spacing w:line="240" w:lineRule="auto"/>
              <w:rPr>
                <w:rFonts w:ascii="Times New Roman" w:eastAsia="Times New Roman" w:hAnsi="Times New Roman" w:cs="Times New Roman"/>
              </w:rPr>
            </w:pPr>
            <w:r>
              <w:fldChar w:fldCharType="begin"/>
            </w:r>
            <w:r>
              <w:instrText xml:space="preserve"> HYPERLINK "https://sciwheel.com/work/citation?ids=7431247&amp;pre=&amp;suf=&amp;sa=0" \h </w:instrText>
            </w:r>
            <w:r>
              <w:fldChar w:fldCharType="separate"/>
            </w:r>
            <w:r>
              <w:rPr>
                <w:rFonts w:ascii="Times New Roman" w:eastAsia="Times New Roman" w:hAnsi="Times New Roman" w:cs="Times New Roman"/>
              </w:rPr>
              <w:t>(</w:t>
            </w:r>
            <w:proofErr w:type="spellStart"/>
            <w:r>
              <w:rPr>
                <w:rFonts w:ascii="Times New Roman" w:eastAsia="Times New Roman" w:hAnsi="Times New Roman" w:cs="Times New Roman"/>
              </w:rPr>
              <w:t>McHill</w:t>
            </w:r>
            <w:proofErr w:type="spellEnd"/>
            <w:r>
              <w:rPr>
                <w:rFonts w:ascii="Times New Roman" w:eastAsia="Times New Roman" w:hAnsi="Times New Roman" w:cs="Times New Roman"/>
              </w:rPr>
              <w:t xml:space="preserve"> et al., 2017)</w:t>
            </w:r>
            <w:r>
              <w:rPr>
                <w:rFonts w:ascii="Times New Roman" w:eastAsia="Times New Roman" w:hAnsi="Times New Roman" w:cs="Times New Roman"/>
              </w:rPr>
              <w:fldChar w:fldCharType="end"/>
            </w:r>
          </w:p>
        </w:tc>
        <w:tc>
          <w:tcPr>
            <w:tcW w:w="1269" w:type="dxa"/>
            <w:tcBorders>
              <w:top w:val="nil"/>
              <w:left w:val="nil"/>
              <w:bottom w:val="nil"/>
              <w:right w:val="nil"/>
            </w:tcBorders>
            <w:shd w:val="clear" w:color="auto" w:fill="auto"/>
            <w:tcMar>
              <w:top w:w="100" w:type="dxa"/>
              <w:left w:w="100" w:type="dxa"/>
              <w:bottom w:w="100" w:type="dxa"/>
              <w:right w:w="100" w:type="dxa"/>
            </w:tcMar>
          </w:tcPr>
          <w:p w14:paraId="00000201" w14:textId="77777777"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110 adults</w:t>
            </w:r>
          </w:p>
        </w:tc>
        <w:tc>
          <w:tcPr>
            <w:tcW w:w="836" w:type="dxa"/>
            <w:tcBorders>
              <w:top w:val="nil"/>
              <w:left w:val="nil"/>
              <w:bottom w:val="nil"/>
              <w:right w:val="nil"/>
            </w:tcBorders>
          </w:tcPr>
          <w:p w14:paraId="13FB5ACC" w14:textId="7F04A373" w:rsidR="00B633A4" w:rsidRPr="001C6F50"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USA</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02" w14:textId="5FB092C4"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843" w:type="dxa"/>
            <w:tcBorders>
              <w:top w:val="nil"/>
              <w:left w:val="nil"/>
              <w:bottom w:val="nil"/>
              <w:right w:val="nil"/>
            </w:tcBorders>
            <w:shd w:val="clear" w:color="auto" w:fill="auto"/>
            <w:tcMar>
              <w:top w:w="100" w:type="dxa"/>
              <w:left w:w="100" w:type="dxa"/>
              <w:bottom w:w="100" w:type="dxa"/>
              <w:right w:w="100" w:type="dxa"/>
            </w:tcMar>
          </w:tcPr>
          <w:p w14:paraId="00000203"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Time-stamped-picture mobile phone application for 7 days</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04"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Timing of melatonin release</w:t>
            </w:r>
          </w:p>
        </w:tc>
        <w:tc>
          <w:tcPr>
            <w:tcW w:w="3544" w:type="dxa"/>
            <w:tcBorders>
              <w:top w:val="nil"/>
              <w:left w:val="nil"/>
              <w:bottom w:val="nil"/>
              <w:right w:val="nil"/>
            </w:tcBorders>
            <w:shd w:val="clear" w:color="auto" w:fill="auto"/>
            <w:tcMar>
              <w:top w:w="100" w:type="dxa"/>
              <w:left w:w="100" w:type="dxa"/>
              <w:bottom w:w="100" w:type="dxa"/>
              <w:right w:w="100" w:type="dxa"/>
            </w:tcMar>
          </w:tcPr>
          <w:p w14:paraId="00000205"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206"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Time-stamped-picture mobile phone application for 7 days</w:t>
            </w:r>
          </w:p>
        </w:tc>
        <w:tc>
          <w:tcPr>
            <w:tcW w:w="2268" w:type="dxa"/>
            <w:tcBorders>
              <w:top w:val="nil"/>
              <w:left w:val="nil"/>
              <w:bottom w:val="nil"/>
              <w:right w:val="nil"/>
            </w:tcBorders>
            <w:shd w:val="clear" w:color="auto" w:fill="auto"/>
            <w:tcMar>
              <w:top w:w="100" w:type="dxa"/>
              <w:left w:w="100" w:type="dxa"/>
              <w:bottom w:w="100" w:type="dxa"/>
              <w:right w:w="100" w:type="dxa"/>
            </w:tcMar>
          </w:tcPr>
          <w:p w14:paraId="00000207"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39"/>
                <w:id w:val="-1295522808"/>
              </w:sdtPr>
              <w:sdtEndPr/>
              <w:sdtContent>
                <w:r w:rsidR="00B633A4" w:rsidRPr="001C6F50">
                  <w:rPr>
                    <w:rFonts w:ascii="Times New Roman" w:eastAsia="Cardo" w:hAnsi="Times New Roman" w:cs="Times New Roman"/>
                  </w:rPr>
                  <w:t xml:space="preserve">Later timing of food intake relative to melatonin onset was significantly associated with ↑BMI. </w:t>
                </w:r>
              </w:sdtContent>
            </w:sdt>
          </w:p>
        </w:tc>
      </w:tr>
      <w:tr w:rsidR="00DF5838" w14:paraId="4131C95C" w14:textId="77777777" w:rsidTr="00DF5838">
        <w:trPr>
          <w:trHeight w:val="736"/>
        </w:trPr>
        <w:tc>
          <w:tcPr>
            <w:tcW w:w="1014" w:type="dxa"/>
            <w:tcBorders>
              <w:top w:val="nil"/>
              <w:left w:val="nil"/>
              <w:bottom w:val="nil"/>
              <w:right w:val="nil"/>
            </w:tcBorders>
            <w:shd w:val="clear" w:color="auto" w:fill="auto"/>
            <w:tcMar>
              <w:top w:w="100" w:type="dxa"/>
              <w:left w:w="100" w:type="dxa"/>
              <w:bottom w:w="100" w:type="dxa"/>
              <w:right w:w="100" w:type="dxa"/>
            </w:tcMar>
          </w:tcPr>
          <w:p w14:paraId="00000208" w14:textId="77777777" w:rsidR="00B633A4" w:rsidRDefault="007E2DD6">
            <w:pPr>
              <w:widowControl w:val="0"/>
              <w:spacing w:line="240" w:lineRule="auto"/>
              <w:rPr>
                <w:rFonts w:ascii="Times New Roman" w:eastAsia="Times New Roman" w:hAnsi="Times New Roman" w:cs="Times New Roman"/>
              </w:rPr>
            </w:pPr>
            <w:hyperlink r:id="rId299">
              <w:r w:rsidR="00B633A4">
                <w:rPr>
                  <w:rFonts w:ascii="Times New Roman" w:eastAsia="Times New Roman" w:hAnsi="Times New Roman" w:cs="Times New Roman"/>
                </w:rPr>
                <w:t>(Okada et al., 2019)</w:t>
              </w:r>
            </w:hyperlink>
          </w:p>
        </w:tc>
        <w:tc>
          <w:tcPr>
            <w:tcW w:w="1269" w:type="dxa"/>
            <w:tcBorders>
              <w:top w:val="nil"/>
              <w:left w:val="nil"/>
              <w:bottom w:val="nil"/>
              <w:right w:val="nil"/>
            </w:tcBorders>
            <w:shd w:val="clear" w:color="auto" w:fill="auto"/>
            <w:tcMar>
              <w:top w:w="100" w:type="dxa"/>
              <w:left w:w="100" w:type="dxa"/>
              <w:bottom w:w="100" w:type="dxa"/>
              <w:right w:w="100" w:type="dxa"/>
            </w:tcMar>
          </w:tcPr>
          <w:p w14:paraId="00000209" w14:textId="77777777"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19,687 women with overweight</w:t>
            </w:r>
          </w:p>
        </w:tc>
        <w:tc>
          <w:tcPr>
            <w:tcW w:w="836" w:type="dxa"/>
            <w:tcBorders>
              <w:top w:val="nil"/>
              <w:left w:val="nil"/>
              <w:bottom w:val="nil"/>
              <w:right w:val="nil"/>
            </w:tcBorders>
          </w:tcPr>
          <w:p w14:paraId="50016EDA" w14:textId="17DC028C" w:rsidR="00B633A4" w:rsidRPr="001C6F50" w:rsidRDefault="004B0CB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Japan</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0A" w14:textId="2CD705AC"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843" w:type="dxa"/>
            <w:tcBorders>
              <w:top w:val="nil"/>
              <w:left w:val="nil"/>
              <w:bottom w:val="nil"/>
              <w:right w:val="nil"/>
            </w:tcBorders>
            <w:shd w:val="clear" w:color="auto" w:fill="auto"/>
            <w:tcMar>
              <w:top w:w="100" w:type="dxa"/>
              <w:left w:w="100" w:type="dxa"/>
              <w:bottom w:w="100" w:type="dxa"/>
              <w:right w:w="100" w:type="dxa"/>
            </w:tcMar>
          </w:tcPr>
          <w:p w14:paraId="0000020B"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Questionnaire </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0C"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Having dinner within 2 hours before bedtime</w:t>
            </w:r>
          </w:p>
        </w:tc>
        <w:tc>
          <w:tcPr>
            <w:tcW w:w="3544" w:type="dxa"/>
            <w:tcBorders>
              <w:top w:val="nil"/>
              <w:left w:val="nil"/>
              <w:bottom w:val="nil"/>
              <w:right w:val="nil"/>
            </w:tcBorders>
            <w:shd w:val="clear" w:color="auto" w:fill="auto"/>
            <w:tcMar>
              <w:top w:w="100" w:type="dxa"/>
              <w:left w:w="100" w:type="dxa"/>
              <w:bottom w:w="100" w:type="dxa"/>
              <w:right w:w="100" w:type="dxa"/>
            </w:tcMar>
          </w:tcPr>
          <w:p w14:paraId="0000020D"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self-reported height, weight and calculated BMI</w:t>
            </w:r>
          </w:p>
        </w:tc>
        <w:tc>
          <w:tcPr>
            <w:tcW w:w="2268" w:type="dxa"/>
            <w:tcBorders>
              <w:top w:val="nil"/>
              <w:left w:val="nil"/>
              <w:bottom w:val="nil"/>
              <w:right w:val="nil"/>
            </w:tcBorders>
            <w:shd w:val="clear" w:color="auto" w:fill="auto"/>
            <w:tcMar>
              <w:top w:w="100" w:type="dxa"/>
              <w:left w:w="100" w:type="dxa"/>
              <w:bottom w:w="100" w:type="dxa"/>
              <w:right w:w="100" w:type="dxa"/>
            </w:tcMar>
          </w:tcPr>
          <w:p w14:paraId="0000020E" w14:textId="77777777" w:rsidR="00B633A4" w:rsidRPr="001C6F50" w:rsidRDefault="007E2DD6">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40"/>
                <w:id w:val="1598600190"/>
              </w:sdtPr>
              <w:sdtEndPr/>
              <w:sdtContent>
                <w:r w:rsidR="00B633A4" w:rsidRPr="001C6F50">
                  <w:rPr>
                    <w:rFonts w:ascii="Times New Roman" w:eastAsia="Cardo" w:hAnsi="Times New Roman" w:cs="Times New Roman"/>
                  </w:rPr>
                  <w:t>Late dinner was associated with ↑ prevalence of overweight.</w:t>
                </w:r>
              </w:sdtContent>
            </w:sdt>
          </w:p>
        </w:tc>
      </w:tr>
      <w:tr w:rsidR="00DF5838" w14:paraId="2E06A08B" w14:textId="77777777" w:rsidTr="00DF5838">
        <w:trPr>
          <w:trHeight w:val="1743"/>
        </w:trPr>
        <w:tc>
          <w:tcPr>
            <w:tcW w:w="1014" w:type="dxa"/>
            <w:tcBorders>
              <w:top w:val="nil"/>
              <w:left w:val="nil"/>
              <w:bottom w:val="nil"/>
              <w:right w:val="nil"/>
            </w:tcBorders>
            <w:shd w:val="clear" w:color="auto" w:fill="auto"/>
            <w:tcMar>
              <w:top w:w="100" w:type="dxa"/>
              <w:left w:w="100" w:type="dxa"/>
              <w:bottom w:w="100" w:type="dxa"/>
              <w:right w:w="100" w:type="dxa"/>
            </w:tcMar>
          </w:tcPr>
          <w:p w14:paraId="0000020F" w14:textId="77777777" w:rsidR="00B633A4" w:rsidRDefault="007E2DD6">
            <w:pPr>
              <w:widowControl w:val="0"/>
              <w:spacing w:line="240" w:lineRule="auto"/>
              <w:rPr>
                <w:rFonts w:ascii="Times New Roman" w:eastAsia="Times New Roman" w:hAnsi="Times New Roman" w:cs="Times New Roman"/>
              </w:rPr>
            </w:pPr>
            <w:hyperlink r:id="rId300">
              <w:r w:rsidR="00B633A4">
                <w:rPr>
                  <w:rFonts w:ascii="Times New Roman" w:eastAsia="Times New Roman" w:hAnsi="Times New Roman" w:cs="Times New Roman"/>
                </w:rPr>
                <w:t>(Ruiz-Lozano et al., 2016)</w:t>
              </w:r>
            </w:hyperlink>
          </w:p>
        </w:tc>
        <w:tc>
          <w:tcPr>
            <w:tcW w:w="1269" w:type="dxa"/>
            <w:tcBorders>
              <w:top w:val="nil"/>
              <w:left w:val="nil"/>
              <w:bottom w:val="nil"/>
              <w:right w:val="nil"/>
            </w:tcBorders>
            <w:shd w:val="clear" w:color="auto" w:fill="auto"/>
            <w:tcMar>
              <w:top w:w="100" w:type="dxa"/>
              <w:left w:w="100" w:type="dxa"/>
              <w:bottom w:w="100" w:type="dxa"/>
              <w:right w:w="100" w:type="dxa"/>
            </w:tcMar>
          </w:tcPr>
          <w:p w14:paraId="00000210" w14:textId="77777777" w:rsidR="00B633A4" w:rsidRDefault="00B633A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270 participants</w:t>
            </w:r>
          </w:p>
        </w:tc>
        <w:tc>
          <w:tcPr>
            <w:tcW w:w="836" w:type="dxa"/>
            <w:tcBorders>
              <w:top w:val="nil"/>
              <w:left w:val="nil"/>
              <w:bottom w:val="nil"/>
              <w:right w:val="nil"/>
            </w:tcBorders>
          </w:tcPr>
          <w:p w14:paraId="2C7A27A7" w14:textId="763D7544" w:rsidR="00B633A4" w:rsidRPr="001C6F50" w:rsidRDefault="004B0CB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Spain</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11" w14:textId="6206731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Observational study </w:t>
            </w:r>
          </w:p>
        </w:tc>
        <w:tc>
          <w:tcPr>
            <w:tcW w:w="1843" w:type="dxa"/>
            <w:tcBorders>
              <w:top w:val="nil"/>
              <w:left w:val="nil"/>
              <w:bottom w:val="nil"/>
              <w:right w:val="nil"/>
            </w:tcBorders>
            <w:shd w:val="clear" w:color="auto" w:fill="auto"/>
            <w:tcMar>
              <w:top w:w="100" w:type="dxa"/>
              <w:left w:w="100" w:type="dxa"/>
              <w:bottom w:w="100" w:type="dxa"/>
              <w:right w:w="100" w:type="dxa"/>
            </w:tcMar>
          </w:tcPr>
          <w:p w14:paraId="00000212"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4-day food diary</w:t>
            </w:r>
          </w:p>
          <w:p w14:paraId="00000213" w14:textId="77777777" w:rsidR="00B633A4" w:rsidRPr="001C6F50" w:rsidRDefault="00B633A4">
            <w:pPr>
              <w:widowControl w:val="0"/>
              <w:spacing w:line="240" w:lineRule="auto"/>
              <w:rPr>
                <w:rFonts w:ascii="Times New Roman" w:eastAsia="Times New Roman" w:hAnsi="Times New Roman" w:cs="Times New Roman"/>
              </w:rPr>
            </w:pP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14"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Timing of the main meal (before or after 3 PM)</w:t>
            </w:r>
          </w:p>
        </w:tc>
        <w:tc>
          <w:tcPr>
            <w:tcW w:w="3544" w:type="dxa"/>
            <w:tcBorders>
              <w:top w:val="nil"/>
              <w:left w:val="nil"/>
              <w:bottom w:val="nil"/>
              <w:right w:val="nil"/>
            </w:tcBorders>
            <w:shd w:val="clear" w:color="auto" w:fill="auto"/>
            <w:tcMar>
              <w:top w:w="100" w:type="dxa"/>
              <w:left w:w="100" w:type="dxa"/>
              <w:bottom w:w="100" w:type="dxa"/>
              <w:right w:w="100" w:type="dxa"/>
            </w:tcMar>
          </w:tcPr>
          <w:p w14:paraId="00000215"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216"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4-day food diary</w:t>
            </w:r>
          </w:p>
          <w:p w14:paraId="00000217"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Physical activity: evaluated by questionnaire</w:t>
            </w:r>
          </w:p>
        </w:tc>
        <w:tc>
          <w:tcPr>
            <w:tcW w:w="2268" w:type="dxa"/>
            <w:tcBorders>
              <w:top w:val="nil"/>
              <w:left w:val="nil"/>
              <w:bottom w:val="nil"/>
              <w:right w:val="nil"/>
            </w:tcBorders>
            <w:shd w:val="clear" w:color="auto" w:fill="auto"/>
            <w:tcMar>
              <w:top w:w="100" w:type="dxa"/>
              <w:left w:w="100" w:type="dxa"/>
              <w:bottom w:w="100" w:type="dxa"/>
              <w:right w:w="100" w:type="dxa"/>
            </w:tcMar>
          </w:tcPr>
          <w:p w14:paraId="00000218"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The percentage of late eaters was significantly higher in the primarily poor weight-loss-responders.</w:t>
            </w:r>
          </w:p>
          <w:p w14:paraId="00000219" w14:textId="77777777" w:rsidR="00B633A4" w:rsidRPr="001C6F50" w:rsidRDefault="00B633A4">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No difference in energy intake, physical activity between groups.</w:t>
            </w:r>
          </w:p>
        </w:tc>
      </w:tr>
      <w:tr w:rsidR="00DF5838" w14:paraId="46ACEB3C" w14:textId="77777777" w:rsidTr="00DF5838">
        <w:trPr>
          <w:trHeight w:val="1743"/>
        </w:trPr>
        <w:tc>
          <w:tcPr>
            <w:tcW w:w="1014" w:type="dxa"/>
            <w:tcBorders>
              <w:top w:val="nil"/>
              <w:left w:val="nil"/>
              <w:bottom w:val="single" w:sz="4" w:space="0" w:color="auto"/>
              <w:right w:val="nil"/>
            </w:tcBorders>
            <w:shd w:val="clear" w:color="auto" w:fill="auto"/>
            <w:tcMar>
              <w:top w:w="100" w:type="dxa"/>
              <w:left w:w="100" w:type="dxa"/>
              <w:bottom w:w="100" w:type="dxa"/>
              <w:right w:w="100" w:type="dxa"/>
            </w:tcMar>
          </w:tcPr>
          <w:p w14:paraId="52C6205E" w14:textId="06F22ECE" w:rsidR="00DF5838" w:rsidRDefault="007E2DD6" w:rsidP="00DF5838">
            <w:pPr>
              <w:widowControl w:val="0"/>
              <w:spacing w:line="240" w:lineRule="auto"/>
            </w:pPr>
            <w:hyperlink r:id="rId301">
              <w:r w:rsidR="00DF5838">
                <w:rPr>
                  <w:rFonts w:ascii="Times New Roman" w:eastAsia="Times New Roman" w:hAnsi="Times New Roman" w:cs="Times New Roman"/>
                </w:rPr>
                <w:t>(Suzuki et al., 2016)</w:t>
              </w:r>
            </w:hyperlink>
          </w:p>
        </w:tc>
        <w:tc>
          <w:tcPr>
            <w:tcW w:w="1269" w:type="dxa"/>
            <w:tcBorders>
              <w:top w:val="nil"/>
              <w:left w:val="nil"/>
              <w:bottom w:val="single" w:sz="4" w:space="0" w:color="auto"/>
              <w:right w:val="nil"/>
            </w:tcBorders>
            <w:shd w:val="clear" w:color="auto" w:fill="auto"/>
            <w:tcMar>
              <w:top w:w="100" w:type="dxa"/>
              <w:left w:w="100" w:type="dxa"/>
              <w:bottom w:w="100" w:type="dxa"/>
              <w:right w:w="100" w:type="dxa"/>
            </w:tcMar>
          </w:tcPr>
          <w:p w14:paraId="15D48919" w14:textId="13FA4970" w:rsidR="00DF5838"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255 </w:t>
            </w:r>
            <w:r>
              <w:rPr>
                <w:rFonts w:ascii="Times New Roman" w:eastAsia="Times New Roman" w:hAnsi="Times New Roman" w:cs="Times New Roman"/>
              </w:rPr>
              <w:t>m</w:t>
            </w:r>
            <w:r w:rsidRPr="001C6F50">
              <w:rPr>
                <w:rFonts w:ascii="Times New Roman" w:eastAsia="Times New Roman" w:hAnsi="Times New Roman" w:cs="Times New Roman"/>
              </w:rPr>
              <w:t>ales</w:t>
            </w:r>
          </w:p>
        </w:tc>
        <w:tc>
          <w:tcPr>
            <w:tcW w:w="836" w:type="dxa"/>
            <w:tcBorders>
              <w:top w:val="nil"/>
              <w:left w:val="nil"/>
              <w:bottom w:val="single" w:sz="4" w:space="0" w:color="auto"/>
              <w:right w:val="nil"/>
            </w:tcBorders>
          </w:tcPr>
          <w:p w14:paraId="159C3A7C" w14:textId="03E014CC" w:rsidR="00DF5838" w:rsidRDefault="00DF5838" w:rsidP="00DF583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Japan</w:t>
            </w:r>
          </w:p>
        </w:tc>
        <w:tc>
          <w:tcPr>
            <w:tcW w:w="1559" w:type="dxa"/>
            <w:tcBorders>
              <w:top w:val="nil"/>
              <w:left w:val="nil"/>
              <w:bottom w:val="single" w:sz="4" w:space="0" w:color="auto"/>
              <w:right w:val="nil"/>
            </w:tcBorders>
            <w:shd w:val="clear" w:color="auto" w:fill="auto"/>
            <w:tcMar>
              <w:top w:w="100" w:type="dxa"/>
              <w:left w:w="100" w:type="dxa"/>
              <w:bottom w:w="100" w:type="dxa"/>
              <w:right w:w="100" w:type="dxa"/>
            </w:tcMar>
          </w:tcPr>
          <w:p w14:paraId="257C5594" w14:textId="468A980C"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843" w:type="dxa"/>
            <w:tcBorders>
              <w:top w:val="nil"/>
              <w:left w:val="nil"/>
              <w:bottom w:val="single" w:sz="4" w:space="0" w:color="auto"/>
              <w:right w:val="nil"/>
            </w:tcBorders>
            <w:shd w:val="clear" w:color="auto" w:fill="auto"/>
            <w:tcMar>
              <w:top w:w="100" w:type="dxa"/>
              <w:left w:w="100" w:type="dxa"/>
              <w:bottom w:w="100" w:type="dxa"/>
              <w:right w:w="100" w:type="dxa"/>
            </w:tcMar>
          </w:tcPr>
          <w:p w14:paraId="2DEBE0E3" w14:textId="4DF7D834"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Questionnaire</w:t>
            </w:r>
          </w:p>
        </w:tc>
        <w:tc>
          <w:tcPr>
            <w:tcW w:w="1559" w:type="dxa"/>
            <w:tcBorders>
              <w:top w:val="nil"/>
              <w:left w:val="nil"/>
              <w:bottom w:val="single" w:sz="4" w:space="0" w:color="auto"/>
              <w:right w:val="nil"/>
            </w:tcBorders>
            <w:shd w:val="clear" w:color="auto" w:fill="auto"/>
            <w:tcMar>
              <w:top w:w="100" w:type="dxa"/>
              <w:left w:w="100" w:type="dxa"/>
              <w:bottom w:w="100" w:type="dxa"/>
              <w:right w:w="100" w:type="dxa"/>
            </w:tcMar>
          </w:tcPr>
          <w:p w14:paraId="382E268C"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before 7 PM,</w:t>
            </w:r>
          </w:p>
          <w:p w14:paraId="4D1F414D" w14:textId="5D8992AA"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 7 PM - 9 PM, 9 PM-11 PM, after 11 PM</w:t>
            </w:r>
          </w:p>
        </w:tc>
        <w:tc>
          <w:tcPr>
            <w:tcW w:w="3544" w:type="dxa"/>
            <w:tcBorders>
              <w:top w:val="nil"/>
              <w:left w:val="nil"/>
              <w:bottom w:val="single" w:sz="4" w:space="0" w:color="auto"/>
              <w:right w:val="nil"/>
            </w:tcBorders>
            <w:shd w:val="clear" w:color="auto" w:fill="auto"/>
            <w:tcMar>
              <w:top w:w="100" w:type="dxa"/>
              <w:left w:w="100" w:type="dxa"/>
              <w:bottom w:w="100" w:type="dxa"/>
              <w:right w:w="100" w:type="dxa"/>
            </w:tcMar>
          </w:tcPr>
          <w:p w14:paraId="01CC5A61"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self-reported height, weight and calculated BMI.</w:t>
            </w:r>
          </w:p>
          <w:p w14:paraId="17B3EDD1"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“feeling of satiety,” of the</w:t>
            </w:r>
          </w:p>
          <w:p w14:paraId="6CB735B4"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Sakata Eating Behaviour Questionnaire (SEBQ) to</w:t>
            </w:r>
          </w:p>
          <w:p w14:paraId="4B9435DF"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measure overeating.</w:t>
            </w:r>
          </w:p>
          <w:p w14:paraId="431902D6" w14:textId="0FE3930B"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Stress: evaluated by questionnaire</w:t>
            </w:r>
          </w:p>
        </w:tc>
        <w:tc>
          <w:tcPr>
            <w:tcW w:w="2268" w:type="dxa"/>
            <w:tcBorders>
              <w:top w:val="nil"/>
              <w:left w:val="nil"/>
              <w:bottom w:val="single" w:sz="4" w:space="0" w:color="auto"/>
              <w:right w:val="nil"/>
            </w:tcBorders>
            <w:shd w:val="clear" w:color="auto" w:fill="auto"/>
            <w:tcMar>
              <w:top w:w="100" w:type="dxa"/>
              <w:left w:w="100" w:type="dxa"/>
              <w:bottom w:w="100" w:type="dxa"/>
              <w:right w:w="100" w:type="dxa"/>
            </w:tcMar>
          </w:tcPr>
          <w:p w14:paraId="288CB71C"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Later dinner times were related to overeating at dinner.</w:t>
            </w:r>
          </w:p>
          <w:p w14:paraId="318E99BE" w14:textId="77777777" w:rsidR="00DF5838" w:rsidRPr="001C6F50" w:rsidRDefault="00DF5838" w:rsidP="00DF5838">
            <w:pPr>
              <w:widowControl w:val="0"/>
              <w:spacing w:line="240" w:lineRule="auto"/>
              <w:rPr>
                <w:rFonts w:ascii="Times New Roman" w:eastAsia="Times New Roman" w:hAnsi="Times New Roman" w:cs="Times New Roman"/>
              </w:rPr>
            </w:pPr>
          </w:p>
        </w:tc>
      </w:tr>
    </w:tbl>
    <w:p w14:paraId="7CB99DB2" w14:textId="77777777" w:rsidR="00DF5838" w:rsidRDefault="00DF5838" w:rsidP="00DF5838">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lastRenderedPageBreak/>
        <w:t xml:space="preserve">Table 2.1. </w:t>
      </w:r>
      <w:r>
        <w:rPr>
          <w:rFonts w:ascii="Times New Roman" w:eastAsia="Times New Roman" w:hAnsi="Times New Roman" w:cs="Times New Roman"/>
          <w:color w:val="000000"/>
          <w:sz w:val="20"/>
          <w:szCs w:val="20"/>
        </w:rPr>
        <w:t>Summary of meal timing literature (</w:t>
      </w:r>
      <w:r w:rsidRPr="007867D6">
        <w:rPr>
          <w:rFonts w:ascii="Times New Roman" w:eastAsia="Times New Roman" w:hAnsi="Times New Roman" w:cs="Times New Roman"/>
          <w:i/>
          <w:iCs/>
          <w:color w:val="000000"/>
          <w:sz w:val="20"/>
          <w:szCs w:val="20"/>
        </w:rPr>
        <w:t>Continued</w:t>
      </w:r>
      <w:r>
        <w:rPr>
          <w:rFonts w:ascii="Times New Roman" w:eastAsia="Times New Roman" w:hAnsi="Times New Roman" w:cs="Times New Roman"/>
          <w:color w:val="000000"/>
          <w:sz w:val="20"/>
          <w:szCs w:val="20"/>
        </w:rPr>
        <w:t>).</w:t>
      </w:r>
    </w:p>
    <w:tbl>
      <w:tblPr>
        <w:tblW w:w="13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79646" w:themeFill="accent6"/>
        <w:tblLayout w:type="fixed"/>
        <w:tblLook w:val="0600" w:firstRow="0" w:lastRow="0" w:firstColumn="0" w:lastColumn="0" w:noHBand="1" w:noVBand="1"/>
      </w:tblPr>
      <w:tblGrid>
        <w:gridCol w:w="993"/>
        <w:gridCol w:w="1275"/>
        <w:gridCol w:w="993"/>
        <w:gridCol w:w="1417"/>
        <w:gridCol w:w="1701"/>
        <w:gridCol w:w="1701"/>
        <w:gridCol w:w="3544"/>
        <w:gridCol w:w="2349"/>
      </w:tblGrid>
      <w:tr w:rsidR="00DF5838" w14:paraId="1686AB85" w14:textId="77777777" w:rsidTr="00B750A9">
        <w:trPr>
          <w:trHeight w:val="468"/>
        </w:trPr>
        <w:tc>
          <w:tcPr>
            <w:tcW w:w="993" w:type="dxa"/>
            <w:tcBorders>
              <w:left w:val="nil"/>
              <w:bottom w:val="nil"/>
              <w:right w:val="nil"/>
            </w:tcBorders>
            <w:shd w:val="clear" w:color="auto" w:fill="F79646" w:themeFill="accent6"/>
            <w:tcMar>
              <w:top w:w="100" w:type="dxa"/>
              <w:left w:w="100" w:type="dxa"/>
              <w:bottom w:w="100" w:type="dxa"/>
              <w:right w:w="100" w:type="dxa"/>
            </w:tcMar>
          </w:tcPr>
          <w:p w14:paraId="34E7BFFA" w14:textId="77777777" w:rsidR="00DF5838" w:rsidRDefault="00DF5838" w:rsidP="00B64CA5">
            <w:pPr>
              <w:widowControl w:val="0"/>
              <w:spacing w:line="240" w:lineRule="auto"/>
              <w:rPr>
                <w:rFonts w:ascii="Times New Roman" w:eastAsia="Times New Roman" w:hAnsi="Times New Roman" w:cs="Times New Roman"/>
              </w:rPr>
            </w:pPr>
            <w:bookmarkStart w:id="36" w:name="_Hlk172965919"/>
            <w:r>
              <w:rPr>
                <w:rFonts w:ascii="Times New Roman" w:eastAsia="Times New Roman" w:hAnsi="Times New Roman" w:cs="Times New Roman"/>
              </w:rPr>
              <w:t>Author (year)</w:t>
            </w:r>
          </w:p>
        </w:tc>
        <w:tc>
          <w:tcPr>
            <w:tcW w:w="1275" w:type="dxa"/>
            <w:tcBorders>
              <w:left w:val="nil"/>
              <w:bottom w:val="nil"/>
              <w:right w:val="nil"/>
            </w:tcBorders>
            <w:shd w:val="clear" w:color="auto" w:fill="F79646" w:themeFill="accent6"/>
            <w:tcMar>
              <w:top w:w="100" w:type="dxa"/>
              <w:left w:w="100" w:type="dxa"/>
              <w:bottom w:w="100" w:type="dxa"/>
              <w:right w:w="100" w:type="dxa"/>
            </w:tcMar>
          </w:tcPr>
          <w:p w14:paraId="39BCA81F"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Participants</w:t>
            </w:r>
          </w:p>
        </w:tc>
        <w:tc>
          <w:tcPr>
            <w:tcW w:w="993" w:type="dxa"/>
            <w:tcBorders>
              <w:left w:val="nil"/>
              <w:bottom w:val="nil"/>
              <w:right w:val="nil"/>
            </w:tcBorders>
            <w:shd w:val="clear" w:color="auto" w:fill="F79646" w:themeFill="accent6"/>
          </w:tcPr>
          <w:p w14:paraId="158A7FFC"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Country</w:t>
            </w:r>
          </w:p>
        </w:tc>
        <w:tc>
          <w:tcPr>
            <w:tcW w:w="1417" w:type="dxa"/>
            <w:tcBorders>
              <w:left w:val="nil"/>
              <w:bottom w:val="nil"/>
              <w:right w:val="nil"/>
            </w:tcBorders>
            <w:shd w:val="clear" w:color="auto" w:fill="F79646" w:themeFill="accent6"/>
            <w:tcMar>
              <w:top w:w="100" w:type="dxa"/>
              <w:left w:w="100" w:type="dxa"/>
              <w:bottom w:w="100" w:type="dxa"/>
              <w:right w:w="100" w:type="dxa"/>
            </w:tcMar>
          </w:tcPr>
          <w:p w14:paraId="7D5CAE66"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Methods</w:t>
            </w:r>
          </w:p>
        </w:tc>
        <w:tc>
          <w:tcPr>
            <w:tcW w:w="1701" w:type="dxa"/>
            <w:tcBorders>
              <w:left w:val="nil"/>
              <w:bottom w:val="nil"/>
              <w:right w:val="nil"/>
            </w:tcBorders>
            <w:shd w:val="clear" w:color="auto" w:fill="F79646" w:themeFill="accent6"/>
            <w:tcMar>
              <w:top w:w="100" w:type="dxa"/>
              <w:left w:w="100" w:type="dxa"/>
              <w:bottom w:w="100" w:type="dxa"/>
              <w:right w:w="100" w:type="dxa"/>
            </w:tcMar>
          </w:tcPr>
          <w:p w14:paraId="679B86AC"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Meal timing assessment method</w:t>
            </w:r>
          </w:p>
        </w:tc>
        <w:tc>
          <w:tcPr>
            <w:tcW w:w="1701" w:type="dxa"/>
            <w:tcBorders>
              <w:left w:val="nil"/>
              <w:bottom w:val="nil"/>
              <w:right w:val="nil"/>
            </w:tcBorders>
            <w:shd w:val="clear" w:color="auto" w:fill="F79646" w:themeFill="accent6"/>
            <w:tcMar>
              <w:top w:w="100" w:type="dxa"/>
              <w:left w:w="100" w:type="dxa"/>
              <w:bottom w:w="100" w:type="dxa"/>
              <w:right w:w="100" w:type="dxa"/>
            </w:tcMar>
          </w:tcPr>
          <w:p w14:paraId="548A6BFE"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Definition of late eating</w:t>
            </w:r>
          </w:p>
        </w:tc>
        <w:tc>
          <w:tcPr>
            <w:tcW w:w="3544" w:type="dxa"/>
            <w:tcBorders>
              <w:left w:val="nil"/>
              <w:bottom w:val="nil"/>
              <w:right w:val="nil"/>
            </w:tcBorders>
            <w:shd w:val="clear" w:color="auto" w:fill="F79646" w:themeFill="accent6"/>
            <w:tcMar>
              <w:top w:w="100" w:type="dxa"/>
              <w:left w:w="100" w:type="dxa"/>
              <w:bottom w:w="100" w:type="dxa"/>
              <w:right w:w="100" w:type="dxa"/>
            </w:tcMar>
          </w:tcPr>
          <w:p w14:paraId="5D5DE49C"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Outcomes</w:t>
            </w:r>
          </w:p>
        </w:tc>
        <w:tc>
          <w:tcPr>
            <w:tcW w:w="2349" w:type="dxa"/>
            <w:tcBorders>
              <w:left w:val="nil"/>
              <w:bottom w:val="nil"/>
              <w:right w:val="nil"/>
            </w:tcBorders>
            <w:shd w:val="clear" w:color="auto" w:fill="F79646" w:themeFill="accent6"/>
            <w:tcMar>
              <w:top w:w="100" w:type="dxa"/>
              <w:left w:w="100" w:type="dxa"/>
              <w:bottom w:w="100" w:type="dxa"/>
              <w:right w:w="100" w:type="dxa"/>
            </w:tcMar>
          </w:tcPr>
          <w:p w14:paraId="76181FBE"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Changes in outcomes</w:t>
            </w:r>
          </w:p>
        </w:tc>
      </w:tr>
      <w:tr w:rsidR="00DF5838" w14:paraId="0084EACD" w14:textId="77777777" w:rsidTr="00B750A9">
        <w:trPr>
          <w:trHeight w:val="73"/>
        </w:trPr>
        <w:tc>
          <w:tcPr>
            <w:tcW w:w="13973" w:type="dxa"/>
            <w:gridSpan w:val="8"/>
            <w:tcBorders>
              <w:top w:val="nil"/>
              <w:left w:val="nil"/>
              <w:right w:val="nil"/>
            </w:tcBorders>
            <w:shd w:val="clear" w:color="auto" w:fill="F79646" w:themeFill="accent6"/>
          </w:tcPr>
          <w:p w14:paraId="476ECB95" w14:textId="77777777" w:rsidR="00DF5838" w:rsidRDefault="00DF5838" w:rsidP="00B64CA5">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Studies showing an association between late eating and body weight.</w:t>
            </w:r>
          </w:p>
        </w:tc>
      </w:tr>
    </w:tbl>
    <w:tbl>
      <w:tblPr>
        <w:tblStyle w:val="a1"/>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
        <w:gridCol w:w="1269"/>
        <w:gridCol w:w="836"/>
        <w:gridCol w:w="1559"/>
        <w:gridCol w:w="1843"/>
        <w:gridCol w:w="1559"/>
        <w:gridCol w:w="3544"/>
        <w:gridCol w:w="2268"/>
      </w:tblGrid>
      <w:tr w:rsidR="00DF5838" w14:paraId="289FFB64" w14:textId="77777777" w:rsidTr="00DF5838">
        <w:trPr>
          <w:trHeight w:val="1981"/>
        </w:trPr>
        <w:tc>
          <w:tcPr>
            <w:tcW w:w="1014" w:type="dxa"/>
            <w:tcBorders>
              <w:top w:val="nil"/>
              <w:left w:val="nil"/>
              <w:bottom w:val="nil"/>
              <w:right w:val="nil"/>
            </w:tcBorders>
            <w:shd w:val="clear" w:color="auto" w:fill="auto"/>
            <w:tcMar>
              <w:top w:w="100" w:type="dxa"/>
              <w:left w:w="100" w:type="dxa"/>
              <w:bottom w:w="100" w:type="dxa"/>
              <w:right w:w="100" w:type="dxa"/>
            </w:tcMar>
          </w:tcPr>
          <w:bookmarkEnd w:id="36"/>
          <w:p w14:paraId="00000227" w14:textId="77777777" w:rsidR="00DF5838" w:rsidRDefault="00DF5838" w:rsidP="00DF5838">
            <w:pPr>
              <w:widowControl w:val="0"/>
              <w:spacing w:line="240" w:lineRule="auto"/>
              <w:rPr>
                <w:rFonts w:ascii="Times New Roman" w:eastAsia="Times New Roman" w:hAnsi="Times New Roman" w:cs="Times New Roman"/>
              </w:rPr>
            </w:pPr>
            <w:r>
              <w:fldChar w:fldCharType="begin"/>
            </w:r>
            <w:r>
              <w:instrText xml:space="preserve"> HYPERLINK "https://sciwheel.com/work/citation?ids=10683308&amp;pre=&amp;suf=&amp;sa=0" \h </w:instrText>
            </w:r>
            <w:r>
              <w:fldChar w:fldCharType="separate"/>
            </w:r>
            <w:r>
              <w:rPr>
                <w:rFonts w:ascii="Times New Roman" w:eastAsia="Times New Roman" w:hAnsi="Times New Roman" w:cs="Times New Roman"/>
              </w:rPr>
              <w:t>(Thomas et al., 2020)</w:t>
            </w:r>
            <w:r>
              <w:rPr>
                <w:rFonts w:ascii="Times New Roman" w:eastAsia="Times New Roman" w:hAnsi="Times New Roman" w:cs="Times New Roman"/>
              </w:rPr>
              <w:fldChar w:fldCharType="end"/>
            </w:r>
          </w:p>
        </w:tc>
        <w:tc>
          <w:tcPr>
            <w:tcW w:w="1269" w:type="dxa"/>
            <w:tcBorders>
              <w:top w:val="nil"/>
              <w:left w:val="nil"/>
              <w:bottom w:val="nil"/>
              <w:right w:val="nil"/>
            </w:tcBorders>
            <w:shd w:val="clear" w:color="auto" w:fill="auto"/>
            <w:tcMar>
              <w:top w:w="100" w:type="dxa"/>
              <w:left w:w="100" w:type="dxa"/>
              <w:bottom w:w="100" w:type="dxa"/>
              <w:right w:w="100" w:type="dxa"/>
            </w:tcMar>
          </w:tcPr>
          <w:p w14:paraId="00000228"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83 adults with overweight and obesity </w:t>
            </w:r>
          </w:p>
        </w:tc>
        <w:tc>
          <w:tcPr>
            <w:tcW w:w="836" w:type="dxa"/>
            <w:tcBorders>
              <w:top w:val="nil"/>
              <w:left w:val="nil"/>
              <w:bottom w:val="nil"/>
              <w:right w:val="nil"/>
            </w:tcBorders>
          </w:tcPr>
          <w:p w14:paraId="4E7CC441" w14:textId="07232D8E" w:rsidR="00DF5838" w:rsidRPr="001C6F50" w:rsidRDefault="00DF5838" w:rsidP="00DF583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USA</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29" w14:textId="422632EF"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843" w:type="dxa"/>
            <w:tcBorders>
              <w:top w:val="nil"/>
              <w:left w:val="nil"/>
              <w:bottom w:val="nil"/>
              <w:right w:val="nil"/>
            </w:tcBorders>
            <w:shd w:val="clear" w:color="auto" w:fill="auto"/>
            <w:tcMar>
              <w:top w:w="100" w:type="dxa"/>
              <w:left w:w="100" w:type="dxa"/>
              <w:bottom w:w="100" w:type="dxa"/>
              <w:right w:w="100" w:type="dxa"/>
            </w:tcMar>
          </w:tcPr>
          <w:p w14:paraId="0000022A"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24-h measures of energy intake (photographic food records)</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2B"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Not specified</w:t>
            </w:r>
          </w:p>
        </w:tc>
        <w:tc>
          <w:tcPr>
            <w:tcW w:w="3544" w:type="dxa"/>
            <w:tcBorders>
              <w:top w:val="nil"/>
              <w:left w:val="nil"/>
              <w:bottom w:val="nil"/>
              <w:right w:val="nil"/>
            </w:tcBorders>
            <w:shd w:val="clear" w:color="auto" w:fill="auto"/>
            <w:tcMar>
              <w:top w:w="100" w:type="dxa"/>
              <w:left w:w="100" w:type="dxa"/>
              <w:bottom w:w="100" w:type="dxa"/>
              <w:right w:w="100" w:type="dxa"/>
            </w:tcMar>
          </w:tcPr>
          <w:p w14:paraId="0000022C"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22D"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a single 24-h dietary recall</w:t>
            </w:r>
          </w:p>
          <w:p w14:paraId="0000022E"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Physical activity: accelerometer for 7 days</w:t>
            </w:r>
          </w:p>
        </w:tc>
        <w:tc>
          <w:tcPr>
            <w:tcW w:w="2268" w:type="dxa"/>
            <w:tcBorders>
              <w:top w:val="nil"/>
              <w:left w:val="nil"/>
              <w:bottom w:val="nil"/>
              <w:right w:val="nil"/>
            </w:tcBorders>
            <w:shd w:val="clear" w:color="auto" w:fill="auto"/>
            <w:tcMar>
              <w:top w:w="100" w:type="dxa"/>
              <w:left w:w="100" w:type="dxa"/>
              <w:bottom w:w="100" w:type="dxa"/>
              <w:right w:w="100" w:type="dxa"/>
            </w:tcMar>
          </w:tcPr>
          <w:p w14:paraId="0000022F" w14:textId="77777777" w:rsidR="00DF5838" w:rsidRPr="001C6F50" w:rsidRDefault="007E2DD6" w:rsidP="00DF5838">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41"/>
                <w:id w:val="-1142890866"/>
              </w:sdtPr>
              <w:sdtEndPr/>
              <w:sdtContent>
                <w:r w:rsidR="00DF5838" w:rsidRPr="001C6F50">
                  <w:rPr>
                    <w:rFonts w:ascii="Times New Roman" w:eastAsia="Cardo" w:hAnsi="Times New Roman" w:cs="Times New Roman"/>
                  </w:rPr>
                  <w:t>For every 1 h later midpoint of the eating window, there was a 1.35 unit ↑ in percent body fat.</w:t>
                </w:r>
              </w:sdtContent>
            </w:sdt>
          </w:p>
          <w:p w14:paraId="00000230"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Later meal timing didn't correlate with greater energy intake.</w:t>
            </w:r>
          </w:p>
          <w:p w14:paraId="00000231"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Later meals were associated with lower PA levels.</w:t>
            </w:r>
          </w:p>
        </w:tc>
      </w:tr>
      <w:tr w:rsidR="00DF5838" w14:paraId="579A14D2" w14:textId="77777777" w:rsidTr="00DF5838">
        <w:trPr>
          <w:trHeight w:val="2229"/>
        </w:trPr>
        <w:tc>
          <w:tcPr>
            <w:tcW w:w="1014" w:type="dxa"/>
            <w:tcBorders>
              <w:top w:val="nil"/>
              <w:left w:val="nil"/>
              <w:bottom w:val="nil"/>
              <w:right w:val="nil"/>
            </w:tcBorders>
            <w:shd w:val="clear" w:color="auto" w:fill="auto"/>
            <w:tcMar>
              <w:top w:w="100" w:type="dxa"/>
              <w:left w:w="100" w:type="dxa"/>
              <w:bottom w:w="100" w:type="dxa"/>
              <w:right w:w="100" w:type="dxa"/>
            </w:tcMar>
          </w:tcPr>
          <w:p w14:paraId="00000232" w14:textId="77777777" w:rsidR="00DF5838" w:rsidRDefault="007E2DD6" w:rsidP="00DF5838">
            <w:pPr>
              <w:widowControl w:val="0"/>
              <w:spacing w:line="240" w:lineRule="auto"/>
              <w:rPr>
                <w:rFonts w:ascii="Times New Roman" w:eastAsia="Times New Roman" w:hAnsi="Times New Roman" w:cs="Times New Roman"/>
              </w:rPr>
            </w:pPr>
            <w:hyperlink r:id="rId302">
              <w:r w:rsidR="00DF5838">
                <w:rPr>
                  <w:rFonts w:ascii="Times New Roman" w:eastAsia="Times New Roman" w:hAnsi="Times New Roman" w:cs="Times New Roman"/>
                </w:rPr>
                <w:t>(Wang et al., 2014)</w:t>
              </w:r>
            </w:hyperlink>
          </w:p>
        </w:tc>
        <w:tc>
          <w:tcPr>
            <w:tcW w:w="1269" w:type="dxa"/>
            <w:tcBorders>
              <w:top w:val="nil"/>
              <w:left w:val="nil"/>
              <w:bottom w:val="nil"/>
              <w:right w:val="nil"/>
            </w:tcBorders>
            <w:shd w:val="clear" w:color="auto" w:fill="auto"/>
            <w:tcMar>
              <w:top w:w="100" w:type="dxa"/>
              <w:left w:w="100" w:type="dxa"/>
              <w:bottom w:w="100" w:type="dxa"/>
              <w:right w:w="100" w:type="dxa"/>
            </w:tcMar>
          </w:tcPr>
          <w:p w14:paraId="00000233"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239 adults</w:t>
            </w:r>
          </w:p>
        </w:tc>
        <w:tc>
          <w:tcPr>
            <w:tcW w:w="836" w:type="dxa"/>
            <w:tcBorders>
              <w:top w:val="nil"/>
              <w:left w:val="nil"/>
              <w:bottom w:val="nil"/>
              <w:right w:val="nil"/>
            </w:tcBorders>
          </w:tcPr>
          <w:p w14:paraId="4572724C" w14:textId="37A817B8" w:rsidR="00DF5838" w:rsidRPr="001C6F50" w:rsidRDefault="00DF5838" w:rsidP="00DF583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USA</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34" w14:textId="2381CBC1"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843" w:type="dxa"/>
            <w:tcBorders>
              <w:top w:val="nil"/>
              <w:left w:val="nil"/>
              <w:bottom w:val="nil"/>
              <w:right w:val="nil"/>
            </w:tcBorders>
            <w:shd w:val="clear" w:color="auto" w:fill="auto"/>
            <w:tcMar>
              <w:top w:w="100" w:type="dxa"/>
              <w:left w:w="100" w:type="dxa"/>
              <w:bottom w:w="100" w:type="dxa"/>
              <w:right w:w="100" w:type="dxa"/>
            </w:tcMar>
          </w:tcPr>
          <w:p w14:paraId="00000235"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3-day food diary</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36"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5 PM</w:t>
            </w:r>
          </w:p>
        </w:tc>
        <w:tc>
          <w:tcPr>
            <w:tcW w:w="3544" w:type="dxa"/>
            <w:tcBorders>
              <w:top w:val="nil"/>
              <w:left w:val="nil"/>
              <w:bottom w:val="nil"/>
              <w:right w:val="nil"/>
            </w:tcBorders>
            <w:shd w:val="clear" w:color="auto" w:fill="auto"/>
            <w:tcMar>
              <w:top w:w="100" w:type="dxa"/>
              <w:left w:w="100" w:type="dxa"/>
              <w:bottom w:w="100" w:type="dxa"/>
              <w:right w:w="100" w:type="dxa"/>
            </w:tcMar>
          </w:tcPr>
          <w:p w14:paraId="00000237"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238"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3-day food diary</w:t>
            </w:r>
          </w:p>
          <w:p w14:paraId="00000239"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Physical activity: evaluated by questionnaire</w:t>
            </w:r>
          </w:p>
          <w:p w14:paraId="0000023A"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expenditure: doubly labelled water</w:t>
            </w:r>
          </w:p>
          <w:p w14:paraId="0000023B" w14:textId="77777777" w:rsidR="00DF5838" w:rsidRPr="001C6F50" w:rsidRDefault="00DF5838" w:rsidP="00DF5838">
            <w:pPr>
              <w:widowControl w:val="0"/>
              <w:spacing w:line="240" w:lineRule="auto"/>
              <w:rPr>
                <w:rFonts w:ascii="Times New Roman" w:eastAsia="Times New Roman" w:hAnsi="Times New Roman" w:cs="Times New Roman"/>
              </w:rPr>
            </w:pPr>
          </w:p>
        </w:tc>
        <w:tc>
          <w:tcPr>
            <w:tcW w:w="2268" w:type="dxa"/>
            <w:tcBorders>
              <w:top w:val="nil"/>
              <w:left w:val="nil"/>
              <w:bottom w:val="nil"/>
              <w:right w:val="nil"/>
            </w:tcBorders>
            <w:shd w:val="clear" w:color="auto" w:fill="auto"/>
            <w:tcMar>
              <w:top w:w="100" w:type="dxa"/>
              <w:left w:w="100" w:type="dxa"/>
              <w:bottom w:w="100" w:type="dxa"/>
              <w:right w:w="100" w:type="dxa"/>
            </w:tcMar>
          </w:tcPr>
          <w:p w14:paraId="0000023C"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Participants who ate more than 33% of their daily energy in the evening were twice as likely to be overweight or obesity.</w:t>
            </w:r>
          </w:p>
          <w:p w14:paraId="0000023D" w14:textId="77777777" w:rsidR="00DF5838" w:rsidRPr="001C6F50" w:rsidRDefault="007E2DD6" w:rsidP="00DF5838">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42"/>
                <w:id w:val="955758922"/>
              </w:sdtPr>
              <w:sdtEndPr/>
              <w:sdtContent>
                <w:r w:rsidR="00DF5838" w:rsidRPr="001C6F50">
                  <w:rPr>
                    <w:rFonts w:ascii="Times New Roman" w:eastAsia="Cardo" w:hAnsi="Times New Roman" w:cs="Times New Roman"/>
                  </w:rPr>
                  <w:t>A higher proportion of intake in the evening was associated with ↓physical activity.</w:t>
                </w:r>
              </w:sdtContent>
            </w:sdt>
          </w:p>
        </w:tc>
      </w:tr>
      <w:tr w:rsidR="00DF5838" w14:paraId="163517B0" w14:textId="77777777" w:rsidTr="00DF5838">
        <w:trPr>
          <w:trHeight w:val="1234"/>
        </w:trPr>
        <w:tc>
          <w:tcPr>
            <w:tcW w:w="1014" w:type="dxa"/>
            <w:tcBorders>
              <w:top w:val="nil"/>
              <w:left w:val="nil"/>
              <w:bottom w:val="single" w:sz="4" w:space="0" w:color="auto"/>
              <w:right w:val="nil"/>
            </w:tcBorders>
            <w:shd w:val="clear" w:color="auto" w:fill="auto"/>
            <w:tcMar>
              <w:top w:w="100" w:type="dxa"/>
              <w:left w:w="100" w:type="dxa"/>
              <w:bottom w:w="100" w:type="dxa"/>
              <w:right w:w="100" w:type="dxa"/>
            </w:tcMar>
          </w:tcPr>
          <w:p w14:paraId="0000023E" w14:textId="77777777" w:rsidR="00DF5838" w:rsidRDefault="007E2DD6" w:rsidP="00DF5838">
            <w:pPr>
              <w:widowControl w:val="0"/>
              <w:spacing w:line="240" w:lineRule="auto"/>
              <w:rPr>
                <w:rFonts w:ascii="Times New Roman" w:eastAsia="Times New Roman" w:hAnsi="Times New Roman" w:cs="Times New Roman"/>
              </w:rPr>
            </w:pPr>
            <w:hyperlink r:id="rId303">
              <w:r w:rsidR="00DF5838">
                <w:rPr>
                  <w:rFonts w:ascii="Times New Roman" w:eastAsia="Times New Roman" w:hAnsi="Times New Roman" w:cs="Times New Roman"/>
                </w:rPr>
                <w:t>(Xiao et al., 2019)</w:t>
              </w:r>
            </w:hyperlink>
          </w:p>
        </w:tc>
        <w:tc>
          <w:tcPr>
            <w:tcW w:w="1269" w:type="dxa"/>
            <w:tcBorders>
              <w:top w:val="nil"/>
              <w:left w:val="nil"/>
              <w:bottom w:val="single" w:sz="4" w:space="0" w:color="auto"/>
              <w:right w:val="nil"/>
            </w:tcBorders>
            <w:shd w:val="clear" w:color="auto" w:fill="auto"/>
            <w:tcMar>
              <w:top w:w="100" w:type="dxa"/>
              <w:left w:w="100" w:type="dxa"/>
              <w:bottom w:w="100" w:type="dxa"/>
              <w:right w:w="100" w:type="dxa"/>
            </w:tcMar>
          </w:tcPr>
          <w:p w14:paraId="0000023F"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872 adults</w:t>
            </w:r>
          </w:p>
        </w:tc>
        <w:tc>
          <w:tcPr>
            <w:tcW w:w="836" w:type="dxa"/>
            <w:tcBorders>
              <w:top w:val="nil"/>
              <w:left w:val="nil"/>
              <w:bottom w:val="single" w:sz="4" w:space="0" w:color="auto"/>
              <w:right w:val="nil"/>
            </w:tcBorders>
          </w:tcPr>
          <w:p w14:paraId="1C7615AE" w14:textId="638D6D82" w:rsidR="00DF5838" w:rsidRPr="001C6F50" w:rsidRDefault="00DF5838" w:rsidP="00DF583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USA</w:t>
            </w:r>
          </w:p>
        </w:tc>
        <w:tc>
          <w:tcPr>
            <w:tcW w:w="1559" w:type="dxa"/>
            <w:tcBorders>
              <w:top w:val="nil"/>
              <w:left w:val="nil"/>
              <w:bottom w:val="single" w:sz="4" w:space="0" w:color="auto"/>
              <w:right w:val="nil"/>
            </w:tcBorders>
            <w:shd w:val="clear" w:color="auto" w:fill="auto"/>
            <w:tcMar>
              <w:top w:w="100" w:type="dxa"/>
              <w:left w:w="100" w:type="dxa"/>
              <w:bottom w:w="100" w:type="dxa"/>
              <w:right w:w="100" w:type="dxa"/>
            </w:tcMar>
          </w:tcPr>
          <w:p w14:paraId="00000240" w14:textId="52979684"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843" w:type="dxa"/>
            <w:tcBorders>
              <w:top w:val="nil"/>
              <w:left w:val="nil"/>
              <w:bottom w:val="single" w:sz="4" w:space="0" w:color="auto"/>
              <w:right w:val="nil"/>
            </w:tcBorders>
            <w:shd w:val="clear" w:color="auto" w:fill="auto"/>
            <w:tcMar>
              <w:top w:w="100" w:type="dxa"/>
              <w:left w:w="100" w:type="dxa"/>
              <w:bottom w:w="100" w:type="dxa"/>
              <w:right w:w="100" w:type="dxa"/>
            </w:tcMar>
          </w:tcPr>
          <w:p w14:paraId="00000241"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24-hour food diary </w:t>
            </w:r>
          </w:p>
        </w:tc>
        <w:tc>
          <w:tcPr>
            <w:tcW w:w="1559" w:type="dxa"/>
            <w:tcBorders>
              <w:top w:val="nil"/>
              <w:left w:val="nil"/>
              <w:bottom w:val="single" w:sz="4" w:space="0" w:color="auto"/>
              <w:right w:val="nil"/>
            </w:tcBorders>
            <w:shd w:val="clear" w:color="auto" w:fill="auto"/>
            <w:tcMar>
              <w:top w:w="100" w:type="dxa"/>
              <w:left w:w="100" w:type="dxa"/>
              <w:bottom w:w="100" w:type="dxa"/>
              <w:right w:w="100" w:type="dxa"/>
            </w:tcMar>
          </w:tcPr>
          <w:p w14:paraId="00000242"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Two hours before bedtime</w:t>
            </w:r>
          </w:p>
        </w:tc>
        <w:tc>
          <w:tcPr>
            <w:tcW w:w="3544" w:type="dxa"/>
            <w:tcBorders>
              <w:top w:val="nil"/>
              <w:left w:val="nil"/>
              <w:bottom w:val="single" w:sz="4" w:space="0" w:color="auto"/>
              <w:right w:val="nil"/>
            </w:tcBorders>
            <w:shd w:val="clear" w:color="auto" w:fill="auto"/>
            <w:tcMar>
              <w:top w:w="100" w:type="dxa"/>
              <w:left w:w="100" w:type="dxa"/>
              <w:bottom w:w="100" w:type="dxa"/>
              <w:right w:w="100" w:type="dxa"/>
            </w:tcMar>
          </w:tcPr>
          <w:p w14:paraId="00000243"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244"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24-h dietary recall</w:t>
            </w:r>
          </w:p>
        </w:tc>
        <w:tc>
          <w:tcPr>
            <w:tcW w:w="2268" w:type="dxa"/>
            <w:tcBorders>
              <w:top w:val="nil"/>
              <w:left w:val="nil"/>
              <w:bottom w:val="single" w:sz="4" w:space="0" w:color="auto"/>
              <w:right w:val="nil"/>
            </w:tcBorders>
            <w:shd w:val="clear" w:color="auto" w:fill="auto"/>
            <w:tcMar>
              <w:top w:w="100" w:type="dxa"/>
              <w:left w:w="100" w:type="dxa"/>
              <w:bottom w:w="100" w:type="dxa"/>
              <w:right w:w="100" w:type="dxa"/>
            </w:tcMar>
          </w:tcPr>
          <w:p w14:paraId="00000245" w14:textId="77777777" w:rsidR="00DF5838" w:rsidRPr="001C6F50" w:rsidRDefault="007E2DD6" w:rsidP="00DF5838">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43"/>
                <w:id w:val="-1707471889"/>
              </w:sdtPr>
              <w:sdtEndPr/>
              <w:sdtContent>
                <w:r w:rsidR="00DF5838" w:rsidRPr="001C6F50">
                  <w:rPr>
                    <w:rFonts w:ascii="Times New Roman" w:eastAsia="Cardo" w:hAnsi="Times New Roman" w:cs="Times New Roman"/>
                  </w:rPr>
                  <w:t>↑ percent of total daily energy intake consumed in the evening was associated with ↑ overweight or obesity.</w:t>
                </w:r>
              </w:sdtContent>
            </w:sdt>
          </w:p>
        </w:tc>
      </w:tr>
    </w:tbl>
    <w:p w14:paraId="28CA8204" w14:textId="77777777" w:rsidR="00DF5838" w:rsidRDefault="00DF5838" w:rsidP="00DF5838">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lastRenderedPageBreak/>
        <w:t xml:space="preserve">Table 2.1. </w:t>
      </w:r>
      <w:r>
        <w:rPr>
          <w:rFonts w:ascii="Times New Roman" w:eastAsia="Times New Roman" w:hAnsi="Times New Roman" w:cs="Times New Roman"/>
          <w:color w:val="000000"/>
          <w:sz w:val="20"/>
          <w:szCs w:val="20"/>
        </w:rPr>
        <w:t>Summary of meal timing literature (</w:t>
      </w:r>
      <w:r w:rsidRPr="007867D6">
        <w:rPr>
          <w:rFonts w:ascii="Times New Roman" w:eastAsia="Times New Roman" w:hAnsi="Times New Roman" w:cs="Times New Roman"/>
          <w:i/>
          <w:iCs/>
          <w:color w:val="000000"/>
          <w:sz w:val="20"/>
          <w:szCs w:val="20"/>
        </w:rPr>
        <w:t>Continued</w:t>
      </w:r>
      <w:r>
        <w:rPr>
          <w:rFonts w:ascii="Times New Roman" w:eastAsia="Times New Roman" w:hAnsi="Times New Roman" w:cs="Times New Roman"/>
          <w:color w:val="000000"/>
          <w:sz w:val="20"/>
          <w:szCs w:val="20"/>
        </w:rPr>
        <w:t>).</w:t>
      </w:r>
    </w:p>
    <w:tbl>
      <w:tblPr>
        <w:tblW w:w="13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79646" w:themeFill="accent6"/>
        <w:tblLayout w:type="fixed"/>
        <w:tblLook w:val="0600" w:firstRow="0" w:lastRow="0" w:firstColumn="0" w:lastColumn="0" w:noHBand="1" w:noVBand="1"/>
      </w:tblPr>
      <w:tblGrid>
        <w:gridCol w:w="851"/>
        <w:gridCol w:w="1276"/>
        <w:gridCol w:w="1134"/>
        <w:gridCol w:w="1417"/>
        <w:gridCol w:w="1701"/>
        <w:gridCol w:w="2410"/>
        <w:gridCol w:w="2835"/>
        <w:gridCol w:w="2349"/>
      </w:tblGrid>
      <w:tr w:rsidR="00DF5838" w14:paraId="2E9258CD" w14:textId="77777777" w:rsidTr="00C16E22">
        <w:trPr>
          <w:trHeight w:val="468"/>
        </w:trPr>
        <w:tc>
          <w:tcPr>
            <w:tcW w:w="851" w:type="dxa"/>
            <w:tcBorders>
              <w:left w:val="nil"/>
              <w:bottom w:val="nil"/>
              <w:right w:val="nil"/>
            </w:tcBorders>
            <w:shd w:val="clear" w:color="auto" w:fill="F79646" w:themeFill="accent6"/>
            <w:tcMar>
              <w:top w:w="100" w:type="dxa"/>
              <w:left w:w="100" w:type="dxa"/>
              <w:bottom w:w="100" w:type="dxa"/>
              <w:right w:w="100" w:type="dxa"/>
            </w:tcMar>
          </w:tcPr>
          <w:p w14:paraId="4BE3A5FF"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Author (year)</w:t>
            </w:r>
          </w:p>
        </w:tc>
        <w:tc>
          <w:tcPr>
            <w:tcW w:w="1276" w:type="dxa"/>
            <w:tcBorders>
              <w:left w:val="nil"/>
              <w:bottom w:val="nil"/>
              <w:right w:val="nil"/>
            </w:tcBorders>
            <w:shd w:val="clear" w:color="auto" w:fill="F79646" w:themeFill="accent6"/>
            <w:tcMar>
              <w:top w:w="100" w:type="dxa"/>
              <w:left w:w="100" w:type="dxa"/>
              <w:bottom w:w="100" w:type="dxa"/>
              <w:right w:w="100" w:type="dxa"/>
            </w:tcMar>
          </w:tcPr>
          <w:p w14:paraId="7763F7A8"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Participants</w:t>
            </w:r>
          </w:p>
        </w:tc>
        <w:tc>
          <w:tcPr>
            <w:tcW w:w="1134" w:type="dxa"/>
            <w:tcBorders>
              <w:left w:val="nil"/>
              <w:bottom w:val="nil"/>
              <w:right w:val="nil"/>
            </w:tcBorders>
            <w:shd w:val="clear" w:color="auto" w:fill="F79646" w:themeFill="accent6"/>
          </w:tcPr>
          <w:p w14:paraId="5120E7EF"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Country</w:t>
            </w:r>
          </w:p>
        </w:tc>
        <w:tc>
          <w:tcPr>
            <w:tcW w:w="1417" w:type="dxa"/>
            <w:tcBorders>
              <w:left w:val="nil"/>
              <w:bottom w:val="nil"/>
              <w:right w:val="nil"/>
            </w:tcBorders>
            <w:shd w:val="clear" w:color="auto" w:fill="F79646" w:themeFill="accent6"/>
            <w:tcMar>
              <w:top w:w="100" w:type="dxa"/>
              <w:left w:w="100" w:type="dxa"/>
              <w:bottom w:w="100" w:type="dxa"/>
              <w:right w:w="100" w:type="dxa"/>
            </w:tcMar>
          </w:tcPr>
          <w:p w14:paraId="766E980F"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Methods</w:t>
            </w:r>
          </w:p>
        </w:tc>
        <w:tc>
          <w:tcPr>
            <w:tcW w:w="1701" w:type="dxa"/>
            <w:tcBorders>
              <w:left w:val="nil"/>
              <w:bottom w:val="nil"/>
              <w:right w:val="nil"/>
            </w:tcBorders>
            <w:shd w:val="clear" w:color="auto" w:fill="F79646" w:themeFill="accent6"/>
            <w:tcMar>
              <w:top w:w="100" w:type="dxa"/>
              <w:left w:w="100" w:type="dxa"/>
              <w:bottom w:w="100" w:type="dxa"/>
              <w:right w:w="100" w:type="dxa"/>
            </w:tcMar>
          </w:tcPr>
          <w:p w14:paraId="0BCC684B"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Meal timing assessment method</w:t>
            </w:r>
          </w:p>
        </w:tc>
        <w:tc>
          <w:tcPr>
            <w:tcW w:w="2410" w:type="dxa"/>
            <w:tcBorders>
              <w:left w:val="nil"/>
              <w:bottom w:val="nil"/>
              <w:right w:val="nil"/>
            </w:tcBorders>
            <w:shd w:val="clear" w:color="auto" w:fill="F79646" w:themeFill="accent6"/>
            <w:tcMar>
              <w:top w:w="100" w:type="dxa"/>
              <w:left w:w="100" w:type="dxa"/>
              <w:bottom w:w="100" w:type="dxa"/>
              <w:right w:w="100" w:type="dxa"/>
            </w:tcMar>
          </w:tcPr>
          <w:p w14:paraId="3BC9CE01"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Definition of late eating</w:t>
            </w:r>
          </w:p>
        </w:tc>
        <w:tc>
          <w:tcPr>
            <w:tcW w:w="2835" w:type="dxa"/>
            <w:tcBorders>
              <w:left w:val="nil"/>
              <w:bottom w:val="nil"/>
              <w:right w:val="nil"/>
            </w:tcBorders>
            <w:shd w:val="clear" w:color="auto" w:fill="F79646" w:themeFill="accent6"/>
            <w:tcMar>
              <w:top w:w="100" w:type="dxa"/>
              <w:left w:w="100" w:type="dxa"/>
              <w:bottom w:w="100" w:type="dxa"/>
              <w:right w:w="100" w:type="dxa"/>
            </w:tcMar>
          </w:tcPr>
          <w:p w14:paraId="47F0BE26"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Outcomes</w:t>
            </w:r>
          </w:p>
        </w:tc>
        <w:tc>
          <w:tcPr>
            <w:tcW w:w="2349" w:type="dxa"/>
            <w:tcBorders>
              <w:left w:val="nil"/>
              <w:bottom w:val="nil"/>
              <w:right w:val="nil"/>
            </w:tcBorders>
            <w:shd w:val="clear" w:color="auto" w:fill="F79646" w:themeFill="accent6"/>
            <w:tcMar>
              <w:top w:w="100" w:type="dxa"/>
              <w:left w:w="100" w:type="dxa"/>
              <w:bottom w:w="100" w:type="dxa"/>
              <w:right w:w="100" w:type="dxa"/>
            </w:tcMar>
          </w:tcPr>
          <w:p w14:paraId="79BBA413"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Changes in outcomes</w:t>
            </w:r>
          </w:p>
        </w:tc>
      </w:tr>
      <w:tr w:rsidR="00DF5838" w14:paraId="32F40DB4" w14:textId="77777777" w:rsidTr="00B750A9">
        <w:trPr>
          <w:trHeight w:val="73"/>
        </w:trPr>
        <w:tc>
          <w:tcPr>
            <w:tcW w:w="13973" w:type="dxa"/>
            <w:gridSpan w:val="8"/>
            <w:tcBorders>
              <w:top w:val="nil"/>
              <w:left w:val="nil"/>
              <w:right w:val="nil"/>
            </w:tcBorders>
            <w:shd w:val="clear" w:color="auto" w:fill="F79646" w:themeFill="accent6"/>
          </w:tcPr>
          <w:p w14:paraId="3F657987" w14:textId="77777777" w:rsidR="00DF5838" w:rsidRDefault="00DF5838" w:rsidP="00B64CA5">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Studies showing an association between late eating and body weight.</w:t>
            </w:r>
          </w:p>
        </w:tc>
      </w:tr>
    </w:tbl>
    <w:tbl>
      <w:tblPr>
        <w:tblStyle w:val="a1"/>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
        <w:gridCol w:w="1113"/>
        <w:gridCol w:w="992"/>
        <w:gridCol w:w="1559"/>
        <w:gridCol w:w="1843"/>
        <w:gridCol w:w="2126"/>
        <w:gridCol w:w="2552"/>
        <w:gridCol w:w="2693"/>
      </w:tblGrid>
      <w:tr w:rsidR="00DF5838" w14:paraId="16175883" w14:textId="77777777" w:rsidTr="00C16E22">
        <w:trPr>
          <w:trHeight w:val="984"/>
        </w:trPr>
        <w:tc>
          <w:tcPr>
            <w:tcW w:w="1014" w:type="dxa"/>
            <w:tcBorders>
              <w:top w:val="nil"/>
              <w:left w:val="nil"/>
              <w:bottom w:val="nil"/>
              <w:right w:val="nil"/>
            </w:tcBorders>
            <w:shd w:val="clear" w:color="auto" w:fill="auto"/>
            <w:tcMar>
              <w:top w:w="100" w:type="dxa"/>
              <w:left w:w="100" w:type="dxa"/>
              <w:bottom w:w="100" w:type="dxa"/>
              <w:right w:w="100" w:type="dxa"/>
            </w:tcMar>
          </w:tcPr>
          <w:p w14:paraId="00000246" w14:textId="77777777" w:rsidR="00DF5838" w:rsidRDefault="007E2DD6" w:rsidP="00DF5838">
            <w:pPr>
              <w:widowControl w:val="0"/>
              <w:spacing w:line="240" w:lineRule="auto"/>
              <w:rPr>
                <w:rFonts w:ascii="Times New Roman" w:eastAsia="Times New Roman" w:hAnsi="Times New Roman" w:cs="Times New Roman"/>
              </w:rPr>
            </w:pPr>
            <w:hyperlink r:id="rId304">
              <w:r w:rsidR="00DF5838">
                <w:rPr>
                  <w:rFonts w:ascii="Times New Roman" w:eastAsia="Times New Roman" w:hAnsi="Times New Roman" w:cs="Times New Roman"/>
                </w:rPr>
                <w:t>(Yoshida et al., 2018)</w:t>
              </w:r>
            </w:hyperlink>
          </w:p>
        </w:tc>
        <w:tc>
          <w:tcPr>
            <w:tcW w:w="1113" w:type="dxa"/>
            <w:tcBorders>
              <w:top w:val="nil"/>
              <w:left w:val="nil"/>
              <w:bottom w:val="nil"/>
              <w:right w:val="nil"/>
            </w:tcBorders>
            <w:shd w:val="clear" w:color="auto" w:fill="auto"/>
            <w:tcMar>
              <w:top w:w="100" w:type="dxa"/>
              <w:left w:w="100" w:type="dxa"/>
              <w:bottom w:w="100" w:type="dxa"/>
              <w:right w:w="100" w:type="dxa"/>
            </w:tcMar>
          </w:tcPr>
          <w:p w14:paraId="00000247"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8153 adults</w:t>
            </w:r>
          </w:p>
        </w:tc>
        <w:tc>
          <w:tcPr>
            <w:tcW w:w="992" w:type="dxa"/>
            <w:tcBorders>
              <w:top w:val="nil"/>
              <w:left w:val="nil"/>
              <w:bottom w:val="nil"/>
              <w:right w:val="nil"/>
            </w:tcBorders>
          </w:tcPr>
          <w:p w14:paraId="6C5F8B05" w14:textId="1BF15475" w:rsidR="00DF5838" w:rsidRPr="001C6F50" w:rsidRDefault="00DF5838" w:rsidP="00DF583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Japan</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48" w14:textId="792A71E0"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Longitudinal study</w:t>
            </w:r>
          </w:p>
        </w:tc>
        <w:tc>
          <w:tcPr>
            <w:tcW w:w="1843" w:type="dxa"/>
            <w:tcBorders>
              <w:top w:val="nil"/>
              <w:left w:val="nil"/>
              <w:bottom w:val="nil"/>
              <w:right w:val="nil"/>
            </w:tcBorders>
            <w:shd w:val="clear" w:color="auto" w:fill="auto"/>
            <w:tcMar>
              <w:top w:w="100" w:type="dxa"/>
              <w:left w:w="100" w:type="dxa"/>
              <w:bottom w:w="100" w:type="dxa"/>
              <w:right w:w="100" w:type="dxa"/>
            </w:tcMar>
          </w:tcPr>
          <w:p w14:paraId="00000249"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Questionnaire </w:t>
            </w:r>
          </w:p>
        </w:tc>
        <w:tc>
          <w:tcPr>
            <w:tcW w:w="2126" w:type="dxa"/>
            <w:tcBorders>
              <w:top w:val="nil"/>
              <w:left w:val="nil"/>
              <w:bottom w:val="nil"/>
              <w:right w:val="nil"/>
            </w:tcBorders>
            <w:shd w:val="clear" w:color="auto" w:fill="auto"/>
            <w:tcMar>
              <w:top w:w="100" w:type="dxa"/>
              <w:left w:w="100" w:type="dxa"/>
              <w:bottom w:w="100" w:type="dxa"/>
              <w:right w:w="100" w:type="dxa"/>
            </w:tcMar>
          </w:tcPr>
          <w:p w14:paraId="0000024A"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Dinner immediately before bed and snacks after dinner </w:t>
            </w:r>
          </w:p>
        </w:tc>
        <w:tc>
          <w:tcPr>
            <w:tcW w:w="2552" w:type="dxa"/>
            <w:tcBorders>
              <w:top w:val="nil"/>
              <w:left w:val="nil"/>
              <w:bottom w:val="nil"/>
              <w:right w:val="nil"/>
            </w:tcBorders>
            <w:shd w:val="clear" w:color="auto" w:fill="auto"/>
            <w:tcMar>
              <w:top w:w="100" w:type="dxa"/>
              <w:left w:w="100" w:type="dxa"/>
              <w:bottom w:w="100" w:type="dxa"/>
              <w:right w:w="100" w:type="dxa"/>
            </w:tcMar>
          </w:tcPr>
          <w:p w14:paraId="0000024B"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24C" w14:textId="77777777" w:rsidR="00DF5838" w:rsidRPr="001C6F50" w:rsidRDefault="00DF5838" w:rsidP="00DF5838">
            <w:pPr>
              <w:widowControl w:val="0"/>
              <w:spacing w:line="240" w:lineRule="auto"/>
              <w:rPr>
                <w:rFonts w:ascii="Times New Roman" w:eastAsia="Times New Roman" w:hAnsi="Times New Roman" w:cs="Times New Roman"/>
              </w:rPr>
            </w:pPr>
          </w:p>
        </w:tc>
        <w:tc>
          <w:tcPr>
            <w:tcW w:w="2693" w:type="dxa"/>
            <w:tcBorders>
              <w:top w:val="nil"/>
              <w:left w:val="nil"/>
              <w:bottom w:val="nil"/>
              <w:right w:val="nil"/>
            </w:tcBorders>
            <w:shd w:val="clear" w:color="auto" w:fill="auto"/>
            <w:tcMar>
              <w:top w:w="100" w:type="dxa"/>
              <w:left w:w="100" w:type="dxa"/>
              <w:bottom w:w="100" w:type="dxa"/>
              <w:right w:w="100" w:type="dxa"/>
            </w:tcMar>
          </w:tcPr>
          <w:p w14:paraId="0000024D" w14:textId="77777777" w:rsidR="00DF5838" w:rsidRPr="001C6F50" w:rsidRDefault="007E2DD6" w:rsidP="00DF5838">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44"/>
                <w:id w:val="464790006"/>
              </w:sdtPr>
              <w:sdtEndPr/>
              <w:sdtContent>
                <w:r w:rsidR="00DF5838" w:rsidRPr="001C6F50">
                  <w:rPr>
                    <w:rFonts w:ascii="Times New Roman" w:eastAsia="Cardo" w:hAnsi="Times New Roman" w:cs="Times New Roman"/>
                  </w:rPr>
                  <w:t>Participants with both habits (Dinner immediately before bed and snacks after dinner) had ↑ BMIs.</w:t>
                </w:r>
              </w:sdtContent>
            </w:sdt>
          </w:p>
        </w:tc>
      </w:tr>
      <w:tr w:rsidR="00DF5838" w14:paraId="18AB692B" w14:textId="77777777" w:rsidTr="00B750A9">
        <w:trPr>
          <w:trHeight w:val="412"/>
        </w:trPr>
        <w:tc>
          <w:tcPr>
            <w:tcW w:w="13892" w:type="dxa"/>
            <w:gridSpan w:val="8"/>
            <w:tcBorders>
              <w:top w:val="nil"/>
              <w:left w:val="nil"/>
              <w:bottom w:val="nil"/>
              <w:right w:val="nil"/>
            </w:tcBorders>
            <w:shd w:val="clear" w:color="auto" w:fill="F79646" w:themeFill="accent6"/>
          </w:tcPr>
          <w:p w14:paraId="0000024E" w14:textId="28652758" w:rsidR="00DF5838" w:rsidRDefault="00DF5838" w:rsidP="00DF583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Studies showing no relationships between late eating and body weight.</w:t>
            </w:r>
          </w:p>
        </w:tc>
      </w:tr>
      <w:tr w:rsidR="00DF5838" w:rsidRPr="001C6F50" w14:paraId="4456E7F1" w14:textId="77777777" w:rsidTr="00C16E22">
        <w:trPr>
          <w:trHeight w:val="2229"/>
        </w:trPr>
        <w:tc>
          <w:tcPr>
            <w:tcW w:w="1014" w:type="dxa"/>
            <w:tcBorders>
              <w:top w:val="nil"/>
              <w:left w:val="nil"/>
              <w:bottom w:val="nil"/>
              <w:right w:val="nil"/>
            </w:tcBorders>
            <w:shd w:val="clear" w:color="auto" w:fill="auto"/>
            <w:tcMar>
              <w:top w:w="100" w:type="dxa"/>
              <w:left w:w="100" w:type="dxa"/>
              <w:bottom w:w="100" w:type="dxa"/>
              <w:right w:w="100" w:type="dxa"/>
            </w:tcMar>
          </w:tcPr>
          <w:p w14:paraId="00000255" w14:textId="77777777" w:rsidR="00DF5838" w:rsidRPr="001C6F50" w:rsidRDefault="007E2DD6" w:rsidP="00DF5838">
            <w:pPr>
              <w:widowControl w:val="0"/>
              <w:spacing w:line="240" w:lineRule="auto"/>
              <w:rPr>
                <w:rFonts w:ascii="Times New Roman" w:eastAsia="Times New Roman" w:hAnsi="Times New Roman" w:cs="Times New Roman"/>
              </w:rPr>
            </w:pPr>
            <w:hyperlink r:id="rId305">
              <w:r w:rsidR="00DF5838" w:rsidRPr="001C6F50">
                <w:rPr>
                  <w:rFonts w:ascii="Times New Roman" w:eastAsia="Times New Roman" w:hAnsi="Times New Roman" w:cs="Times New Roman"/>
                </w:rPr>
                <w:t>(Jacob et al., 2023)</w:t>
              </w:r>
            </w:hyperlink>
          </w:p>
        </w:tc>
        <w:tc>
          <w:tcPr>
            <w:tcW w:w="1113" w:type="dxa"/>
            <w:tcBorders>
              <w:top w:val="nil"/>
              <w:left w:val="nil"/>
              <w:bottom w:val="nil"/>
              <w:right w:val="nil"/>
            </w:tcBorders>
            <w:shd w:val="clear" w:color="auto" w:fill="auto"/>
            <w:tcMar>
              <w:top w:w="100" w:type="dxa"/>
              <w:left w:w="100" w:type="dxa"/>
              <w:bottom w:w="100" w:type="dxa"/>
              <w:right w:w="100" w:type="dxa"/>
            </w:tcMar>
          </w:tcPr>
          <w:p w14:paraId="00000256"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301 adults with obesity</w:t>
            </w:r>
          </w:p>
        </w:tc>
        <w:tc>
          <w:tcPr>
            <w:tcW w:w="992" w:type="dxa"/>
            <w:tcBorders>
              <w:top w:val="nil"/>
              <w:left w:val="nil"/>
              <w:bottom w:val="nil"/>
              <w:right w:val="nil"/>
            </w:tcBorders>
          </w:tcPr>
          <w:p w14:paraId="4295C884" w14:textId="22DAECED" w:rsidR="00DF5838" w:rsidRPr="001C6F50" w:rsidRDefault="00DF5838" w:rsidP="00DF583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Canada</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57" w14:textId="4BACE338"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843" w:type="dxa"/>
            <w:tcBorders>
              <w:top w:val="nil"/>
              <w:left w:val="nil"/>
              <w:bottom w:val="nil"/>
              <w:right w:val="nil"/>
            </w:tcBorders>
            <w:shd w:val="clear" w:color="auto" w:fill="auto"/>
            <w:tcMar>
              <w:top w:w="100" w:type="dxa"/>
              <w:left w:w="100" w:type="dxa"/>
              <w:bottom w:w="100" w:type="dxa"/>
              <w:right w:w="100" w:type="dxa"/>
            </w:tcMar>
          </w:tcPr>
          <w:p w14:paraId="00000258"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3-day food diary</w:t>
            </w:r>
          </w:p>
        </w:tc>
        <w:tc>
          <w:tcPr>
            <w:tcW w:w="2126" w:type="dxa"/>
            <w:tcBorders>
              <w:top w:val="nil"/>
              <w:left w:val="nil"/>
              <w:bottom w:val="nil"/>
              <w:right w:val="nil"/>
            </w:tcBorders>
            <w:shd w:val="clear" w:color="auto" w:fill="auto"/>
            <w:tcMar>
              <w:top w:w="100" w:type="dxa"/>
              <w:left w:w="100" w:type="dxa"/>
              <w:bottom w:w="100" w:type="dxa"/>
              <w:right w:w="100" w:type="dxa"/>
            </w:tcMar>
          </w:tcPr>
          <w:p w14:paraId="00000259"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8 PM</w:t>
            </w:r>
          </w:p>
        </w:tc>
        <w:tc>
          <w:tcPr>
            <w:tcW w:w="2552" w:type="dxa"/>
            <w:tcBorders>
              <w:top w:val="nil"/>
              <w:left w:val="nil"/>
              <w:bottom w:val="nil"/>
              <w:right w:val="nil"/>
            </w:tcBorders>
            <w:shd w:val="clear" w:color="auto" w:fill="auto"/>
            <w:tcMar>
              <w:top w:w="100" w:type="dxa"/>
              <w:left w:w="100" w:type="dxa"/>
              <w:bottom w:w="100" w:type="dxa"/>
              <w:right w:w="100" w:type="dxa"/>
            </w:tcMar>
          </w:tcPr>
          <w:p w14:paraId="0000025A"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p w14:paraId="0000025B"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3-day food diary</w:t>
            </w:r>
          </w:p>
          <w:p w14:paraId="0000025C"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Eating behaviour traits: evaluated by questionnaires</w:t>
            </w:r>
          </w:p>
        </w:tc>
        <w:tc>
          <w:tcPr>
            <w:tcW w:w="2693" w:type="dxa"/>
            <w:tcBorders>
              <w:top w:val="nil"/>
              <w:left w:val="nil"/>
              <w:bottom w:val="nil"/>
              <w:right w:val="nil"/>
            </w:tcBorders>
            <w:shd w:val="clear" w:color="auto" w:fill="auto"/>
            <w:tcMar>
              <w:top w:w="100" w:type="dxa"/>
              <w:left w:w="100" w:type="dxa"/>
              <w:bottom w:w="100" w:type="dxa"/>
              <w:right w:w="100" w:type="dxa"/>
            </w:tcMar>
          </w:tcPr>
          <w:p w14:paraId="0000025D"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No associations between late eating and higher BMI.</w:t>
            </w:r>
          </w:p>
          <w:p w14:paraId="0000025E" w14:textId="77777777" w:rsidR="00DF5838" w:rsidRPr="001C6F50" w:rsidRDefault="007E2DD6" w:rsidP="00DF5838">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45"/>
                <w:id w:val="98309147"/>
              </w:sdtPr>
              <w:sdtEndPr/>
              <w:sdtContent>
                <w:r w:rsidR="00DF5838" w:rsidRPr="001C6F50">
                  <w:rPr>
                    <w:rFonts w:ascii="Times New Roman" w:eastAsia="Cardo" w:hAnsi="Times New Roman" w:cs="Times New Roman"/>
                  </w:rPr>
                  <w:t>Percent total energy intake after 8 PM was associated with↑ total energy intake.</w:t>
                </w:r>
              </w:sdtContent>
            </w:sdt>
          </w:p>
          <w:p w14:paraId="0000025F" w14:textId="77777777" w:rsidR="00DF5838" w:rsidRPr="001C6F50" w:rsidRDefault="007E2DD6" w:rsidP="00DF5838">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46"/>
                <w:id w:val="-1760669482"/>
              </w:sdtPr>
              <w:sdtEndPr/>
              <w:sdtContent>
                <w:r w:rsidR="00DF5838" w:rsidRPr="001C6F50">
                  <w:rPr>
                    <w:rFonts w:ascii="Times New Roman" w:eastAsia="Cardo" w:hAnsi="Times New Roman" w:cs="Times New Roman"/>
                  </w:rPr>
                  <w:t>↑ Percent total energy intake after 8 PM was associated with susceptibility to hunger, stress and anxiety.</w:t>
                </w:r>
              </w:sdtContent>
            </w:sdt>
          </w:p>
        </w:tc>
      </w:tr>
      <w:tr w:rsidR="00DF5838" w:rsidRPr="001C6F50" w14:paraId="550CF412" w14:textId="77777777" w:rsidTr="00C16E22">
        <w:trPr>
          <w:trHeight w:val="486"/>
        </w:trPr>
        <w:tc>
          <w:tcPr>
            <w:tcW w:w="1014" w:type="dxa"/>
            <w:tcBorders>
              <w:top w:val="nil"/>
              <w:left w:val="nil"/>
              <w:bottom w:val="nil"/>
              <w:right w:val="nil"/>
            </w:tcBorders>
            <w:shd w:val="clear" w:color="auto" w:fill="auto"/>
            <w:tcMar>
              <w:top w:w="100" w:type="dxa"/>
              <w:left w:w="100" w:type="dxa"/>
              <w:bottom w:w="100" w:type="dxa"/>
              <w:right w:w="100" w:type="dxa"/>
            </w:tcMar>
          </w:tcPr>
          <w:p w14:paraId="00000260" w14:textId="77777777" w:rsidR="00DF5838" w:rsidRPr="001C6F50" w:rsidRDefault="007E2DD6" w:rsidP="00DF5838">
            <w:pPr>
              <w:widowControl w:val="0"/>
              <w:spacing w:line="240" w:lineRule="auto"/>
              <w:rPr>
                <w:rFonts w:ascii="Times New Roman" w:eastAsia="Times New Roman" w:hAnsi="Times New Roman" w:cs="Times New Roman"/>
              </w:rPr>
            </w:pPr>
            <w:hyperlink r:id="rId306">
              <w:r w:rsidR="00DF5838" w:rsidRPr="001C6F50">
                <w:rPr>
                  <w:rFonts w:ascii="Times New Roman" w:eastAsia="Times New Roman" w:hAnsi="Times New Roman" w:cs="Times New Roman"/>
                </w:rPr>
                <w:t>(Kant et al., 1997)</w:t>
              </w:r>
            </w:hyperlink>
          </w:p>
        </w:tc>
        <w:tc>
          <w:tcPr>
            <w:tcW w:w="1113" w:type="dxa"/>
            <w:tcBorders>
              <w:top w:val="nil"/>
              <w:left w:val="nil"/>
              <w:bottom w:val="nil"/>
              <w:right w:val="nil"/>
            </w:tcBorders>
            <w:shd w:val="clear" w:color="auto" w:fill="auto"/>
            <w:tcMar>
              <w:top w:w="100" w:type="dxa"/>
              <w:left w:w="100" w:type="dxa"/>
              <w:bottom w:w="100" w:type="dxa"/>
              <w:right w:w="100" w:type="dxa"/>
            </w:tcMar>
          </w:tcPr>
          <w:p w14:paraId="00000261"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2580 men and 4567 women</w:t>
            </w:r>
          </w:p>
        </w:tc>
        <w:tc>
          <w:tcPr>
            <w:tcW w:w="992" w:type="dxa"/>
            <w:tcBorders>
              <w:top w:val="nil"/>
              <w:left w:val="nil"/>
              <w:bottom w:val="nil"/>
              <w:right w:val="nil"/>
            </w:tcBorders>
          </w:tcPr>
          <w:p w14:paraId="602B3991" w14:textId="7B020A14" w:rsidR="00DF5838" w:rsidRPr="001C6F50" w:rsidRDefault="00DF5838" w:rsidP="00DF583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USA</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62" w14:textId="073A3C62"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843" w:type="dxa"/>
            <w:tcBorders>
              <w:top w:val="nil"/>
              <w:left w:val="nil"/>
              <w:bottom w:val="nil"/>
              <w:right w:val="nil"/>
            </w:tcBorders>
            <w:shd w:val="clear" w:color="auto" w:fill="auto"/>
            <w:tcMar>
              <w:top w:w="100" w:type="dxa"/>
              <w:left w:w="100" w:type="dxa"/>
              <w:bottom w:w="100" w:type="dxa"/>
              <w:right w:w="100" w:type="dxa"/>
            </w:tcMar>
          </w:tcPr>
          <w:p w14:paraId="00000263"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24-hour food diary</w:t>
            </w:r>
          </w:p>
        </w:tc>
        <w:tc>
          <w:tcPr>
            <w:tcW w:w="2126" w:type="dxa"/>
            <w:tcBorders>
              <w:top w:val="nil"/>
              <w:left w:val="nil"/>
              <w:bottom w:val="nil"/>
              <w:right w:val="nil"/>
            </w:tcBorders>
            <w:shd w:val="clear" w:color="auto" w:fill="auto"/>
            <w:tcMar>
              <w:top w:w="100" w:type="dxa"/>
              <w:left w:w="100" w:type="dxa"/>
              <w:bottom w:w="100" w:type="dxa"/>
              <w:right w:w="100" w:type="dxa"/>
            </w:tcMar>
          </w:tcPr>
          <w:p w14:paraId="00000264"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5 PM</w:t>
            </w:r>
          </w:p>
        </w:tc>
        <w:tc>
          <w:tcPr>
            <w:tcW w:w="2552" w:type="dxa"/>
            <w:tcBorders>
              <w:top w:val="nil"/>
              <w:left w:val="nil"/>
              <w:bottom w:val="nil"/>
              <w:right w:val="nil"/>
            </w:tcBorders>
            <w:shd w:val="clear" w:color="auto" w:fill="auto"/>
            <w:tcMar>
              <w:top w:w="100" w:type="dxa"/>
              <w:left w:w="100" w:type="dxa"/>
              <w:bottom w:w="100" w:type="dxa"/>
              <w:right w:w="100" w:type="dxa"/>
            </w:tcMar>
          </w:tcPr>
          <w:p w14:paraId="00000265"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NHANES data set: objectively measured height, weight</w:t>
            </w:r>
          </w:p>
          <w:p w14:paraId="00000266"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a single 24-h dietary recall</w:t>
            </w:r>
          </w:p>
        </w:tc>
        <w:tc>
          <w:tcPr>
            <w:tcW w:w="2693" w:type="dxa"/>
            <w:tcBorders>
              <w:top w:val="nil"/>
              <w:left w:val="nil"/>
              <w:bottom w:val="nil"/>
              <w:right w:val="nil"/>
            </w:tcBorders>
            <w:shd w:val="clear" w:color="auto" w:fill="auto"/>
            <w:tcMar>
              <w:top w:w="100" w:type="dxa"/>
              <w:left w:w="100" w:type="dxa"/>
              <w:bottom w:w="100" w:type="dxa"/>
              <w:right w:w="100" w:type="dxa"/>
            </w:tcMar>
          </w:tcPr>
          <w:p w14:paraId="00000267" w14:textId="0C6F97EB"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No relation</w:t>
            </w:r>
            <w:r>
              <w:rPr>
                <w:rFonts w:ascii="Times New Roman" w:eastAsia="Times New Roman" w:hAnsi="Times New Roman" w:cs="Times New Roman"/>
              </w:rPr>
              <w:t>ships</w:t>
            </w:r>
            <w:r w:rsidRPr="001C6F50">
              <w:rPr>
                <w:rFonts w:ascii="Times New Roman" w:eastAsia="Times New Roman" w:hAnsi="Times New Roman" w:cs="Times New Roman"/>
              </w:rPr>
              <w:t xml:space="preserve"> between percent energy from evening food intake and weight change.</w:t>
            </w:r>
          </w:p>
        </w:tc>
      </w:tr>
      <w:tr w:rsidR="00DF5838" w:rsidRPr="001C6F50" w14:paraId="6CFC497A" w14:textId="77777777" w:rsidTr="00C16E22">
        <w:trPr>
          <w:trHeight w:val="984"/>
        </w:trPr>
        <w:tc>
          <w:tcPr>
            <w:tcW w:w="1014" w:type="dxa"/>
            <w:tcBorders>
              <w:top w:val="nil"/>
              <w:left w:val="nil"/>
              <w:bottom w:val="nil"/>
              <w:right w:val="nil"/>
            </w:tcBorders>
            <w:shd w:val="clear" w:color="auto" w:fill="auto"/>
            <w:tcMar>
              <w:top w:w="100" w:type="dxa"/>
              <w:left w:w="100" w:type="dxa"/>
              <w:bottom w:w="100" w:type="dxa"/>
              <w:right w:w="100" w:type="dxa"/>
            </w:tcMar>
          </w:tcPr>
          <w:p w14:paraId="00000268" w14:textId="77777777" w:rsidR="00DF5838" w:rsidRPr="001C6F50" w:rsidRDefault="007E2DD6" w:rsidP="00DF5838">
            <w:pPr>
              <w:widowControl w:val="0"/>
              <w:spacing w:line="240" w:lineRule="auto"/>
              <w:rPr>
                <w:rFonts w:ascii="Times New Roman" w:eastAsia="Times New Roman" w:hAnsi="Times New Roman" w:cs="Times New Roman"/>
              </w:rPr>
            </w:pPr>
            <w:hyperlink r:id="rId307">
              <w:r w:rsidR="00DF5838" w:rsidRPr="001C6F50">
                <w:rPr>
                  <w:rFonts w:ascii="Times New Roman" w:eastAsia="Times New Roman" w:hAnsi="Times New Roman" w:cs="Times New Roman"/>
                </w:rPr>
                <w:t>(</w:t>
              </w:r>
              <w:proofErr w:type="spellStart"/>
              <w:r w:rsidR="00DF5838" w:rsidRPr="001C6F50">
                <w:rPr>
                  <w:rFonts w:ascii="Times New Roman" w:eastAsia="Times New Roman" w:hAnsi="Times New Roman" w:cs="Times New Roman"/>
                </w:rPr>
                <w:t>Kito</w:t>
              </w:r>
              <w:proofErr w:type="spellEnd"/>
              <w:r w:rsidR="00DF5838" w:rsidRPr="001C6F50">
                <w:rPr>
                  <w:rFonts w:ascii="Times New Roman" w:eastAsia="Times New Roman" w:hAnsi="Times New Roman" w:cs="Times New Roman"/>
                </w:rPr>
                <w:t xml:space="preserve"> et al., 2019)</w:t>
              </w:r>
            </w:hyperlink>
          </w:p>
        </w:tc>
        <w:tc>
          <w:tcPr>
            <w:tcW w:w="1113" w:type="dxa"/>
            <w:tcBorders>
              <w:top w:val="nil"/>
              <w:left w:val="nil"/>
              <w:bottom w:val="nil"/>
              <w:right w:val="nil"/>
            </w:tcBorders>
            <w:shd w:val="clear" w:color="auto" w:fill="auto"/>
            <w:tcMar>
              <w:top w:w="100" w:type="dxa"/>
              <w:left w:w="100" w:type="dxa"/>
              <w:bottom w:w="100" w:type="dxa"/>
              <w:right w:w="100" w:type="dxa"/>
            </w:tcMar>
          </w:tcPr>
          <w:p w14:paraId="00000269" w14:textId="3FE21FFE"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45524 adults</w:t>
            </w:r>
          </w:p>
        </w:tc>
        <w:tc>
          <w:tcPr>
            <w:tcW w:w="992" w:type="dxa"/>
            <w:tcBorders>
              <w:top w:val="nil"/>
              <w:left w:val="nil"/>
              <w:bottom w:val="nil"/>
              <w:right w:val="nil"/>
            </w:tcBorders>
          </w:tcPr>
          <w:p w14:paraId="0BEC3046" w14:textId="25BE6C08" w:rsidR="00DF5838" w:rsidRPr="001C6F50" w:rsidRDefault="00DF5838" w:rsidP="00DF583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Japan</w:t>
            </w:r>
          </w:p>
        </w:tc>
        <w:tc>
          <w:tcPr>
            <w:tcW w:w="1559" w:type="dxa"/>
            <w:tcBorders>
              <w:top w:val="nil"/>
              <w:left w:val="nil"/>
              <w:bottom w:val="nil"/>
              <w:right w:val="nil"/>
            </w:tcBorders>
            <w:shd w:val="clear" w:color="auto" w:fill="auto"/>
            <w:tcMar>
              <w:top w:w="100" w:type="dxa"/>
              <w:left w:w="100" w:type="dxa"/>
              <w:bottom w:w="100" w:type="dxa"/>
              <w:right w:w="100" w:type="dxa"/>
            </w:tcMar>
          </w:tcPr>
          <w:p w14:paraId="0000026A" w14:textId="754C51D4"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843" w:type="dxa"/>
            <w:tcBorders>
              <w:top w:val="nil"/>
              <w:left w:val="nil"/>
              <w:bottom w:val="nil"/>
              <w:right w:val="nil"/>
            </w:tcBorders>
            <w:shd w:val="clear" w:color="auto" w:fill="auto"/>
            <w:tcMar>
              <w:top w:w="100" w:type="dxa"/>
              <w:left w:w="100" w:type="dxa"/>
              <w:bottom w:w="100" w:type="dxa"/>
              <w:right w:w="100" w:type="dxa"/>
            </w:tcMar>
          </w:tcPr>
          <w:p w14:paraId="0000026B"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Questionnaire  </w:t>
            </w:r>
          </w:p>
        </w:tc>
        <w:tc>
          <w:tcPr>
            <w:tcW w:w="2126" w:type="dxa"/>
            <w:tcBorders>
              <w:top w:val="nil"/>
              <w:left w:val="nil"/>
              <w:bottom w:val="nil"/>
              <w:right w:val="nil"/>
            </w:tcBorders>
            <w:shd w:val="clear" w:color="auto" w:fill="auto"/>
            <w:tcMar>
              <w:top w:w="100" w:type="dxa"/>
              <w:left w:w="100" w:type="dxa"/>
              <w:bottom w:w="100" w:type="dxa"/>
              <w:right w:w="100" w:type="dxa"/>
            </w:tcMar>
          </w:tcPr>
          <w:p w14:paraId="0000026C"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Having dinner within 2 h of bedtime 3 or more days per week</w:t>
            </w:r>
          </w:p>
        </w:tc>
        <w:tc>
          <w:tcPr>
            <w:tcW w:w="2552" w:type="dxa"/>
            <w:tcBorders>
              <w:top w:val="nil"/>
              <w:left w:val="nil"/>
              <w:bottom w:val="nil"/>
              <w:right w:val="nil"/>
            </w:tcBorders>
            <w:shd w:val="clear" w:color="auto" w:fill="auto"/>
            <w:tcMar>
              <w:top w:w="100" w:type="dxa"/>
              <w:left w:w="100" w:type="dxa"/>
              <w:bottom w:w="100" w:type="dxa"/>
              <w:right w:w="100" w:type="dxa"/>
            </w:tcMar>
          </w:tcPr>
          <w:p w14:paraId="0000026D"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self-reported height, weight and calculated BMI</w:t>
            </w:r>
          </w:p>
          <w:p w14:paraId="0000026E" w14:textId="77777777" w:rsidR="00DF5838" w:rsidRPr="001C6F50" w:rsidRDefault="00DF5838" w:rsidP="00DF5838">
            <w:pPr>
              <w:widowControl w:val="0"/>
              <w:spacing w:line="240" w:lineRule="auto"/>
              <w:rPr>
                <w:rFonts w:ascii="Times New Roman" w:eastAsia="Times New Roman" w:hAnsi="Times New Roman" w:cs="Times New Roman"/>
              </w:rPr>
            </w:pPr>
          </w:p>
        </w:tc>
        <w:tc>
          <w:tcPr>
            <w:tcW w:w="2693" w:type="dxa"/>
            <w:tcBorders>
              <w:top w:val="nil"/>
              <w:left w:val="nil"/>
              <w:bottom w:val="nil"/>
              <w:right w:val="nil"/>
            </w:tcBorders>
            <w:shd w:val="clear" w:color="auto" w:fill="auto"/>
            <w:tcMar>
              <w:top w:w="100" w:type="dxa"/>
              <w:left w:w="100" w:type="dxa"/>
              <w:bottom w:w="100" w:type="dxa"/>
              <w:right w:w="100" w:type="dxa"/>
            </w:tcMar>
          </w:tcPr>
          <w:p w14:paraId="0000026F" w14:textId="77777777" w:rsidR="00DF5838" w:rsidRPr="001C6F50" w:rsidRDefault="00DF5838" w:rsidP="00DF5838">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Participants who did have dinner within 2 h of bedtime were not prone to be with overweight.</w:t>
            </w:r>
          </w:p>
        </w:tc>
      </w:tr>
    </w:tbl>
    <w:tbl>
      <w:tblPr>
        <w:tblW w:w="14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5"/>
        <w:gridCol w:w="1103"/>
        <w:gridCol w:w="1134"/>
        <w:gridCol w:w="1560"/>
        <w:gridCol w:w="1550"/>
        <w:gridCol w:w="2073"/>
        <w:gridCol w:w="2851"/>
        <w:gridCol w:w="2592"/>
      </w:tblGrid>
      <w:tr w:rsidR="00DF5838" w:rsidRPr="001C6F50" w14:paraId="6A59B8A1" w14:textId="77777777" w:rsidTr="007B45A8">
        <w:trPr>
          <w:trHeight w:val="713"/>
        </w:trPr>
        <w:tc>
          <w:tcPr>
            <w:tcW w:w="1165" w:type="dxa"/>
            <w:tcBorders>
              <w:top w:val="nil"/>
              <w:left w:val="nil"/>
              <w:bottom w:val="nil"/>
              <w:right w:val="nil"/>
            </w:tcBorders>
            <w:shd w:val="clear" w:color="auto" w:fill="auto"/>
            <w:tcMar>
              <w:top w:w="100" w:type="dxa"/>
              <w:left w:w="100" w:type="dxa"/>
              <w:bottom w:w="100" w:type="dxa"/>
              <w:right w:w="100" w:type="dxa"/>
            </w:tcMar>
          </w:tcPr>
          <w:p w14:paraId="5589704A" w14:textId="77777777" w:rsidR="00DF5838" w:rsidRPr="001C6F50" w:rsidRDefault="007E2DD6" w:rsidP="00B64CA5">
            <w:pPr>
              <w:widowControl w:val="0"/>
              <w:spacing w:line="240" w:lineRule="auto"/>
              <w:rPr>
                <w:rFonts w:ascii="Times New Roman" w:eastAsia="Times New Roman" w:hAnsi="Times New Roman" w:cs="Times New Roman"/>
              </w:rPr>
            </w:pPr>
            <w:hyperlink r:id="rId308">
              <w:r w:rsidR="00DF5838" w:rsidRPr="001C6F50">
                <w:rPr>
                  <w:rFonts w:ascii="Times New Roman" w:eastAsia="Times New Roman" w:hAnsi="Times New Roman" w:cs="Times New Roman"/>
                </w:rPr>
                <w:t>(Lee et al., 2016)</w:t>
              </w:r>
            </w:hyperlink>
          </w:p>
        </w:tc>
        <w:tc>
          <w:tcPr>
            <w:tcW w:w="1103" w:type="dxa"/>
            <w:tcBorders>
              <w:top w:val="nil"/>
              <w:left w:val="nil"/>
              <w:bottom w:val="nil"/>
              <w:right w:val="nil"/>
            </w:tcBorders>
            <w:shd w:val="clear" w:color="auto" w:fill="auto"/>
            <w:tcMar>
              <w:top w:w="100" w:type="dxa"/>
              <w:left w:w="100" w:type="dxa"/>
              <w:bottom w:w="100" w:type="dxa"/>
              <w:right w:w="100" w:type="dxa"/>
            </w:tcMar>
          </w:tcPr>
          <w:p w14:paraId="14A5A5F8"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4249 adults</w:t>
            </w:r>
          </w:p>
        </w:tc>
        <w:tc>
          <w:tcPr>
            <w:tcW w:w="1134" w:type="dxa"/>
            <w:tcBorders>
              <w:top w:val="nil"/>
              <w:left w:val="nil"/>
              <w:bottom w:val="nil"/>
              <w:right w:val="nil"/>
            </w:tcBorders>
          </w:tcPr>
          <w:p w14:paraId="31DCE1D4" w14:textId="77777777" w:rsidR="00DF5838" w:rsidRPr="001C6F50"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Japan</w:t>
            </w:r>
          </w:p>
        </w:tc>
        <w:tc>
          <w:tcPr>
            <w:tcW w:w="1560" w:type="dxa"/>
            <w:tcBorders>
              <w:top w:val="nil"/>
              <w:left w:val="nil"/>
              <w:bottom w:val="nil"/>
              <w:right w:val="nil"/>
            </w:tcBorders>
            <w:shd w:val="clear" w:color="auto" w:fill="auto"/>
            <w:tcMar>
              <w:top w:w="100" w:type="dxa"/>
              <w:left w:w="100" w:type="dxa"/>
              <w:bottom w:w="100" w:type="dxa"/>
              <w:right w:w="100" w:type="dxa"/>
            </w:tcMar>
          </w:tcPr>
          <w:p w14:paraId="01D0477A"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50" w:type="dxa"/>
            <w:tcBorders>
              <w:top w:val="nil"/>
              <w:left w:val="nil"/>
              <w:bottom w:val="nil"/>
              <w:right w:val="nil"/>
            </w:tcBorders>
            <w:shd w:val="clear" w:color="auto" w:fill="auto"/>
            <w:tcMar>
              <w:top w:w="100" w:type="dxa"/>
              <w:left w:w="100" w:type="dxa"/>
              <w:bottom w:w="100" w:type="dxa"/>
              <w:right w:w="100" w:type="dxa"/>
            </w:tcMar>
          </w:tcPr>
          <w:p w14:paraId="2E52D569"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 xml:space="preserve">Questionnaire  </w:t>
            </w:r>
          </w:p>
        </w:tc>
        <w:tc>
          <w:tcPr>
            <w:tcW w:w="2073" w:type="dxa"/>
            <w:tcBorders>
              <w:top w:val="nil"/>
              <w:left w:val="nil"/>
              <w:bottom w:val="nil"/>
              <w:right w:val="nil"/>
            </w:tcBorders>
            <w:shd w:val="clear" w:color="auto" w:fill="auto"/>
            <w:tcMar>
              <w:top w:w="100" w:type="dxa"/>
              <w:left w:w="100" w:type="dxa"/>
              <w:bottom w:w="100" w:type="dxa"/>
              <w:right w:w="100" w:type="dxa"/>
            </w:tcMar>
          </w:tcPr>
          <w:p w14:paraId="3AD1D891"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Not specified</w:t>
            </w:r>
          </w:p>
        </w:tc>
        <w:tc>
          <w:tcPr>
            <w:tcW w:w="2851" w:type="dxa"/>
            <w:tcBorders>
              <w:top w:val="nil"/>
              <w:left w:val="nil"/>
              <w:bottom w:val="nil"/>
              <w:right w:val="nil"/>
            </w:tcBorders>
            <w:shd w:val="clear" w:color="auto" w:fill="auto"/>
            <w:tcMar>
              <w:top w:w="100" w:type="dxa"/>
              <w:left w:w="100" w:type="dxa"/>
              <w:bottom w:w="100" w:type="dxa"/>
              <w:right w:w="100" w:type="dxa"/>
            </w:tcMar>
          </w:tcPr>
          <w:p w14:paraId="1F6DFEBB"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self-reported height, weight and calculated BMI</w:t>
            </w:r>
          </w:p>
        </w:tc>
        <w:tc>
          <w:tcPr>
            <w:tcW w:w="2592" w:type="dxa"/>
            <w:tcBorders>
              <w:top w:val="nil"/>
              <w:left w:val="nil"/>
              <w:bottom w:val="nil"/>
              <w:right w:val="nil"/>
            </w:tcBorders>
            <w:shd w:val="clear" w:color="auto" w:fill="auto"/>
            <w:tcMar>
              <w:top w:w="100" w:type="dxa"/>
              <w:left w:w="100" w:type="dxa"/>
              <w:bottom w:w="100" w:type="dxa"/>
              <w:right w:w="100" w:type="dxa"/>
            </w:tcMar>
          </w:tcPr>
          <w:p w14:paraId="59D20D6B"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Later evening meals were not significantly associated with being overweight.</w:t>
            </w:r>
          </w:p>
        </w:tc>
      </w:tr>
      <w:tr w:rsidR="00DF5838" w:rsidRPr="001C6F50" w14:paraId="71DC41F0" w14:textId="77777777" w:rsidTr="007B45A8">
        <w:trPr>
          <w:trHeight w:val="954"/>
        </w:trPr>
        <w:tc>
          <w:tcPr>
            <w:tcW w:w="1165" w:type="dxa"/>
            <w:tcBorders>
              <w:top w:val="nil"/>
              <w:left w:val="nil"/>
              <w:bottom w:val="nil"/>
              <w:right w:val="nil"/>
            </w:tcBorders>
            <w:shd w:val="clear" w:color="auto" w:fill="auto"/>
            <w:tcMar>
              <w:top w:w="100" w:type="dxa"/>
              <w:left w:w="100" w:type="dxa"/>
              <w:bottom w:w="100" w:type="dxa"/>
              <w:right w:w="100" w:type="dxa"/>
            </w:tcMar>
          </w:tcPr>
          <w:p w14:paraId="0F0CF4DF" w14:textId="77777777" w:rsidR="00DF5838" w:rsidRPr="001C6F50" w:rsidRDefault="007E2DD6" w:rsidP="00B64CA5">
            <w:pPr>
              <w:widowControl w:val="0"/>
              <w:spacing w:line="240" w:lineRule="auto"/>
              <w:rPr>
                <w:rFonts w:ascii="Times New Roman" w:eastAsia="Times New Roman" w:hAnsi="Times New Roman" w:cs="Times New Roman"/>
              </w:rPr>
            </w:pPr>
            <w:hyperlink r:id="rId309">
              <w:r w:rsidR="00DF5838" w:rsidRPr="001C6F50">
                <w:rPr>
                  <w:rFonts w:ascii="Times New Roman" w:eastAsia="Times New Roman" w:hAnsi="Times New Roman" w:cs="Times New Roman"/>
                </w:rPr>
                <w:t>(</w:t>
              </w:r>
              <w:proofErr w:type="spellStart"/>
              <w:r w:rsidR="00DF5838" w:rsidRPr="001C6F50">
                <w:rPr>
                  <w:rFonts w:ascii="Times New Roman" w:eastAsia="Times New Roman" w:hAnsi="Times New Roman" w:cs="Times New Roman"/>
                </w:rPr>
                <w:t>Mogensen</w:t>
              </w:r>
              <w:proofErr w:type="spellEnd"/>
              <w:r w:rsidR="00DF5838" w:rsidRPr="001C6F50">
                <w:rPr>
                  <w:rFonts w:ascii="Times New Roman" w:eastAsia="Times New Roman" w:hAnsi="Times New Roman" w:cs="Times New Roman"/>
                </w:rPr>
                <w:t xml:space="preserve"> et al., 2020)</w:t>
              </w:r>
            </w:hyperlink>
          </w:p>
        </w:tc>
        <w:tc>
          <w:tcPr>
            <w:tcW w:w="1103" w:type="dxa"/>
            <w:tcBorders>
              <w:top w:val="nil"/>
              <w:left w:val="nil"/>
              <w:bottom w:val="nil"/>
              <w:right w:val="nil"/>
            </w:tcBorders>
            <w:shd w:val="clear" w:color="auto" w:fill="auto"/>
            <w:tcMar>
              <w:top w:w="100" w:type="dxa"/>
              <w:left w:w="100" w:type="dxa"/>
              <w:bottom w:w="100" w:type="dxa"/>
              <w:right w:w="100" w:type="dxa"/>
            </w:tcMar>
          </w:tcPr>
          <w:p w14:paraId="7F1AD691"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120 adults</w:t>
            </w:r>
          </w:p>
        </w:tc>
        <w:tc>
          <w:tcPr>
            <w:tcW w:w="1134" w:type="dxa"/>
            <w:tcBorders>
              <w:top w:val="nil"/>
              <w:left w:val="nil"/>
              <w:bottom w:val="nil"/>
              <w:right w:val="nil"/>
            </w:tcBorders>
          </w:tcPr>
          <w:p w14:paraId="43A6646C" w14:textId="77777777" w:rsidR="00DF5838" w:rsidRPr="001C6F50"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Denmark</w:t>
            </w:r>
          </w:p>
        </w:tc>
        <w:tc>
          <w:tcPr>
            <w:tcW w:w="1560" w:type="dxa"/>
            <w:tcBorders>
              <w:top w:val="nil"/>
              <w:left w:val="nil"/>
              <w:bottom w:val="nil"/>
              <w:right w:val="nil"/>
            </w:tcBorders>
            <w:shd w:val="clear" w:color="auto" w:fill="auto"/>
            <w:tcMar>
              <w:top w:w="100" w:type="dxa"/>
              <w:left w:w="100" w:type="dxa"/>
              <w:bottom w:w="100" w:type="dxa"/>
              <w:right w:w="100" w:type="dxa"/>
            </w:tcMar>
          </w:tcPr>
          <w:p w14:paraId="616764DD"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50" w:type="dxa"/>
            <w:tcBorders>
              <w:top w:val="nil"/>
              <w:left w:val="nil"/>
              <w:bottom w:val="nil"/>
              <w:right w:val="nil"/>
            </w:tcBorders>
            <w:shd w:val="clear" w:color="auto" w:fill="auto"/>
            <w:tcMar>
              <w:top w:w="100" w:type="dxa"/>
              <w:left w:w="100" w:type="dxa"/>
              <w:bottom w:w="100" w:type="dxa"/>
              <w:right w:w="100" w:type="dxa"/>
            </w:tcMar>
          </w:tcPr>
          <w:p w14:paraId="56956620"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3-day food diary</w:t>
            </w:r>
          </w:p>
        </w:tc>
        <w:tc>
          <w:tcPr>
            <w:tcW w:w="2073" w:type="dxa"/>
            <w:tcBorders>
              <w:top w:val="nil"/>
              <w:left w:val="nil"/>
              <w:bottom w:val="nil"/>
              <w:right w:val="nil"/>
            </w:tcBorders>
            <w:shd w:val="clear" w:color="auto" w:fill="auto"/>
            <w:tcMar>
              <w:top w:w="100" w:type="dxa"/>
              <w:left w:w="100" w:type="dxa"/>
              <w:bottom w:w="100" w:type="dxa"/>
              <w:right w:w="100" w:type="dxa"/>
            </w:tcMar>
          </w:tcPr>
          <w:p w14:paraId="3C7BAC6C"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Last meal in the day</w:t>
            </w:r>
          </w:p>
        </w:tc>
        <w:tc>
          <w:tcPr>
            <w:tcW w:w="2851" w:type="dxa"/>
            <w:tcBorders>
              <w:top w:val="nil"/>
              <w:left w:val="nil"/>
              <w:bottom w:val="nil"/>
              <w:right w:val="nil"/>
            </w:tcBorders>
            <w:shd w:val="clear" w:color="auto" w:fill="auto"/>
            <w:tcMar>
              <w:top w:w="100" w:type="dxa"/>
              <w:left w:w="100" w:type="dxa"/>
              <w:bottom w:w="100" w:type="dxa"/>
              <w:right w:w="100" w:type="dxa"/>
            </w:tcMar>
          </w:tcPr>
          <w:p w14:paraId="6F927A0E"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body fat, height, weight and calculated BMI.</w:t>
            </w:r>
          </w:p>
        </w:tc>
        <w:tc>
          <w:tcPr>
            <w:tcW w:w="2592" w:type="dxa"/>
            <w:tcBorders>
              <w:top w:val="nil"/>
              <w:left w:val="nil"/>
              <w:bottom w:val="nil"/>
              <w:right w:val="nil"/>
            </w:tcBorders>
            <w:shd w:val="clear" w:color="auto" w:fill="auto"/>
            <w:tcMar>
              <w:top w:w="100" w:type="dxa"/>
              <w:left w:w="100" w:type="dxa"/>
              <w:bottom w:w="100" w:type="dxa"/>
              <w:right w:w="100" w:type="dxa"/>
            </w:tcMar>
          </w:tcPr>
          <w:p w14:paraId="61616E95"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The time of last meal was not associated with body fat percentage.</w:t>
            </w:r>
          </w:p>
        </w:tc>
      </w:tr>
      <w:tr w:rsidR="00DF5838" w:rsidRPr="001C6F50" w14:paraId="4E43C0C6" w14:textId="77777777" w:rsidTr="007B45A8">
        <w:trPr>
          <w:trHeight w:val="1206"/>
        </w:trPr>
        <w:tc>
          <w:tcPr>
            <w:tcW w:w="1165" w:type="dxa"/>
            <w:tcBorders>
              <w:top w:val="nil"/>
              <w:left w:val="nil"/>
              <w:bottom w:val="nil"/>
              <w:right w:val="nil"/>
            </w:tcBorders>
            <w:shd w:val="clear" w:color="auto" w:fill="auto"/>
            <w:tcMar>
              <w:top w:w="100" w:type="dxa"/>
              <w:left w:w="100" w:type="dxa"/>
              <w:bottom w:w="100" w:type="dxa"/>
              <w:right w:w="100" w:type="dxa"/>
            </w:tcMar>
          </w:tcPr>
          <w:p w14:paraId="29DA7F09" w14:textId="77777777" w:rsidR="00DF5838" w:rsidRPr="001C6F50" w:rsidRDefault="007E2DD6" w:rsidP="00B64CA5">
            <w:pPr>
              <w:widowControl w:val="0"/>
              <w:spacing w:line="240" w:lineRule="auto"/>
              <w:rPr>
                <w:rFonts w:ascii="Times New Roman" w:eastAsia="Times New Roman" w:hAnsi="Times New Roman" w:cs="Times New Roman"/>
              </w:rPr>
            </w:pPr>
            <w:hyperlink r:id="rId310">
              <w:r w:rsidR="00DF5838" w:rsidRPr="001C6F50">
                <w:rPr>
                  <w:rFonts w:ascii="Times New Roman" w:eastAsia="Times New Roman" w:hAnsi="Times New Roman" w:cs="Times New Roman"/>
                </w:rPr>
                <w:t>(Reid et al., 2014)</w:t>
              </w:r>
            </w:hyperlink>
          </w:p>
        </w:tc>
        <w:tc>
          <w:tcPr>
            <w:tcW w:w="1103" w:type="dxa"/>
            <w:tcBorders>
              <w:top w:val="nil"/>
              <w:left w:val="nil"/>
              <w:bottom w:val="nil"/>
              <w:right w:val="nil"/>
            </w:tcBorders>
            <w:shd w:val="clear" w:color="auto" w:fill="auto"/>
            <w:tcMar>
              <w:top w:w="100" w:type="dxa"/>
              <w:left w:w="100" w:type="dxa"/>
              <w:bottom w:w="100" w:type="dxa"/>
              <w:right w:w="100" w:type="dxa"/>
            </w:tcMar>
          </w:tcPr>
          <w:p w14:paraId="3E485702"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59 adults</w:t>
            </w:r>
          </w:p>
        </w:tc>
        <w:tc>
          <w:tcPr>
            <w:tcW w:w="1134" w:type="dxa"/>
            <w:tcBorders>
              <w:top w:val="nil"/>
              <w:left w:val="nil"/>
              <w:bottom w:val="nil"/>
              <w:right w:val="nil"/>
            </w:tcBorders>
          </w:tcPr>
          <w:p w14:paraId="783EC04A" w14:textId="77777777" w:rsidR="00DF5838" w:rsidRPr="001C6F50"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USA</w:t>
            </w:r>
          </w:p>
        </w:tc>
        <w:tc>
          <w:tcPr>
            <w:tcW w:w="1560" w:type="dxa"/>
            <w:tcBorders>
              <w:top w:val="nil"/>
              <w:left w:val="nil"/>
              <w:bottom w:val="nil"/>
              <w:right w:val="nil"/>
            </w:tcBorders>
            <w:shd w:val="clear" w:color="auto" w:fill="auto"/>
            <w:tcMar>
              <w:top w:w="100" w:type="dxa"/>
              <w:left w:w="100" w:type="dxa"/>
              <w:bottom w:w="100" w:type="dxa"/>
              <w:right w:w="100" w:type="dxa"/>
            </w:tcMar>
          </w:tcPr>
          <w:p w14:paraId="1A63CB8C"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Observational study</w:t>
            </w:r>
          </w:p>
        </w:tc>
        <w:tc>
          <w:tcPr>
            <w:tcW w:w="1550" w:type="dxa"/>
            <w:tcBorders>
              <w:top w:val="nil"/>
              <w:left w:val="nil"/>
              <w:bottom w:val="nil"/>
              <w:right w:val="nil"/>
            </w:tcBorders>
            <w:shd w:val="clear" w:color="auto" w:fill="auto"/>
            <w:tcMar>
              <w:top w:w="100" w:type="dxa"/>
              <w:left w:w="100" w:type="dxa"/>
              <w:bottom w:w="100" w:type="dxa"/>
              <w:right w:w="100" w:type="dxa"/>
            </w:tcMar>
          </w:tcPr>
          <w:p w14:paraId="01848CA9"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7-day food diary</w:t>
            </w:r>
          </w:p>
          <w:p w14:paraId="5514D7DB" w14:textId="77777777" w:rsidR="00DF5838" w:rsidRPr="001C6F50" w:rsidRDefault="00DF5838" w:rsidP="00B64CA5">
            <w:pPr>
              <w:widowControl w:val="0"/>
              <w:spacing w:line="240" w:lineRule="auto"/>
              <w:rPr>
                <w:rFonts w:ascii="Times New Roman" w:eastAsia="Times New Roman" w:hAnsi="Times New Roman" w:cs="Times New Roman"/>
              </w:rPr>
            </w:pPr>
          </w:p>
        </w:tc>
        <w:tc>
          <w:tcPr>
            <w:tcW w:w="2073" w:type="dxa"/>
            <w:tcBorders>
              <w:top w:val="nil"/>
              <w:left w:val="nil"/>
              <w:bottom w:val="nil"/>
              <w:right w:val="nil"/>
            </w:tcBorders>
            <w:shd w:val="clear" w:color="auto" w:fill="auto"/>
            <w:tcMar>
              <w:top w:w="100" w:type="dxa"/>
              <w:left w:w="100" w:type="dxa"/>
              <w:bottom w:w="100" w:type="dxa"/>
              <w:right w:w="100" w:type="dxa"/>
            </w:tcMar>
          </w:tcPr>
          <w:p w14:paraId="1BA9C9B3"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Not specified</w:t>
            </w:r>
          </w:p>
        </w:tc>
        <w:tc>
          <w:tcPr>
            <w:tcW w:w="2851" w:type="dxa"/>
            <w:tcBorders>
              <w:top w:val="nil"/>
              <w:left w:val="nil"/>
              <w:bottom w:val="nil"/>
              <w:right w:val="nil"/>
            </w:tcBorders>
            <w:shd w:val="clear" w:color="auto" w:fill="auto"/>
            <w:tcMar>
              <w:top w:w="100" w:type="dxa"/>
              <w:left w:w="100" w:type="dxa"/>
              <w:bottom w:w="100" w:type="dxa"/>
              <w:right w:w="100" w:type="dxa"/>
            </w:tcMar>
          </w:tcPr>
          <w:p w14:paraId="5BAB8E80"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self-reported height, weight and calculated BMI.</w:t>
            </w:r>
          </w:p>
          <w:p w14:paraId="5F86A05C"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Energy intake: 7-day food diary</w:t>
            </w:r>
          </w:p>
          <w:p w14:paraId="4AC2DDC9"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Sleep: accelerometer</w:t>
            </w:r>
          </w:p>
        </w:tc>
        <w:tc>
          <w:tcPr>
            <w:tcW w:w="2592" w:type="dxa"/>
            <w:tcBorders>
              <w:top w:val="nil"/>
              <w:left w:val="nil"/>
              <w:bottom w:val="nil"/>
              <w:right w:val="nil"/>
            </w:tcBorders>
            <w:shd w:val="clear" w:color="auto" w:fill="auto"/>
            <w:tcMar>
              <w:top w:w="100" w:type="dxa"/>
              <w:left w:w="100" w:type="dxa"/>
              <w:bottom w:w="100" w:type="dxa"/>
              <w:right w:w="100" w:type="dxa"/>
            </w:tcMar>
          </w:tcPr>
          <w:p w14:paraId="30C3453B" w14:textId="77777777" w:rsidR="00DF5838" w:rsidRPr="001C6F50" w:rsidRDefault="007E2DD6" w:rsidP="00B64CA5">
            <w:pPr>
              <w:widowControl w:val="0"/>
              <w:spacing w:line="240" w:lineRule="auto"/>
              <w:rPr>
                <w:rFonts w:ascii="Times New Roman" w:eastAsia="Times New Roman" w:hAnsi="Times New Roman" w:cs="Times New Roman"/>
              </w:rPr>
            </w:pPr>
            <w:sdt>
              <w:sdtPr>
                <w:rPr>
                  <w:rFonts w:ascii="Times New Roman" w:hAnsi="Times New Roman" w:cs="Times New Roman"/>
                </w:rPr>
                <w:tag w:val="goog_rdk_47"/>
                <w:id w:val="416301831"/>
              </w:sdtPr>
              <w:sdtEndPr/>
              <w:sdtContent>
                <w:r w:rsidR="00DF5838" w:rsidRPr="001C6F50">
                  <w:rPr>
                    <w:rFonts w:ascii="Times New Roman" w:eastAsia="Cardo" w:hAnsi="Times New Roman" w:cs="Times New Roman"/>
                  </w:rPr>
                  <w:t>later timing of the last meal predicted ↑ total caloric intake but not with BMI.</w:t>
                </w:r>
              </w:sdtContent>
            </w:sdt>
          </w:p>
        </w:tc>
      </w:tr>
      <w:tr w:rsidR="00DF5838" w:rsidRPr="001C6F50" w14:paraId="69C8ED7F" w14:textId="77777777" w:rsidTr="007B45A8">
        <w:trPr>
          <w:trHeight w:val="713"/>
        </w:trPr>
        <w:tc>
          <w:tcPr>
            <w:tcW w:w="1165" w:type="dxa"/>
            <w:tcBorders>
              <w:top w:val="nil"/>
              <w:left w:val="nil"/>
              <w:bottom w:val="nil"/>
              <w:right w:val="nil"/>
            </w:tcBorders>
            <w:shd w:val="clear" w:color="auto" w:fill="auto"/>
            <w:tcMar>
              <w:top w:w="100" w:type="dxa"/>
              <w:left w:w="100" w:type="dxa"/>
              <w:bottom w:w="100" w:type="dxa"/>
              <w:right w:w="100" w:type="dxa"/>
            </w:tcMar>
          </w:tcPr>
          <w:p w14:paraId="18474BB1" w14:textId="77777777" w:rsidR="00DF5838" w:rsidRPr="001C6F50" w:rsidRDefault="007E2DD6" w:rsidP="00B64CA5">
            <w:pPr>
              <w:widowControl w:val="0"/>
              <w:spacing w:line="240" w:lineRule="auto"/>
              <w:rPr>
                <w:rFonts w:ascii="Times New Roman" w:eastAsia="Times New Roman" w:hAnsi="Times New Roman" w:cs="Times New Roman"/>
              </w:rPr>
            </w:pPr>
            <w:hyperlink r:id="rId311">
              <w:r w:rsidR="00DF5838" w:rsidRPr="001C6F50">
                <w:rPr>
                  <w:rFonts w:ascii="Times New Roman" w:eastAsia="Times New Roman" w:hAnsi="Times New Roman" w:cs="Times New Roman"/>
                </w:rPr>
                <w:t>(Ruddick-Collins et al., 2022)</w:t>
              </w:r>
            </w:hyperlink>
          </w:p>
        </w:tc>
        <w:tc>
          <w:tcPr>
            <w:tcW w:w="1103" w:type="dxa"/>
            <w:tcBorders>
              <w:top w:val="nil"/>
              <w:left w:val="nil"/>
              <w:bottom w:val="nil"/>
              <w:right w:val="nil"/>
            </w:tcBorders>
            <w:shd w:val="clear" w:color="auto" w:fill="auto"/>
            <w:tcMar>
              <w:top w:w="100" w:type="dxa"/>
              <w:left w:w="100" w:type="dxa"/>
              <w:bottom w:w="100" w:type="dxa"/>
              <w:right w:w="100" w:type="dxa"/>
            </w:tcMar>
          </w:tcPr>
          <w:p w14:paraId="022F7E07"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30 adults with obesity</w:t>
            </w:r>
          </w:p>
        </w:tc>
        <w:tc>
          <w:tcPr>
            <w:tcW w:w="1134" w:type="dxa"/>
            <w:tcBorders>
              <w:top w:val="nil"/>
              <w:left w:val="nil"/>
              <w:bottom w:val="nil"/>
              <w:right w:val="nil"/>
            </w:tcBorders>
          </w:tcPr>
          <w:p w14:paraId="730272E9" w14:textId="77777777" w:rsidR="00DF5838" w:rsidRPr="001C6F50"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UK</w:t>
            </w:r>
          </w:p>
        </w:tc>
        <w:tc>
          <w:tcPr>
            <w:tcW w:w="1560" w:type="dxa"/>
            <w:tcBorders>
              <w:top w:val="nil"/>
              <w:left w:val="nil"/>
              <w:bottom w:val="nil"/>
              <w:right w:val="nil"/>
            </w:tcBorders>
            <w:shd w:val="clear" w:color="auto" w:fill="auto"/>
            <w:tcMar>
              <w:top w:w="100" w:type="dxa"/>
              <w:left w:w="100" w:type="dxa"/>
              <w:bottom w:w="100" w:type="dxa"/>
              <w:right w:w="100" w:type="dxa"/>
            </w:tcMar>
          </w:tcPr>
          <w:p w14:paraId="3FFF4078"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Randomised controlled trial</w:t>
            </w:r>
          </w:p>
        </w:tc>
        <w:tc>
          <w:tcPr>
            <w:tcW w:w="1550" w:type="dxa"/>
            <w:tcBorders>
              <w:top w:val="nil"/>
              <w:left w:val="nil"/>
              <w:bottom w:val="nil"/>
              <w:right w:val="nil"/>
            </w:tcBorders>
            <w:shd w:val="clear" w:color="auto" w:fill="auto"/>
            <w:tcMar>
              <w:top w:w="100" w:type="dxa"/>
              <w:left w:w="100" w:type="dxa"/>
              <w:bottom w:w="100" w:type="dxa"/>
              <w:right w:w="100" w:type="dxa"/>
            </w:tcMar>
          </w:tcPr>
          <w:p w14:paraId="3E5914AF" w14:textId="77777777" w:rsidR="00DF5838" w:rsidRPr="001C6F50" w:rsidRDefault="00DF5838" w:rsidP="00B64CA5">
            <w:pPr>
              <w:widowControl w:val="0"/>
              <w:spacing w:line="240" w:lineRule="auto"/>
              <w:rPr>
                <w:rFonts w:ascii="Times New Roman" w:eastAsia="Times New Roman" w:hAnsi="Times New Roman" w:cs="Times New Roman"/>
              </w:rPr>
            </w:pPr>
          </w:p>
        </w:tc>
        <w:tc>
          <w:tcPr>
            <w:tcW w:w="2073" w:type="dxa"/>
            <w:tcBorders>
              <w:top w:val="nil"/>
              <w:left w:val="nil"/>
              <w:bottom w:val="nil"/>
              <w:right w:val="nil"/>
            </w:tcBorders>
            <w:shd w:val="clear" w:color="auto" w:fill="auto"/>
            <w:tcMar>
              <w:top w:w="100" w:type="dxa"/>
              <w:left w:w="100" w:type="dxa"/>
              <w:bottom w:w="100" w:type="dxa"/>
              <w:right w:w="100" w:type="dxa"/>
            </w:tcMar>
          </w:tcPr>
          <w:p w14:paraId="7A7B5649"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Morning loaded or evening loaded calories diet</w:t>
            </w:r>
          </w:p>
        </w:tc>
        <w:tc>
          <w:tcPr>
            <w:tcW w:w="2851" w:type="dxa"/>
            <w:tcBorders>
              <w:top w:val="nil"/>
              <w:left w:val="nil"/>
              <w:bottom w:val="nil"/>
              <w:right w:val="nil"/>
            </w:tcBorders>
            <w:shd w:val="clear" w:color="auto" w:fill="auto"/>
            <w:tcMar>
              <w:top w:w="100" w:type="dxa"/>
              <w:left w:w="100" w:type="dxa"/>
              <w:bottom w:w="100" w:type="dxa"/>
              <w:right w:w="100" w:type="dxa"/>
            </w:tcMar>
          </w:tcPr>
          <w:p w14:paraId="68AA311E" w14:textId="77777777"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Anthropometric measures: objectively measured height, weight and calculated BMI.</w:t>
            </w:r>
          </w:p>
        </w:tc>
        <w:tc>
          <w:tcPr>
            <w:tcW w:w="2592" w:type="dxa"/>
            <w:tcBorders>
              <w:top w:val="nil"/>
              <w:left w:val="nil"/>
              <w:bottom w:val="nil"/>
              <w:right w:val="nil"/>
            </w:tcBorders>
            <w:shd w:val="clear" w:color="auto" w:fill="auto"/>
            <w:tcMar>
              <w:top w:w="100" w:type="dxa"/>
              <w:left w:w="100" w:type="dxa"/>
              <w:bottom w:w="100" w:type="dxa"/>
              <w:right w:w="100" w:type="dxa"/>
            </w:tcMar>
          </w:tcPr>
          <w:p w14:paraId="642B3CD0" w14:textId="6B1A499F" w:rsidR="00DF5838" w:rsidRPr="001C6F50" w:rsidRDefault="00DF5838" w:rsidP="00B64CA5">
            <w:pPr>
              <w:widowControl w:val="0"/>
              <w:spacing w:line="240" w:lineRule="auto"/>
              <w:rPr>
                <w:rFonts w:ascii="Times New Roman" w:eastAsia="Times New Roman" w:hAnsi="Times New Roman" w:cs="Times New Roman"/>
              </w:rPr>
            </w:pPr>
            <w:r w:rsidRPr="001C6F50">
              <w:rPr>
                <w:rFonts w:ascii="Times New Roman" w:eastAsia="Times New Roman" w:hAnsi="Times New Roman" w:cs="Times New Roman"/>
              </w:rPr>
              <w:t>No difference in weight loss between groups</w:t>
            </w:r>
            <w:r w:rsidR="00C16E22">
              <w:rPr>
                <w:rFonts w:ascii="Times New Roman" w:eastAsia="Times New Roman" w:hAnsi="Times New Roman" w:cs="Times New Roman"/>
              </w:rPr>
              <w:t>.</w:t>
            </w:r>
          </w:p>
        </w:tc>
      </w:tr>
      <w:tr w:rsidR="00DF5838" w14:paraId="3C3A148A" w14:textId="77777777" w:rsidTr="007B45A8">
        <w:trPr>
          <w:trHeight w:val="1437"/>
        </w:trPr>
        <w:tc>
          <w:tcPr>
            <w:tcW w:w="1165" w:type="dxa"/>
            <w:tcBorders>
              <w:top w:val="nil"/>
              <w:left w:val="nil"/>
              <w:bottom w:val="single" w:sz="4" w:space="0" w:color="000000"/>
              <w:right w:val="nil"/>
            </w:tcBorders>
            <w:shd w:val="clear" w:color="auto" w:fill="auto"/>
            <w:tcMar>
              <w:top w:w="100" w:type="dxa"/>
              <w:left w:w="100" w:type="dxa"/>
              <w:bottom w:w="100" w:type="dxa"/>
              <w:right w:w="100" w:type="dxa"/>
            </w:tcMar>
          </w:tcPr>
          <w:p w14:paraId="5C4C1D97" w14:textId="77777777" w:rsidR="00DF5838" w:rsidRDefault="007E2DD6" w:rsidP="00B64CA5">
            <w:pPr>
              <w:widowControl w:val="0"/>
              <w:spacing w:line="240" w:lineRule="auto"/>
              <w:rPr>
                <w:rFonts w:ascii="Times New Roman" w:eastAsia="Times New Roman" w:hAnsi="Times New Roman" w:cs="Times New Roman"/>
              </w:rPr>
            </w:pPr>
            <w:hyperlink r:id="rId312">
              <w:r w:rsidR="00DF5838">
                <w:rPr>
                  <w:rFonts w:ascii="Times New Roman" w:eastAsia="Times New Roman" w:hAnsi="Times New Roman" w:cs="Times New Roman"/>
                </w:rPr>
                <w:t>(Sandhu and Tang 2017)</w:t>
              </w:r>
            </w:hyperlink>
          </w:p>
        </w:tc>
        <w:tc>
          <w:tcPr>
            <w:tcW w:w="1103" w:type="dxa"/>
            <w:tcBorders>
              <w:top w:val="nil"/>
              <w:left w:val="nil"/>
              <w:bottom w:val="single" w:sz="4" w:space="0" w:color="000000"/>
              <w:right w:val="nil"/>
            </w:tcBorders>
            <w:shd w:val="clear" w:color="auto" w:fill="auto"/>
            <w:tcMar>
              <w:top w:w="100" w:type="dxa"/>
              <w:left w:w="100" w:type="dxa"/>
              <w:bottom w:w="100" w:type="dxa"/>
              <w:right w:w="100" w:type="dxa"/>
            </w:tcMar>
          </w:tcPr>
          <w:p w14:paraId="6F181EBE"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432 adults</w:t>
            </w:r>
          </w:p>
        </w:tc>
        <w:tc>
          <w:tcPr>
            <w:tcW w:w="1134" w:type="dxa"/>
            <w:tcBorders>
              <w:top w:val="nil"/>
              <w:left w:val="nil"/>
              <w:bottom w:val="single" w:sz="4" w:space="0" w:color="000000"/>
              <w:right w:val="nil"/>
            </w:tcBorders>
          </w:tcPr>
          <w:p w14:paraId="0B6046A7"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Canada</w:t>
            </w:r>
          </w:p>
        </w:tc>
        <w:tc>
          <w:tcPr>
            <w:tcW w:w="1560" w:type="dxa"/>
            <w:tcBorders>
              <w:top w:val="nil"/>
              <w:left w:val="nil"/>
              <w:bottom w:val="single" w:sz="4" w:space="0" w:color="000000"/>
              <w:right w:val="nil"/>
            </w:tcBorders>
            <w:shd w:val="clear" w:color="auto" w:fill="auto"/>
            <w:tcMar>
              <w:top w:w="100" w:type="dxa"/>
              <w:left w:w="100" w:type="dxa"/>
              <w:bottom w:w="100" w:type="dxa"/>
              <w:right w:w="100" w:type="dxa"/>
            </w:tcMar>
          </w:tcPr>
          <w:p w14:paraId="0783303D"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Observational study</w:t>
            </w:r>
          </w:p>
        </w:tc>
        <w:tc>
          <w:tcPr>
            <w:tcW w:w="1550" w:type="dxa"/>
            <w:tcBorders>
              <w:top w:val="nil"/>
              <w:left w:val="nil"/>
              <w:bottom w:val="single" w:sz="4" w:space="0" w:color="000000"/>
              <w:right w:val="nil"/>
            </w:tcBorders>
            <w:shd w:val="clear" w:color="auto" w:fill="auto"/>
            <w:tcMar>
              <w:top w:w="100" w:type="dxa"/>
              <w:left w:w="100" w:type="dxa"/>
              <w:bottom w:w="100" w:type="dxa"/>
              <w:right w:w="100" w:type="dxa"/>
            </w:tcMar>
          </w:tcPr>
          <w:p w14:paraId="4EDE5725"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Questionnaire  </w:t>
            </w:r>
          </w:p>
        </w:tc>
        <w:tc>
          <w:tcPr>
            <w:tcW w:w="2073" w:type="dxa"/>
            <w:tcBorders>
              <w:top w:val="nil"/>
              <w:left w:val="nil"/>
              <w:bottom w:val="single" w:sz="4" w:space="0" w:color="000000"/>
              <w:right w:val="nil"/>
            </w:tcBorders>
            <w:shd w:val="clear" w:color="auto" w:fill="auto"/>
            <w:tcMar>
              <w:top w:w="100" w:type="dxa"/>
              <w:left w:w="100" w:type="dxa"/>
              <w:bottom w:w="100" w:type="dxa"/>
              <w:right w:w="100" w:type="dxa"/>
            </w:tcMar>
          </w:tcPr>
          <w:p w14:paraId="42C20F1E"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Dinnertime was categorised into three groups: early (before 6 PM); average (6 PM to 8 PM); and late (later than 8 PM).</w:t>
            </w:r>
          </w:p>
        </w:tc>
        <w:tc>
          <w:tcPr>
            <w:tcW w:w="2851" w:type="dxa"/>
            <w:tcBorders>
              <w:top w:val="nil"/>
              <w:left w:val="nil"/>
              <w:bottom w:val="single" w:sz="4" w:space="0" w:color="000000"/>
              <w:right w:val="nil"/>
            </w:tcBorders>
            <w:shd w:val="clear" w:color="auto" w:fill="auto"/>
            <w:tcMar>
              <w:top w:w="100" w:type="dxa"/>
              <w:left w:w="100" w:type="dxa"/>
              <w:bottom w:w="100" w:type="dxa"/>
              <w:right w:w="100" w:type="dxa"/>
            </w:tcMar>
          </w:tcPr>
          <w:p w14:paraId="29CAC239"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Anthropometric measures: objectively measured height, weight and calculated BMI.</w:t>
            </w:r>
          </w:p>
          <w:p w14:paraId="6289D3C1" w14:textId="77777777" w:rsidR="00DF5838" w:rsidRDefault="00DF5838" w:rsidP="00B64CA5">
            <w:pPr>
              <w:widowControl w:val="0"/>
              <w:spacing w:line="240" w:lineRule="auto"/>
              <w:rPr>
                <w:rFonts w:ascii="Times New Roman" w:eastAsia="Times New Roman" w:hAnsi="Times New Roman" w:cs="Times New Roman"/>
              </w:rPr>
            </w:pPr>
          </w:p>
        </w:tc>
        <w:tc>
          <w:tcPr>
            <w:tcW w:w="2592" w:type="dxa"/>
            <w:tcBorders>
              <w:top w:val="nil"/>
              <w:left w:val="nil"/>
              <w:bottom w:val="single" w:sz="4" w:space="0" w:color="000000"/>
              <w:right w:val="nil"/>
            </w:tcBorders>
            <w:shd w:val="clear" w:color="auto" w:fill="auto"/>
            <w:tcMar>
              <w:top w:w="100" w:type="dxa"/>
              <w:left w:w="100" w:type="dxa"/>
              <w:bottom w:w="100" w:type="dxa"/>
              <w:right w:w="100" w:type="dxa"/>
            </w:tcMar>
          </w:tcPr>
          <w:p w14:paraId="5C8D8527" w14:textId="77777777" w:rsidR="00DF5838" w:rsidRDefault="00DF5838" w:rsidP="00B64CA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 difference in BMI among three groups.</w:t>
            </w:r>
          </w:p>
        </w:tc>
      </w:tr>
    </w:tbl>
    <w:p w14:paraId="45CB1E8E" w14:textId="453BCC69" w:rsidR="00515A7F" w:rsidRPr="00515A7F" w:rsidRDefault="00515A7F" w:rsidP="00515A7F">
      <w:pPr>
        <w:rPr>
          <w:rFonts w:ascii="Times New Roman" w:hAnsi="Times New Roman" w:cs="Times New Roman"/>
          <w:sz w:val="20"/>
          <w:szCs w:val="20"/>
        </w:rPr>
      </w:pPr>
      <w:r w:rsidRPr="00515A7F">
        <w:rPr>
          <w:rFonts w:ascii="Times New Roman" w:hAnsi="Times New Roman" w:cs="Times New Roman"/>
          <w:i/>
          <w:iCs/>
          <w:sz w:val="20"/>
          <w:szCs w:val="20"/>
        </w:rPr>
        <w:t>Note:</w:t>
      </w:r>
      <w:r w:rsidRPr="00515A7F">
        <w:rPr>
          <w:rFonts w:ascii="Times New Roman" w:hAnsi="Times New Roman" w:cs="Times New Roman"/>
          <w:sz w:val="20"/>
          <w:szCs w:val="20"/>
        </w:rPr>
        <w:t xml:space="preserve"> </w:t>
      </w:r>
      <w:r w:rsidRPr="00515A7F">
        <w:rPr>
          <w:rFonts w:ascii="Times New Roman" w:eastAsia="Cardo" w:hAnsi="Times New Roman" w:cs="Times New Roman"/>
          <w:sz w:val="20"/>
          <w:szCs w:val="20"/>
        </w:rPr>
        <w:t>↑ = increased; ↓ = decreased.</w:t>
      </w:r>
    </w:p>
    <w:p w14:paraId="00000270" w14:textId="1C60070E" w:rsidR="00515A7F" w:rsidRPr="00515A7F" w:rsidRDefault="00515A7F" w:rsidP="00515A7F">
      <w:pPr>
        <w:tabs>
          <w:tab w:val="left" w:pos="818"/>
        </w:tabs>
        <w:rPr>
          <w:rFonts w:ascii="Times New Roman" w:hAnsi="Times New Roman" w:cs="Times New Roman"/>
        </w:rPr>
        <w:sectPr w:rsidR="00515A7F" w:rsidRPr="00515A7F">
          <w:pgSz w:w="16834" w:h="11909" w:orient="landscape"/>
          <w:pgMar w:top="1440" w:right="1440" w:bottom="1440" w:left="1440" w:header="720" w:footer="720" w:gutter="0"/>
          <w:cols w:space="720"/>
        </w:sectPr>
      </w:pPr>
      <w:r>
        <w:rPr>
          <w:rFonts w:ascii="Times New Roman" w:hAnsi="Times New Roman" w:cs="Times New Roman"/>
        </w:rPr>
        <w:tab/>
      </w:r>
    </w:p>
    <w:p w14:paraId="0000029A"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2.3.2 Associations between meal timing and energy intake</w:t>
      </w:r>
    </w:p>
    <w:p w14:paraId="0000029B" w14:textId="77777777" w:rsidR="00CB4215" w:rsidRDefault="00CB4215"/>
    <w:p w14:paraId="0000029C" w14:textId="2E6E8BE4" w:rsidR="00CB4215" w:rsidRDefault="000530B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Multiple studies have found that late evening eating is related to increased energy intake </w:t>
      </w:r>
      <w:hyperlink r:id="rId313">
        <w:r>
          <w:rPr>
            <w:rFonts w:ascii="Times New Roman" w:eastAsia="Times New Roman" w:hAnsi="Times New Roman" w:cs="Times New Roman"/>
            <w:sz w:val="24"/>
            <w:szCs w:val="24"/>
          </w:rPr>
          <w:t>(Jacob et al., 2023; Baron et al., 2011; de Castro 2004; Reid et al., 2014)</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For example, Jacob and colleagues (2020) used a 3-day food diary to assess food consumption and the distribution of energy and macronutrient intake and found that consuming more energy after 8 pm was significantly related to higher total daily energy intake.</w:t>
      </w:r>
      <w:r>
        <w:rPr>
          <w:rFonts w:ascii="Times New Roman" w:eastAsia="Times New Roman" w:hAnsi="Times New Roman" w:cs="Times New Roman"/>
          <w:sz w:val="24"/>
          <w:szCs w:val="24"/>
          <w:highlight w:val="white"/>
        </w:rPr>
        <w:t xml:space="preserve"> Moreover, </w:t>
      </w:r>
      <w:r>
        <w:rPr>
          <w:rFonts w:ascii="Times New Roman" w:eastAsia="Times New Roman" w:hAnsi="Times New Roman" w:cs="Times New Roman"/>
          <w:sz w:val="24"/>
          <w:szCs w:val="24"/>
        </w:rPr>
        <w:t xml:space="preserve">there is also evidence that foods eaten later in the day have a higher energy density than those eaten earlier in the day </w:t>
      </w:r>
      <w:hyperlink r:id="rId314">
        <w:r>
          <w:rPr>
            <w:rFonts w:ascii="Times New Roman" w:eastAsia="Times New Roman" w:hAnsi="Times New Roman" w:cs="Times New Roman"/>
            <w:sz w:val="24"/>
            <w:szCs w:val="24"/>
          </w:rPr>
          <w:t xml:space="preserve">(de Castro 2004; Kant and </w:t>
        </w:r>
        <w:proofErr w:type="spellStart"/>
        <w:r>
          <w:rPr>
            <w:rFonts w:ascii="Times New Roman" w:eastAsia="Times New Roman" w:hAnsi="Times New Roman" w:cs="Times New Roman"/>
            <w:sz w:val="24"/>
            <w:szCs w:val="24"/>
          </w:rPr>
          <w:t>Graubard</w:t>
        </w:r>
        <w:proofErr w:type="spellEnd"/>
        <w:r w:rsidR="007C2E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w:t>
        </w:r>
      </w:hyperlink>
      <w:r>
        <w:rPr>
          <w:rFonts w:ascii="Times New Roman" w:eastAsia="Times New Roman" w:hAnsi="Times New Roman" w:cs="Times New Roman"/>
          <w:sz w:val="24"/>
          <w:szCs w:val="24"/>
          <w:highlight w:val="white"/>
        </w:rPr>
        <w:t xml:space="preserve">, which can promote increased energy intake </w:t>
      </w:r>
      <w:hyperlink r:id="rId315">
        <w:r>
          <w:rPr>
            <w:rFonts w:ascii="Times New Roman" w:eastAsia="Times New Roman" w:hAnsi="Times New Roman" w:cs="Times New Roman"/>
            <w:sz w:val="24"/>
            <w:szCs w:val="24"/>
          </w:rPr>
          <w:t xml:space="preserve">(Murakami et al., 2017; </w:t>
        </w:r>
        <w:proofErr w:type="spellStart"/>
        <w:r>
          <w:rPr>
            <w:rFonts w:ascii="Times New Roman" w:eastAsia="Times New Roman" w:hAnsi="Times New Roman" w:cs="Times New Roman"/>
            <w:sz w:val="24"/>
            <w:szCs w:val="24"/>
          </w:rPr>
          <w:t>Ledikwe</w:t>
        </w:r>
        <w:proofErr w:type="spellEnd"/>
        <w:r>
          <w:rPr>
            <w:rFonts w:ascii="Times New Roman" w:eastAsia="Times New Roman" w:hAnsi="Times New Roman" w:cs="Times New Roman"/>
            <w:sz w:val="24"/>
            <w:szCs w:val="24"/>
          </w:rPr>
          <w:t xml:space="preserve"> et al., 2006; Bell et al., 1998)</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However, other studies have shown that there is no association between eating late and energy intake </w:t>
      </w:r>
      <w:hyperlink r:id="rId316">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Garaulet</w:t>
        </w:r>
        <w:proofErr w:type="spellEnd"/>
        <w:r>
          <w:rPr>
            <w:rFonts w:ascii="Times New Roman" w:eastAsia="Times New Roman" w:hAnsi="Times New Roman" w:cs="Times New Roman"/>
            <w:sz w:val="24"/>
            <w:szCs w:val="24"/>
            <w:highlight w:val="white"/>
          </w:rPr>
          <w:t xml:space="preserve"> et al., 2013; </w:t>
        </w:r>
        <w:proofErr w:type="spellStart"/>
        <w:r>
          <w:rPr>
            <w:rFonts w:ascii="Times New Roman" w:eastAsia="Times New Roman" w:hAnsi="Times New Roman" w:cs="Times New Roman"/>
            <w:sz w:val="24"/>
            <w:szCs w:val="24"/>
            <w:highlight w:val="white"/>
          </w:rPr>
          <w:t>Madjd</w:t>
        </w:r>
        <w:proofErr w:type="spellEnd"/>
        <w:r>
          <w:rPr>
            <w:rFonts w:ascii="Times New Roman" w:eastAsia="Times New Roman" w:hAnsi="Times New Roman" w:cs="Times New Roman"/>
            <w:sz w:val="24"/>
            <w:szCs w:val="24"/>
            <w:highlight w:val="white"/>
          </w:rPr>
          <w:t xml:space="preserve"> et al., 2021; </w:t>
        </w:r>
        <w:proofErr w:type="spellStart"/>
        <w:r>
          <w:rPr>
            <w:rFonts w:ascii="Times New Roman" w:eastAsia="Times New Roman" w:hAnsi="Times New Roman" w:cs="Times New Roman"/>
            <w:sz w:val="24"/>
            <w:szCs w:val="24"/>
            <w:highlight w:val="white"/>
          </w:rPr>
          <w:t>Madjd</w:t>
        </w:r>
        <w:proofErr w:type="spellEnd"/>
        <w:r>
          <w:rPr>
            <w:rFonts w:ascii="Times New Roman" w:eastAsia="Times New Roman" w:hAnsi="Times New Roman" w:cs="Times New Roman"/>
            <w:sz w:val="24"/>
            <w:szCs w:val="24"/>
            <w:highlight w:val="white"/>
          </w:rPr>
          <w:t xml:space="preserve"> et al., 2016)</w:t>
        </w:r>
      </w:hyperlink>
      <w:r>
        <w:rPr>
          <w:rFonts w:ascii="Times New Roman" w:eastAsia="Times New Roman" w:hAnsi="Times New Roman" w:cs="Times New Roman"/>
          <w:sz w:val="24"/>
          <w:szCs w:val="24"/>
          <w:highlight w:val="white"/>
        </w:rPr>
        <w:t xml:space="preserve">. For example, an observational study assessed dietary intake with a 24-hour food diary and showed no significant differences in total energy intake between early eaters and late eaters </w:t>
      </w:r>
      <w:hyperlink r:id="rId31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w:t>
        </w:r>
      </w:hyperlink>
      <w:r>
        <w:rPr>
          <w:rFonts w:ascii="Times New Roman" w:eastAsia="Times New Roman" w:hAnsi="Times New Roman" w:cs="Times New Roman"/>
          <w:sz w:val="24"/>
          <w:szCs w:val="24"/>
          <w:highlight w:val="white"/>
        </w:rPr>
        <w:t xml:space="preserve">. There are several possible explanations for the inconsistent results. Firstly, </w:t>
      </w:r>
      <w:r>
        <w:rPr>
          <w:rFonts w:ascii="Times New Roman" w:eastAsia="Times New Roman" w:hAnsi="Times New Roman" w:cs="Times New Roman"/>
          <w:sz w:val="24"/>
          <w:szCs w:val="24"/>
        </w:rPr>
        <w:t>there is no commonly agreed timeframe or terminology used in studies of</w:t>
      </w:r>
      <w:r>
        <w:rPr>
          <w:rFonts w:ascii="Times New Roman" w:eastAsia="Times New Roman" w:hAnsi="Times New Roman" w:cs="Times New Roman"/>
          <w:sz w:val="24"/>
          <w:szCs w:val="24"/>
          <w:highlight w:val="white"/>
        </w:rPr>
        <w:t xml:space="preserve"> late eating (see section 2.3.1). However, inconsistency in meal timing definitions is an inherent problem and highlights the need for consensus on meal timing definitions to reduce </w:t>
      </w:r>
      <w:r>
        <w:rPr>
          <w:rFonts w:ascii="Times New Roman" w:eastAsia="Times New Roman" w:hAnsi="Times New Roman" w:cs="Times New Roman"/>
          <w:sz w:val="24"/>
          <w:szCs w:val="24"/>
        </w:rPr>
        <w:t>ambiguities in further research</w:t>
      </w:r>
      <w:r>
        <w:rPr>
          <w:rFonts w:ascii="Times New Roman" w:eastAsia="Times New Roman" w:hAnsi="Times New Roman" w:cs="Times New Roman"/>
          <w:sz w:val="24"/>
          <w:szCs w:val="24"/>
          <w:highlight w:val="white"/>
        </w:rPr>
        <w:t xml:space="preserve">. Secondly, studies tend to assess dietary intake using self-reported methods </w:t>
      </w:r>
      <w:r>
        <w:rPr>
          <w:rFonts w:ascii="Times New Roman" w:eastAsia="Times New Roman" w:hAnsi="Times New Roman" w:cs="Times New Roman"/>
          <w:sz w:val="24"/>
          <w:szCs w:val="24"/>
        </w:rPr>
        <w:t xml:space="preserve">without </w:t>
      </w:r>
      <w:proofErr w:type="gramStart"/>
      <w:r>
        <w:rPr>
          <w:rFonts w:ascii="Times New Roman" w:eastAsia="Times New Roman" w:hAnsi="Times New Roman" w:cs="Times New Roman"/>
          <w:sz w:val="24"/>
          <w:szCs w:val="24"/>
        </w:rPr>
        <w:t>taking into account</w:t>
      </w:r>
      <w:proofErr w:type="gramEnd"/>
      <w:r>
        <w:rPr>
          <w:rFonts w:ascii="Times New Roman" w:eastAsia="Times New Roman" w:hAnsi="Times New Roman" w:cs="Times New Roman"/>
          <w:sz w:val="24"/>
          <w:szCs w:val="24"/>
        </w:rPr>
        <w:t xml:space="preserve"> the well-documented underreporting that occurs with self-reported dietary intake </w:t>
      </w:r>
      <w:hyperlink r:id="rId318">
        <w:r>
          <w:rPr>
            <w:rFonts w:ascii="Times New Roman" w:eastAsia="Times New Roman" w:hAnsi="Times New Roman" w:cs="Times New Roman"/>
            <w:sz w:val="24"/>
            <w:szCs w:val="24"/>
          </w:rPr>
          <w:t>(Livingstone and Black</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2003)</w:t>
        </w:r>
      </w:hyperlink>
      <w:r>
        <w:rPr>
          <w:rFonts w:ascii="Times New Roman" w:eastAsia="Times New Roman" w:hAnsi="Times New Roman" w:cs="Times New Roman"/>
          <w:sz w:val="24"/>
          <w:szCs w:val="24"/>
          <w:highlight w:val="white"/>
        </w:rPr>
        <w:t xml:space="preserve">. However, it should be noted that most studies that report no significant associations between late eating and energy intake report differences in more objective and longer-term measures between early and late eaters, such as lower insulin sensitivity </w:t>
      </w:r>
      <w:hyperlink r:id="rId31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w:t>
        </w:r>
      </w:hyperlink>
      <w:r>
        <w:rPr>
          <w:rFonts w:ascii="Times New Roman" w:eastAsia="Times New Roman" w:hAnsi="Times New Roman" w:cs="Times New Roman"/>
          <w:sz w:val="24"/>
          <w:szCs w:val="24"/>
          <w:highlight w:val="white"/>
        </w:rPr>
        <w:t xml:space="preserve">, higher BMIs and less weight loss (e.g., </w:t>
      </w:r>
      <w:hyperlink r:id="rId320">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w:t>
        </w:r>
      </w:hyperlink>
      <w:r>
        <w:rPr>
          <w:rFonts w:ascii="Times New Roman" w:eastAsia="Times New Roman" w:hAnsi="Times New Roman" w:cs="Times New Roman"/>
          <w:sz w:val="24"/>
          <w:szCs w:val="24"/>
          <w:highlight w:val="white"/>
        </w:rPr>
        <w:t xml:space="preserve">; </w:t>
      </w:r>
      <w:hyperlink r:id="rId321">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Ruiz-Lozano et al., 2016</w:t>
        </w:r>
      </w:hyperlink>
      <w:r>
        <w:rPr>
          <w:rFonts w:ascii="Times New Roman" w:eastAsia="Times New Roman" w:hAnsi="Times New Roman" w:cs="Times New Roman"/>
          <w:sz w:val="24"/>
          <w:szCs w:val="24"/>
          <w:highlight w:val="white"/>
        </w:rPr>
        <w:t xml:space="preserve">; </w:t>
      </w:r>
      <w:hyperlink r:id="rId322">
        <w:proofErr w:type="spellStart"/>
        <w:r>
          <w:rPr>
            <w:rFonts w:ascii="Times New Roman" w:eastAsia="Times New Roman" w:hAnsi="Times New Roman" w:cs="Times New Roman"/>
            <w:sz w:val="24"/>
            <w:szCs w:val="24"/>
            <w:highlight w:val="white"/>
          </w:rPr>
          <w:t>Madjd</w:t>
        </w:r>
        <w:proofErr w:type="spellEnd"/>
        <w:r>
          <w:rPr>
            <w:rFonts w:ascii="Times New Roman" w:eastAsia="Times New Roman" w:hAnsi="Times New Roman" w:cs="Times New Roman"/>
            <w:sz w:val="24"/>
            <w:szCs w:val="24"/>
            <w:highlight w:val="white"/>
          </w:rPr>
          <w:t xml:space="preserve"> et al., 2021; </w:t>
        </w:r>
        <w:proofErr w:type="spellStart"/>
        <w:r>
          <w:rPr>
            <w:rFonts w:ascii="Times New Roman" w:eastAsia="Times New Roman" w:hAnsi="Times New Roman" w:cs="Times New Roman"/>
            <w:sz w:val="24"/>
            <w:szCs w:val="24"/>
            <w:highlight w:val="white"/>
          </w:rPr>
          <w:t>Madjd</w:t>
        </w:r>
        <w:proofErr w:type="spellEnd"/>
        <w:r>
          <w:rPr>
            <w:rFonts w:ascii="Times New Roman" w:eastAsia="Times New Roman" w:hAnsi="Times New Roman" w:cs="Times New Roman"/>
            <w:sz w:val="24"/>
            <w:szCs w:val="24"/>
            <w:highlight w:val="white"/>
          </w:rPr>
          <w:t xml:space="preserve"> et al., 2016</w:t>
        </w:r>
      </w:hyperlink>
      <w:r>
        <w:rPr>
          <w:rFonts w:ascii="Times New Roman" w:eastAsia="Times New Roman" w:hAnsi="Times New Roman" w:cs="Times New Roman"/>
          <w:sz w:val="24"/>
          <w:szCs w:val="24"/>
          <w:highlight w:val="white"/>
        </w:rPr>
        <w:t xml:space="preserve">) in late versus early eaters. Furthermore, despite no associations between late eating and higher energy intake, </w:t>
      </w:r>
      <w:proofErr w:type="spellStart"/>
      <w:r>
        <w:rPr>
          <w:rFonts w:ascii="Times New Roman" w:eastAsia="Times New Roman" w:hAnsi="Times New Roman" w:cs="Times New Roman"/>
          <w:sz w:val="24"/>
          <w:szCs w:val="24"/>
          <w:highlight w:val="white"/>
        </w:rPr>
        <w:t>Dashti</w:t>
      </w:r>
      <w:proofErr w:type="spellEnd"/>
      <w:r>
        <w:rPr>
          <w:rFonts w:ascii="Times New Roman" w:eastAsia="Times New Roman" w:hAnsi="Times New Roman" w:cs="Times New Roman"/>
          <w:sz w:val="24"/>
          <w:szCs w:val="24"/>
          <w:highlight w:val="white"/>
        </w:rPr>
        <w:t xml:space="preserve"> and colleagues (2021) </w:t>
      </w:r>
      <w:r>
        <w:rPr>
          <w:rFonts w:ascii="Times New Roman" w:eastAsia="Times New Roman" w:hAnsi="Times New Roman" w:cs="Times New Roman"/>
          <w:sz w:val="24"/>
          <w:szCs w:val="24"/>
          <w:highlight w:val="white"/>
        </w:rPr>
        <w:lastRenderedPageBreak/>
        <w:t xml:space="preserve">found that </w:t>
      </w:r>
      <w:r>
        <w:rPr>
          <w:rFonts w:ascii="Times New Roman" w:eastAsia="Times New Roman" w:hAnsi="Times New Roman" w:cs="Times New Roman"/>
          <w:sz w:val="24"/>
          <w:szCs w:val="24"/>
        </w:rPr>
        <w:t>late eaters showed potential barriers to weight loss that could influence the efficacy of weight loss trials in susceptible populations, such as the tendency to eat coping with stress and to eat at night while watching television</w:t>
      </w:r>
      <w:r>
        <w:rPr>
          <w:rFonts w:ascii="Times New Roman" w:eastAsia="Times New Roman" w:hAnsi="Times New Roman" w:cs="Times New Roman"/>
          <w:sz w:val="24"/>
          <w:szCs w:val="24"/>
          <w:highlight w:val="white"/>
        </w:rPr>
        <w:t xml:space="preserve"> </w:t>
      </w:r>
      <w:hyperlink r:id="rId323">
        <w:r>
          <w:rPr>
            <w:rFonts w:ascii="Times New Roman" w:eastAsia="Times New Roman" w:hAnsi="Times New Roman" w:cs="Times New Roman"/>
            <w:sz w:val="24"/>
            <w:szCs w:val="24"/>
          </w:rPr>
          <w:t>(Kim et al., 2019)</w:t>
        </w:r>
      </w:hyperlink>
      <w:r>
        <w:rPr>
          <w:rFonts w:ascii="Times New Roman" w:eastAsia="Times New Roman" w:hAnsi="Times New Roman" w:cs="Times New Roman"/>
          <w:sz w:val="24"/>
          <w:szCs w:val="24"/>
          <w:highlight w:val="white"/>
        </w:rPr>
        <w:t xml:space="preserve">. Late eaters were also </w:t>
      </w:r>
      <w:r>
        <w:rPr>
          <w:rFonts w:ascii="Times New Roman" w:eastAsia="Times New Roman" w:hAnsi="Times New Roman" w:cs="Times New Roman"/>
          <w:sz w:val="24"/>
          <w:szCs w:val="24"/>
        </w:rPr>
        <w:t>more prone to have lower levels of motivation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which can make more difficult to begin and maintain behavioural changes, e.g., maintaining a healthy diet</w:t>
      </w:r>
      <w:r>
        <w:rPr>
          <w:rFonts w:ascii="Times New Roman" w:eastAsia="Times New Roman" w:hAnsi="Times New Roman" w:cs="Times New Roman"/>
          <w:sz w:val="24"/>
          <w:szCs w:val="24"/>
          <w:highlight w:val="white"/>
        </w:rPr>
        <w:t xml:space="preserve"> </w:t>
      </w:r>
      <w:hyperlink r:id="rId324">
        <w:r>
          <w:rPr>
            <w:rFonts w:ascii="Times New Roman" w:eastAsia="Times New Roman" w:hAnsi="Times New Roman" w:cs="Times New Roman"/>
            <w:sz w:val="24"/>
            <w:szCs w:val="24"/>
          </w:rPr>
          <w:t>(Bautista-</w:t>
        </w:r>
        <w:proofErr w:type="spellStart"/>
        <w:r>
          <w:rPr>
            <w:rFonts w:ascii="Times New Roman" w:eastAsia="Times New Roman" w:hAnsi="Times New Roman" w:cs="Times New Roman"/>
            <w:sz w:val="24"/>
            <w:szCs w:val="24"/>
          </w:rPr>
          <w:t>Castaño</w:t>
        </w:r>
        <w:proofErr w:type="spellEnd"/>
        <w:r>
          <w:rPr>
            <w:rFonts w:ascii="Times New Roman" w:eastAsia="Times New Roman" w:hAnsi="Times New Roman" w:cs="Times New Roman"/>
            <w:sz w:val="24"/>
            <w:szCs w:val="24"/>
          </w:rPr>
          <w:t xml:space="preserve"> et al., 2004; Lang and </w:t>
        </w:r>
        <w:proofErr w:type="spellStart"/>
        <w:r>
          <w:rPr>
            <w:rFonts w:ascii="Times New Roman" w:eastAsia="Times New Roman" w:hAnsi="Times New Roman" w:cs="Times New Roman"/>
            <w:sz w:val="24"/>
            <w:szCs w:val="24"/>
          </w:rPr>
          <w:t>Froelicher</w:t>
        </w:r>
        <w:proofErr w:type="spellEnd"/>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w:t>
        </w:r>
      </w:hyperlink>
      <w:r>
        <w:rPr>
          <w:rFonts w:ascii="Times New Roman" w:eastAsia="Times New Roman" w:hAnsi="Times New Roman" w:cs="Times New Roman"/>
          <w:sz w:val="24"/>
          <w:szCs w:val="24"/>
          <w:highlight w:val="white"/>
        </w:rPr>
        <w:t>. Further studies are needed to investigate meal timing and total energy intake, which informed Chapter 5’s pilot study to ensure total energy intake was assessed.</w:t>
      </w:r>
    </w:p>
    <w:p w14:paraId="0000029D" w14:textId="77777777" w:rsidR="00CB4215" w:rsidRDefault="00CB4215">
      <w:pPr>
        <w:spacing w:line="480" w:lineRule="auto"/>
        <w:rPr>
          <w:rFonts w:ascii="Times New Roman" w:eastAsia="Times New Roman" w:hAnsi="Times New Roman" w:cs="Times New Roman"/>
          <w:sz w:val="24"/>
          <w:szCs w:val="24"/>
          <w:highlight w:val="white"/>
        </w:rPr>
      </w:pPr>
    </w:p>
    <w:p w14:paraId="0000029E"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2.3.3 Associations between meal timing and BMI</w:t>
      </w:r>
    </w:p>
    <w:p w14:paraId="0000029F" w14:textId="77777777" w:rsidR="00CB4215" w:rsidRDefault="00CB4215"/>
    <w:p w14:paraId="000002A0" w14:textId="06D280F3"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evidence suggests that late evening eating also increases the risk of overweight and obesity </w:t>
      </w:r>
      <w:hyperlink r:id="rId325">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Bertéus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Forslund</w:t>
        </w:r>
        <w:proofErr w:type="spellEnd"/>
        <w:r>
          <w:rPr>
            <w:rFonts w:ascii="Times New Roman" w:eastAsia="Times New Roman" w:hAnsi="Times New Roman" w:cs="Times New Roman"/>
            <w:sz w:val="24"/>
            <w:szCs w:val="24"/>
          </w:rPr>
          <w:t xml:space="preserve"> et al., 2002; Berg et al., 2009; Baron et al., 2011</w:t>
        </w:r>
      </w:hyperlink>
      <w:r>
        <w:rPr>
          <w:rFonts w:ascii="Times New Roman" w:eastAsia="Times New Roman" w:hAnsi="Times New Roman" w:cs="Times New Roman"/>
          <w:sz w:val="24"/>
          <w:szCs w:val="24"/>
        </w:rPr>
        <w:t xml:space="preserve">; </w:t>
      </w:r>
      <w:hyperlink r:id="rId326">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w:t>
        </w:r>
        <w:proofErr w:type="spellStart"/>
        <w:r>
          <w:rPr>
            <w:rFonts w:ascii="Times New Roman" w:eastAsia="Times New Roman" w:hAnsi="Times New Roman" w:cs="Times New Roman"/>
            <w:sz w:val="24"/>
            <w:szCs w:val="24"/>
          </w:rPr>
          <w:t>Hermenegildo</w:t>
        </w:r>
        <w:proofErr w:type="spellEnd"/>
        <w:r>
          <w:rPr>
            <w:rFonts w:ascii="Times New Roman" w:eastAsia="Times New Roman" w:hAnsi="Times New Roman" w:cs="Times New Roman"/>
            <w:sz w:val="24"/>
            <w:szCs w:val="24"/>
          </w:rPr>
          <w:t xml:space="preserve"> et al., 2016; Ruiz-Lozano et al., 2016; Bo et al., 2014;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Kutsuma</w:t>
        </w:r>
        <w:proofErr w:type="spellEnd"/>
        <w:r>
          <w:rPr>
            <w:rFonts w:ascii="Times New Roman" w:eastAsia="Times New Roman" w:hAnsi="Times New Roman" w:cs="Times New Roman"/>
            <w:sz w:val="24"/>
            <w:szCs w:val="24"/>
          </w:rPr>
          <w:t xml:space="preserve"> et al., 2014; Xiao et al., 2019; Yoshida et al., 2018)</w:t>
        </w:r>
      </w:hyperlink>
      <w:r>
        <w:rPr>
          <w:rFonts w:ascii="Times New Roman" w:eastAsia="Times New Roman" w:hAnsi="Times New Roman" w:cs="Times New Roman"/>
          <w:sz w:val="24"/>
          <w:szCs w:val="24"/>
        </w:rPr>
        <w:t xml:space="preserve">. A prospective study found that individuals who consumed 20% or more of their daily caloric intake after 20:00 had almost double the risk of obesity at the study’s onset and after 7 years </w:t>
      </w:r>
      <w:hyperlink r:id="rId32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Maukonen</w:t>
        </w:r>
        <w:proofErr w:type="spellEnd"/>
        <w:r>
          <w:rPr>
            <w:rFonts w:ascii="Times New Roman" w:eastAsia="Times New Roman" w:hAnsi="Times New Roman" w:cs="Times New Roman"/>
            <w:sz w:val="24"/>
            <w:szCs w:val="24"/>
          </w:rPr>
          <w:t xml:space="preserve"> et al., 2019)</w:t>
        </w:r>
      </w:hyperlink>
      <w:r>
        <w:rPr>
          <w:rFonts w:ascii="Times New Roman" w:eastAsia="Times New Roman" w:hAnsi="Times New Roman" w:cs="Times New Roman"/>
          <w:sz w:val="24"/>
          <w:szCs w:val="24"/>
        </w:rPr>
        <w:t xml:space="preserve">. Furthermore, a systematic review of ten studies suggests that late eating is associated with an increased rate of obesity independent from total energy intake, dietary composition and estimated energy expenditure </w:t>
      </w:r>
      <w:hyperlink r:id="rId328">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Beccuti</w:t>
        </w:r>
        <w:proofErr w:type="spellEnd"/>
        <w:r>
          <w:rPr>
            <w:rFonts w:ascii="Times New Roman" w:eastAsia="Times New Roman" w:hAnsi="Times New Roman" w:cs="Times New Roman"/>
            <w:sz w:val="24"/>
            <w:szCs w:val="24"/>
          </w:rPr>
          <w:t xml:space="preserve"> et al., 2017)</w:t>
        </w:r>
      </w:hyperlink>
      <w:r>
        <w:rPr>
          <w:rFonts w:ascii="Times New Roman" w:eastAsia="Times New Roman" w:hAnsi="Times New Roman" w:cs="Times New Roman"/>
          <w:sz w:val="24"/>
          <w:szCs w:val="24"/>
        </w:rPr>
        <w:t xml:space="preserve">. Despite some studies finding no association between later eating and higher BMI  </w:t>
      </w:r>
      <w:hyperlink r:id="rId329">
        <w:r>
          <w:rPr>
            <w:rFonts w:ascii="Times New Roman" w:eastAsia="Times New Roman" w:hAnsi="Times New Roman" w:cs="Times New Roman"/>
            <w:sz w:val="24"/>
            <w:szCs w:val="24"/>
          </w:rPr>
          <w:t xml:space="preserve">(Jacob et al., 2023; Kant et al., 1997; </w:t>
        </w:r>
        <w:proofErr w:type="spellStart"/>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 2019; Lee et al., 2016; Reid et al., 2014; Ruddick-Collins et al., 2022; Sandhu and Tang</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2017)</w:t>
        </w:r>
      </w:hyperlink>
      <w:r>
        <w:rPr>
          <w:rFonts w:ascii="Times New Roman" w:eastAsia="Times New Roman" w:hAnsi="Times New Roman" w:cs="Times New Roman"/>
          <w:sz w:val="24"/>
          <w:szCs w:val="24"/>
        </w:rPr>
        <w:t>, different populations are potential reasons for inconsistency, such as Japanese (</w:t>
      </w:r>
      <w:proofErr w:type="spellStart"/>
      <w:r w:rsidR="007E2DD6">
        <w:fldChar w:fldCharType="begin"/>
      </w:r>
      <w:r w:rsidR="007E2DD6">
        <w:instrText xml:space="preserve"> HYPERLINK "https://sciwheel.com/work/citation?ids=15144920,15654934,15655567,15150196,8289909,13605504,10552444&amp;pre=&amp;pre=&amp;pre=&amp;pre=&amp;pre=&amp;pre=&amp;pre=&amp;suf=&amp;suf=&amp;suf=&amp;suf=&amp;suf=&amp;suf=&amp;suf=&amp;sa=0,0,0,0,0,0</w:instrText>
      </w:r>
      <w:r w:rsidR="007E2DD6">
        <w:instrText xml:space="preserve">,0" \h </w:instrText>
      </w:r>
      <w:r w:rsidR="007E2DD6">
        <w:fldChar w:fldCharType="separate"/>
      </w:r>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 2019; Lee et al., 2016</w:t>
      </w:r>
      <w:r w:rsidR="007E2DD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and South-Asian Canadians (</w:t>
      </w:r>
      <w:hyperlink r:id="rId330">
        <w:r>
          <w:rPr>
            <w:rFonts w:ascii="Times New Roman" w:eastAsia="Times New Roman" w:hAnsi="Times New Roman" w:cs="Times New Roman"/>
            <w:sz w:val="24"/>
            <w:szCs w:val="24"/>
          </w:rPr>
          <w:t>Sandhu and Tang</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2017</w:t>
        </w:r>
      </w:hyperlink>
      <w:r>
        <w:rPr>
          <w:rFonts w:ascii="Times New Roman" w:eastAsia="Times New Roman" w:hAnsi="Times New Roman" w:cs="Times New Roman"/>
          <w:sz w:val="24"/>
          <w:szCs w:val="24"/>
        </w:rPr>
        <w:t xml:space="preserve">). Furthermore, meal timing has changed over time in different cultures </w:t>
      </w:r>
      <w:hyperlink r:id="rId33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Fjellström</w:t>
        </w:r>
        <w:proofErr w:type="spellEnd"/>
        <w:r>
          <w:rPr>
            <w:rFonts w:ascii="Times New Roman" w:eastAsia="Times New Roman" w:hAnsi="Times New Roman" w:cs="Times New Roman"/>
            <w:sz w:val="24"/>
            <w:szCs w:val="24"/>
          </w:rPr>
          <w:t xml:space="preserve"> 2004)</w:t>
        </w:r>
      </w:hyperlink>
      <w:r>
        <w:rPr>
          <w:rFonts w:ascii="Times New Roman" w:eastAsia="Times New Roman" w:hAnsi="Times New Roman" w:cs="Times New Roman"/>
          <w:sz w:val="24"/>
          <w:szCs w:val="24"/>
        </w:rPr>
        <w:t xml:space="preserve">. Therefore, the results may not be generalisable to other countries. It should </w:t>
      </w:r>
      <w:r>
        <w:rPr>
          <w:rFonts w:ascii="Times New Roman" w:eastAsia="Times New Roman" w:hAnsi="Times New Roman" w:cs="Times New Roman"/>
          <w:sz w:val="24"/>
          <w:szCs w:val="24"/>
        </w:rPr>
        <w:lastRenderedPageBreak/>
        <w:t>also be noted that two studies that reported no significant association between meal timing and higher BMI reported increased total energy intake with later eating, which could be associated with increased BMI in the long term</w:t>
      </w:r>
      <w:r>
        <w:rPr>
          <w:rFonts w:ascii="Times New Roman" w:eastAsia="Times New Roman" w:hAnsi="Times New Roman" w:cs="Times New Roman"/>
          <w:sz w:val="24"/>
          <w:szCs w:val="24"/>
          <w:highlight w:val="white"/>
        </w:rPr>
        <w:t xml:space="preserve"> (</w:t>
      </w:r>
      <w:hyperlink r:id="rId332">
        <w:r>
          <w:rPr>
            <w:rFonts w:ascii="Times New Roman" w:eastAsia="Times New Roman" w:hAnsi="Times New Roman" w:cs="Times New Roman"/>
            <w:sz w:val="24"/>
            <w:szCs w:val="24"/>
          </w:rPr>
          <w:t>Reid et al., 2014</w:t>
        </w:r>
      </w:hyperlink>
      <w:r>
        <w:rPr>
          <w:rFonts w:ascii="Times New Roman" w:eastAsia="Times New Roman" w:hAnsi="Times New Roman" w:cs="Times New Roman"/>
          <w:sz w:val="24"/>
          <w:szCs w:val="24"/>
        </w:rPr>
        <w:t xml:space="preserve">; </w:t>
      </w:r>
      <w:hyperlink r:id="rId333">
        <w:r>
          <w:rPr>
            <w:rFonts w:ascii="Times New Roman" w:eastAsia="Times New Roman" w:hAnsi="Times New Roman" w:cs="Times New Roman"/>
            <w:sz w:val="24"/>
            <w:szCs w:val="24"/>
          </w:rPr>
          <w:t>Jacob et al., 2023</w:t>
        </w:r>
      </w:hyperlink>
      <w:r>
        <w:rPr>
          <w:rFonts w:ascii="Times New Roman" w:eastAsia="Times New Roman" w:hAnsi="Times New Roman" w:cs="Times New Roman"/>
          <w:sz w:val="24"/>
          <w:szCs w:val="24"/>
        </w:rPr>
        <w:t xml:space="preserve">). Late eating may represent a circadian disruption that leads to changes in the function of clock genes and circadian variations in peripheral clocks, gene expression, satiety hormones and digestive processes </w:t>
      </w:r>
      <w:hyperlink r:id="rId334">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and Gómez-</w:t>
        </w:r>
        <w:proofErr w:type="spellStart"/>
        <w:r>
          <w:rPr>
            <w:rFonts w:ascii="Times New Roman" w:eastAsia="Times New Roman" w:hAnsi="Times New Roman" w:cs="Times New Roman"/>
            <w:sz w:val="24"/>
            <w:szCs w:val="24"/>
          </w:rPr>
          <w:t>Abellán</w:t>
        </w:r>
        <w:proofErr w:type="spellEnd"/>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xml:space="preserve">. Among the mechanisms that promote obesity, diet-induced thermogenesis is lower in the evening </w:t>
      </w:r>
      <w:hyperlink r:id="rId335">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Romon</w:t>
        </w:r>
        <w:proofErr w:type="spellEnd"/>
        <w:r>
          <w:rPr>
            <w:rFonts w:ascii="Times New Roman" w:eastAsia="Times New Roman" w:hAnsi="Times New Roman" w:cs="Times New Roman"/>
            <w:sz w:val="24"/>
            <w:szCs w:val="24"/>
          </w:rPr>
          <w:t xml:space="preserve"> et al., 1993)</w:t>
        </w:r>
      </w:hyperlink>
      <w:r>
        <w:rPr>
          <w:rFonts w:ascii="Times New Roman" w:eastAsia="Times New Roman" w:hAnsi="Times New Roman" w:cs="Times New Roman"/>
          <w:sz w:val="24"/>
          <w:szCs w:val="24"/>
        </w:rPr>
        <w:t xml:space="preserve">, and there is a reduced rate of fat oxidation during night-time eating </w:t>
      </w:r>
      <w:hyperlink r:id="rId336">
        <w:r>
          <w:rPr>
            <w:rFonts w:ascii="Times New Roman" w:eastAsia="Times New Roman" w:hAnsi="Times New Roman" w:cs="Times New Roman"/>
            <w:sz w:val="24"/>
            <w:szCs w:val="24"/>
          </w:rPr>
          <w:t xml:space="preserve">(Gluck et al., 2011; </w:t>
        </w:r>
        <w:proofErr w:type="spellStart"/>
        <w:r>
          <w:rPr>
            <w:rFonts w:ascii="Times New Roman" w:eastAsia="Times New Roman" w:hAnsi="Times New Roman" w:cs="Times New Roman"/>
            <w:sz w:val="24"/>
            <w:szCs w:val="24"/>
          </w:rPr>
          <w:t>Hibi</w:t>
        </w:r>
        <w:proofErr w:type="spellEnd"/>
        <w:r>
          <w:rPr>
            <w:rFonts w:ascii="Times New Roman" w:eastAsia="Times New Roman" w:hAnsi="Times New Roman" w:cs="Times New Roman"/>
            <w:sz w:val="24"/>
            <w:szCs w:val="24"/>
          </w:rPr>
          <w:t xml:space="preserve"> et al., 2013)</w:t>
        </w:r>
      </w:hyperlink>
      <w:r>
        <w:rPr>
          <w:rFonts w:ascii="Times New Roman" w:eastAsia="Times New Roman" w:hAnsi="Times New Roman" w:cs="Times New Roman"/>
          <w:sz w:val="24"/>
          <w:szCs w:val="24"/>
        </w:rPr>
        <w:t xml:space="preserve">. Thus, given the mixed findings of associations between late eating and higher BMI, further studies are needed to investigate these associations, which have been considered with quantitative studies reported in this thesis: Study 1 (Chapter 4) and Study 2 (Chapter 5). </w:t>
      </w:r>
    </w:p>
    <w:p w14:paraId="000002A1" w14:textId="77777777" w:rsidR="00CB4215" w:rsidRDefault="00CB4215">
      <w:pPr>
        <w:spacing w:line="480" w:lineRule="auto"/>
        <w:rPr>
          <w:rFonts w:ascii="Times New Roman" w:eastAsia="Times New Roman" w:hAnsi="Times New Roman" w:cs="Times New Roman"/>
          <w:sz w:val="24"/>
          <w:szCs w:val="24"/>
        </w:rPr>
      </w:pPr>
    </w:p>
    <w:p w14:paraId="000002A2"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2.3.4 Associations between meal timing and weight loss</w:t>
      </w:r>
    </w:p>
    <w:p w14:paraId="000002A3" w14:textId="77777777" w:rsidR="00CB4215" w:rsidRDefault="00CB4215"/>
    <w:p w14:paraId="000002A4" w14:textId="2C22346B"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timing of food intake may influence weight loss success. Both cross-sectional and intervention studies suggest that eating late during the day is linked with less weight loss </w:t>
      </w:r>
      <w:hyperlink r:id="rId33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Raynor et al., 2018; </w:t>
        </w:r>
        <w:proofErr w:type="spellStart"/>
        <w:r>
          <w:rPr>
            <w:rFonts w:ascii="Times New Roman" w:eastAsia="Times New Roman" w:hAnsi="Times New Roman" w:cs="Times New Roman"/>
            <w:sz w:val="24"/>
            <w:szCs w:val="24"/>
          </w:rPr>
          <w:t>Jakubowicz</w:t>
        </w:r>
        <w:proofErr w:type="spellEnd"/>
        <w:r>
          <w:rPr>
            <w:rFonts w:ascii="Times New Roman" w:eastAsia="Times New Roman" w:hAnsi="Times New Roman" w:cs="Times New Roman"/>
            <w:sz w:val="24"/>
            <w:szCs w:val="24"/>
          </w:rPr>
          <w:t xml:space="preserve"> et al., 2013;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Lombardo et al., 2014)</w:t>
        </w:r>
      </w:hyperlink>
      <w:r>
        <w:rPr>
          <w:rFonts w:ascii="Times New Roman" w:eastAsia="Times New Roman" w:hAnsi="Times New Roman" w:cs="Times New Roman"/>
          <w:sz w:val="24"/>
          <w:szCs w:val="24"/>
        </w:rPr>
        <w:t xml:space="preserve">. A randomised clinical trial in women with overweight/obesity found that women who consumed their evening meals between 19:00 and 19:30 lost more weight and had a greater weight reduction than those who ate between 22:30 and 23:00 over a 12-week period </w:t>
      </w:r>
      <w:hyperlink r:id="rId338">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Madjd</w:t>
        </w:r>
        <w:proofErr w:type="spellEnd"/>
        <w:r>
          <w:rPr>
            <w:rFonts w:ascii="Times New Roman" w:eastAsia="Times New Roman" w:hAnsi="Times New Roman" w:cs="Times New Roman"/>
            <w:sz w:val="24"/>
            <w:szCs w:val="24"/>
          </w:rPr>
          <w:t xml:space="preserve"> et al., 2021)</w:t>
        </w:r>
      </w:hyperlink>
      <w:r>
        <w:rPr>
          <w:rFonts w:ascii="Times New Roman" w:eastAsia="Times New Roman" w:hAnsi="Times New Roman" w:cs="Times New Roman"/>
          <w:sz w:val="24"/>
          <w:szCs w:val="24"/>
        </w:rPr>
        <w:t xml:space="preserve">. In addition, a 12-week weight-loss programme showed that a high-calorie breakfast was more effective in reducing weight and waist circumference in women with overweight and obesity than an isocaloric diet with a high-calorie evening meal </w:t>
      </w:r>
      <w:hyperlink r:id="rId33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w:t>
        </w:r>
      </w:hyperlink>
      <w:r>
        <w:rPr>
          <w:rFonts w:ascii="Times New Roman" w:eastAsia="Times New Roman" w:hAnsi="Times New Roman" w:cs="Times New Roman"/>
          <w:sz w:val="24"/>
          <w:szCs w:val="24"/>
        </w:rPr>
        <w:t xml:space="preserve">. One possible explanation for the correlation between late eating and reduced weight loss is that late eating may influence circadian genes (e.g., SIRT1 and CLOCK loci), increasing the probability of weight gain and decreasing the possibility of </w:t>
      </w:r>
      <w:r>
        <w:rPr>
          <w:rFonts w:ascii="Times New Roman" w:eastAsia="Times New Roman" w:hAnsi="Times New Roman" w:cs="Times New Roman"/>
          <w:sz w:val="24"/>
          <w:szCs w:val="24"/>
        </w:rPr>
        <w:lastRenderedPageBreak/>
        <w:t xml:space="preserve">weight loss in late eaters. People who carry minor alleles at both the SIRT1 and CLOCK loci have shown a significant resistance to losing weight, which may be linked with their preference for consuming late in the evening </w:t>
      </w:r>
      <w:hyperlink r:id="rId34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2012)</w:t>
        </w:r>
      </w:hyperlink>
      <w:r>
        <w:rPr>
          <w:rFonts w:ascii="Times New Roman" w:eastAsia="Times New Roman" w:hAnsi="Times New Roman" w:cs="Times New Roman"/>
          <w:sz w:val="24"/>
          <w:szCs w:val="24"/>
        </w:rPr>
        <w:t xml:space="preserve">. A later circadian rhythm is also linked with reduced insulin sensitivity </w:t>
      </w:r>
      <w:hyperlink r:id="rId341">
        <w:r>
          <w:rPr>
            <w:rFonts w:ascii="Times New Roman" w:eastAsia="Times New Roman" w:hAnsi="Times New Roman" w:cs="Times New Roman"/>
            <w:sz w:val="24"/>
            <w:szCs w:val="24"/>
          </w:rPr>
          <w:t>(Zhao et al., 2012)</w:t>
        </w:r>
      </w:hyperlink>
      <w:r>
        <w:rPr>
          <w:rFonts w:ascii="Times New Roman" w:eastAsia="Times New Roman" w:hAnsi="Times New Roman" w:cs="Times New Roman"/>
          <w:sz w:val="24"/>
          <w:szCs w:val="24"/>
        </w:rPr>
        <w:t xml:space="preserve"> and metabolic changes </w:t>
      </w:r>
      <w:hyperlink r:id="rId342">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and Madrid</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2010)</w:t>
        </w:r>
      </w:hyperlink>
      <w:r>
        <w:rPr>
          <w:rFonts w:ascii="Times New Roman" w:eastAsia="Times New Roman" w:hAnsi="Times New Roman" w:cs="Times New Roman"/>
          <w:sz w:val="24"/>
          <w:szCs w:val="24"/>
        </w:rPr>
        <w:t xml:space="preserve"> due to hormonal variations, leading to increased overweight and obesity </w:t>
      </w:r>
      <w:hyperlink r:id="rId34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Corbalán-Tutau</w:t>
        </w:r>
        <w:proofErr w:type="spellEnd"/>
        <w:r>
          <w:rPr>
            <w:rFonts w:ascii="Times New Roman" w:eastAsia="Times New Roman" w:hAnsi="Times New Roman" w:cs="Times New Roman"/>
            <w:sz w:val="24"/>
            <w:szCs w:val="24"/>
          </w:rPr>
          <w:t xml:space="preserve"> et al., 2014)</w:t>
        </w:r>
      </w:hyperlink>
      <w:r>
        <w:rPr>
          <w:rFonts w:ascii="Times New Roman" w:eastAsia="Times New Roman" w:hAnsi="Times New Roman" w:cs="Times New Roman"/>
          <w:sz w:val="24"/>
          <w:szCs w:val="24"/>
        </w:rPr>
        <w:t xml:space="preserve">. </w:t>
      </w:r>
    </w:p>
    <w:p w14:paraId="000002A5" w14:textId="77777777" w:rsidR="00CB4215" w:rsidRDefault="00CB4215">
      <w:pPr>
        <w:spacing w:line="480" w:lineRule="auto"/>
        <w:rPr>
          <w:rFonts w:ascii="Times New Roman" w:eastAsia="Times New Roman" w:hAnsi="Times New Roman" w:cs="Times New Roman"/>
          <w:sz w:val="24"/>
          <w:szCs w:val="24"/>
        </w:rPr>
      </w:pPr>
    </w:p>
    <w:p w14:paraId="000002A6"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2.3.5 Characteristics of late eaters</w:t>
      </w:r>
    </w:p>
    <w:p w14:paraId="000002A7" w14:textId="77777777" w:rsidR="00CB4215" w:rsidRDefault="00CB4215"/>
    <w:p w14:paraId="000002A8"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Collectively, timing of food intake is emerging as a predictor of overall health and a potentially relevant risk factor for obesity. However, there are still uncertainties regarding the characteristics of late eaters.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(2019) identified the genetic and environmental factors that may influence late evening eating, yet the exact characterization of late eaters is unclear. Only one study used a three-day food diary and measured eating behaviour traits using Three-Factor Eating Questionnaire (TFEQ) and the Binge Eating Scale (BES) to explore the relationships between late eating and eating behaviour traits </w:t>
      </w:r>
      <w:hyperlink r:id="rId344">
        <w:r>
          <w:rPr>
            <w:rFonts w:ascii="Times New Roman" w:eastAsia="Times New Roman" w:hAnsi="Times New Roman" w:cs="Times New Roman"/>
            <w:sz w:val="24"/>
            <w:szCs w:val="24"/>
          </w:rPr>
          <w:t>(Jacob et al., 2023)</w:t>
        </w:r>
      </w:hyperlink>
      <w:r>
        <w:rPr>
          <w:rFonts w:ascii="Times New Roman" w:eastAsia="Times New Roman" w:hAnsi="Times New Roman" w:cs="Times New Roman"/>
          <w:sz w:val="24"/>
          <w:szCs w:val="24"/>
        </w:rPr>
        <w:t xml:space="preserve">. Jacob and colleagues (2023) found late eating was significantly associated with traits:  disinhibition and susceptibility to hunger in participants with overweight and obesity. However, it has been shown that there are other eating behaviour traits associated with greater risk of overconsumption and higher BMI, such as lower scores on craving control, satiety responsiveness, cognitive constraint and higher scores on emotional eating (see more details in section 1.9). Yet, it is unclear whether these eating behaviour traits are associated with late eating or whether there are differences in these eating behaviour traits between early versus late eaters. Exploring the characteristics of eating behaviour traits in late eaters will be helpful for informing strategies to encourage eating earlier. Therefore, the association </w:t>
      </w:r>
      <w:r>
        <w:rPr>
          <w:rFonts w:ascii="Times New Roman" w:eastAsia="Times New Roman" w:hAnsi="Times New Roman" w:cs="Times New Roman"/>
          <w:sz w:val="24"/>
          <w:szCs w:val="24"/>
        </w:rPr>
        <w:lastRenderedPageBreak/>
        <w:t xml:space="preserve">between late eating and eating behaviour traits will be further explored in Study 1 (Chapter 4) and Study 2 (Chapter 5).  </w:t>
      </w:r>
    </w:p>
    <w:p w14:paraId="000002A9" w14:textId="77777777" w:rsidR="00CB4215" w:rsidRDefault="00CB4215">
      <w:pPr>
        <w:spacing w:line="480" w:lineRule="auto"/>
        <w:rPr>
          <w:rFonts w:ascii="Times New Roman" w:eastAsia="Times New Roman" w:hAnsi="Times New Roman" w:cs="Times New Roman"/>
          <w:sz w:val="24"/>
          <w:szCs w:val="24"/>
        </w:rPr>
      </w:pPr>
    </w:p>
    <w:p w14:paraId="000002AA" w14:textId="70ECCBBC"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quantitative research on the impact of meal timing on health is ongoing, there has been less focus on factors that influence late evening eating (de Cabo and Mattson</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2019). Previous evidence indicates that meal timing could be influenced by a variety of factors, ranging from individual characteristics and choices, cultural contexts, environmental to physiological determinants (Leung et al., 2019; Vetter and Scheer</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2019). A qualitative study using focus groups, pregnant black women (n = 18) reported individual and interpersonal contributors to late-night eating, including hunger, foetal movements, altered sleep patterns and the influence of social others (e.g., children and parents in the household who were eating; Kroeger et al., 2019). However, there is limited qualitative evidence exploring the factors influencing late evening eating in adults who are not pregnant. Therefore, given the limited qualitative research in meal timing literature, the qualitative study (Chapter 6) in this thesis was conducted to investigate the factors contributing to late evening eating, and barriers and enablers to changing late eating, which can be used to inform interventions to encourage individuals at risk of obesity to reduce late evening eating.</w:t>
      </w:r>
    </w:p>
    <w:p w14:paraId="000002AB" w14:textId="77777777" w:rsidR="00CB4215" w:rsidRDefault="00CB4215">
      <w:pPr>
        <w:spacing w:line="480" w:lineRule="auto"/>
        <w:rPr>
          <w:rFonts w:ascii="Times New Roman" w:eastAsia="Times New Roman" w:hAnsi="Times New Roman" w:cs="Times New Roman"/>
          <w:sz w:val="24"/>
          <w:szCs w:val="24"/>
        </w:rPr>
      </w:pPr>
    </w:p>
    <w:p w14:paraId="000002AC"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2.3.6 Possible mechanisms of meal timing effects</w:t>
      </w:r>
    </w:p>
    <w:p w14:paraId="000002AD" w14:textId="77777777" w:rsidR="00CB4215" w:rsidRDefault="00CB4215"/>
    <w:p w14:paraId="000002AE" w14:textId="44D6F02E"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 evening eating is a potential risk factor for obesity and weight gain, yet the underlying mechanisms remain unclear. The disturbance of the circadian rhythm may have an influence on its interaction with food intake </w:t>
      </w:r>
      <w:hyperlink r:id="rId345">
        <w:r>
          <w:rPr>
            <w:rFonts w:ascii="Times New Roman" w:eastAsia="Times New Roman" w:hAnsi="Times New Roman" w:cs="Times New Roman"/>
            <w:sz w:val="24"/>
            <w:szCs w:val="24"/>
          </w:rPr>
          <w:t>(Peters et al., 2024)</w:t>
        </w:r>
      </w:hyperlink>
      <w:r>
        <w:rPr>
          <w:rFonts w:ascii="Times New Roman" w:eastAsia="Times New Roman" w:hAnsi="Times New Roman" w:cs="Times New Roman"/>
          <w:sz w:val="24"/>
          <w:szCs w:val="24"/>
        </w:rPr>
        <w:t xml:space="preserve">. The misalignment of food intake with endogenous circadian timing, may have also contributed to the sleep disturbances </w:t>
      </w:r>
      <w:hyperlink r:id="rId346">
        <w:r>
          <w:rPr>
            <w:rFonts w:ascii="Times New Roman" w:eastAsia="Times New Roman" w:hAnsi="Times New Roman" w:cs="Times New Roman"/>
            <w:sz w:val="24"/>
            <w:szCs w:val="24"/>
          </w:rPr>
          <w:t xml:space="preserve">(Broussard and Van </w:t>
        </w:r>
        <w:proofErr w:type="spellStart"/>
        <w:r>
          <w:rPr>
            <w:rFonts w:ascii="Times New Roman" w:eastAsia="Times New Roman" w:hAnsi="Times New Roman" w:cs="Times New Roman"/>
            <w:sz w:val="24"/>
            <w:szCs w:val="24"/>
          </w:rPr>
          <w:t>Cauter</w:t>
        </w:r>
        <w:proofErr w:type="spellEnd"/>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w:t>
        </w:r>
      </w:hyperlink>
      <w:r>
        <w:rPr>
          <w:rFonts w:ascii="Times New Roman" w:eastAsia="Times New Roman" w:hAnsi="Times New Roman" w:cs="Times New Roman"/>
          <w:sz w:val="24"/>
          <w:szCs w:val="24"/>
        </w:rPr>
        <w:t xml:space="preserve">. In addition, food-induced thermogenesis has been found to be higher in the morning than in the evening </w:t>
      </w:r>
      <w:hyperlink r:id="rId347">
        <w:r>
          <w:rPr>
            <w:rFonts w:ascii="Times New Roman" w:eastAsia="Times New Roman" w:hAnsi="Times New Roman" w:cs="Times New Roman"/>
            <w:sz w:val="24"/>
            <w:szCs w:val="24"/>
          </w:rPr>
          <w:t>(Morris et al., 2015)</w:t>
        </w:r>
      </w:hyperlink>
      <w:r>
        <w:rPr>
          <w:rFonts w:ascii="Times New Roman" w:eastAsia="Times New Roman" w:hAnsi="Times New Roman" w:cs="Times New Roman"/>
          <w:sz w:val="24"/>
          <w:szCs w:val="24"/>
        </w:rPr>
        <w:t xml:space="preserve">. Moreover, individuals have lower </w:t>
      </w:r>
      <w:r>
        <w:rPr>
          <w:rFonts w:ascii="Times New Roman" w:eastAsia="Times New Roman" w:hAnsi="Times New Roman" w:cs="Times New Roman"/>
          <w:sz w:val="24"/>
          <w:szCs w:val="24"/>
        </w:rPr>
        <w:lastRenderedPageBreak/>
        <w:t xml:space="preserve">rest metabolic rate and increased glycaemic and insulinemic responses, when consuming the same meal in the evening compared in the morning </w:t>
      </w:r>
      <w:hyperlink r:id="rId348">
        <w:r>
          <w:rPr>
            <w:rFonts w:ascii="Times New Roman" w:eastAsia="Times New Roman" w:hAnsi="Times New Roman" w:cs="Times New Roman"/>
            <w:sz w:val="24"/>
            <w:szCs w:val="24"/>
          </w:rPr>
          <w:t>(Bo et al., 2015)</w:t>
        </w:r>
      </w:hyperlink>
      <w:r>
        <w:rPr>
          <w:rFonts w:ascii="Times New Roman" w:eastAsia="Times New Roman" w:hAnsi="Times New Roman" w:cs="Times New Roman"/>
          <w:sz w:val="24"/>
          <w:szCs w:val="24"/>
        </w:rPr>
        <w:t xml:space="preserve">. Increased insulin responses are believed to decrease feelings of fullness and promote hunger </w:t>
      </w:r>
      <w:hyperlink r:id="rId349">
        <w:r>
          <w:rPr>
            <w:rFonts w:ascii="Times New Roman" w:eastAsia="Times New Roman" w:hAnsi="Times New Roman" w:cs="Times New Roman"/>
            <w:sz w:val="24"/>
            <w:szCs w:val="24"/>
          </w:rPr>
          <w:t>(Ludwig</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2002; Roberts</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2000)</w:t>
        </w:r>
      </w:hyperlink>
      <w:r>
        <w:rPr>
          <w:rFonts w:ascii="Times New Roman" w:eastAsia="Times New Roman" w:hAnsi="Times New Roman" w:cs="Times New Roman"/>
          <w:sz w:val="24"/>
          <w:szCs w:val="24"/>
        </w:rPr>
        <w:t xml:space="preserve">. </w:t>
      </w:r>
    </w:p>
    <w:p w14:paraId="000002AF" w14:textId="77777777" w:rsidR="00CB4215" w:rsidRDefault="00CB4215">
      <w:pPr>
        <w:spacing w:line="480" w:lineRule="auto"/>
        <w:rPr>
          <w:rFonts w:ascii="Times New Roman" w:eastAsia="Times New Roman" w:hAnsi="Times New Roman" w:cs="Times New Roman"/>
          <w:sz w:val="24"/>
          <w:szCs w:val="24"/>
        </w:rPr>
      </w:pPr>
    </w:p>
    <w:p w14:paraId="000002B0" w14:textId="3977693E"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mechanisms include the hormones, such as leptin </w:t>
      </w:r>
      <w:hyperlink r:id="rId35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Arble</w:t>
        </w:r>
        <w:proofErr w:type="spellEnd"/>
        <w:r>
          <w:rPr>
            <w:rFonts w:ascii="Times New Roman" w:eastAsia="Times New Roman" w:hAnsi="Times New Roman" w:cs="Times New Roman"/>
            <w:sz w:val="24"/>
            <w:szCs w:val="24"/>
          </w:rPr>
          <w:t xml:space="preserve"> et al., 2009)</w:t>
        </w:r>
      </w:hyperlink>
      <w:r>
        <w:rPr>
          <w:rFonts w:ascii="Times New Roman" w:eastAsia="Times New Roman" w:hAnsi="Times New Roman" w:cs="Times New Roman"/>
          <w:sz w:val="24"/>
          <w:szCs w:val="24"/>
        </w:rPr>
        <w:t xml:space="preserve">. Late eating could change the circadian rhythm of many hormones that are involved in metabolism, including insulin, glucagon, and leptin </w:t>
      </w:r>
      <w:hyperlink r:id="rId35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and Gómez-</w:t>
        </w:r>
        <w:proofErr w:type="spellStart"/>
        <w:r>
          <w:rPr>
            <w:rFonts w:ascii="Times New Roman" w:eastAsia="Times New Roman" w:hAnsi="Times New Roman" w:cs="Times New Roman"/>
            <w:sz w:val="24"/>
            <w:szCs w:val="24"/>
          </w:rPr>
          <w:t>Abellán</w:t>
        </w:r>
        <w:proofErr w:type="spellEnd"/>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xml:space="preserve">. For example, concentration of leptin decreases due to mistimed eating, which is related to increased food intake and reduced energy expenditure </w:t>
      </w:r>
      <w:hyperlink r:id="rId352">
        <w:r>
          <w:rPr>
            <w:rFonts w:ascii="Times New Roman" w:eastAsia="Times New Roman" w:hAnsi="Times New Roman" w:cs="Times New Roman"/>
            <w:sz w:val="24"/>
            <w:szCs w:val="24"/>
          </w:rPr>
          <w:t>(Peters et al., 2024)</w:t>
        </w:r>
      </w:hyperlink>
      <w:r>
        <w:rPr>
          <w:rFonts w:ascii="Times New Roman" w:eastAsia="Times New Roman" w:hAnsi="Times New Roman" w:cs="Times New Roman"/>
          <w:sz w:val="24"/>
          <w:szCs w:val="24"/>
        </w:rPr>
        <w:t xml:space="preserve">. Not only hormonal, but further organs responsible for digestive processes, such as the stomach, intestines and pancreas, which are involved in nutrient absorption, motility and digestion, could be influenced by the timing of food consumption. Digestion begins in the mouth, where food is chewed and combined with saliva, which contains enzymes that begin to break down the food chemically. Several studies have found that the flow of saliva in the mouth or gut, stomach acid and intestinal motility has decreased in the evening </w:t>
      </w:r>
      <w:hyperlink r:id="rId353">
        <w:r>
          <w:rPr>
            <w:rFonts w:ascii="Times New Roman" w:eastAsia="Times New Roman" w:hAnsi="Times New Roman" w:cs="Times New Roman"/>
            <w:sz w:val="24"/>
            <w:szCs w:val="24"/>
          </w:rPr>
          <w:t xml:space="preserve">(Cummings et al., 2001; </w:t>
        </w:r>
        <w:proofErr w:type="spellStart"/>
        <w:r>
          <w:rPr>
            <w:rFonts w:ascii="Times New Roman" w:eastAsia="Times New Roman" w:hAnsi="Times New Roman" w:cs="Times New Roman"/>
            <w:sz w:val="24"/>
            <w:szCs w:val="24"/>
          </w:rPr>
          <w:t>Natalucci</w:t>
        </w:r>
        <w:proofErr w:type="spellEnd"/>
        <w:r>
          <w:rPr>
            <w:rFonts w:ascii="Times New Roman" w:eastAsia="Times New Roman" w:hAnsi="Times New Roman" w:cs="Times New Roman"/>
            <w:sz w:val="24"/>
            <w:szCs w:val="24"/>
          </w:rPr>
          <w:t xml:space="preserve"> et al., 2005; </w:t>
        </w:r>
        <w:proofErr w:type="spellStart"/>
        <w:r>
          <w:rPr>
            <w:rFonts w:ascii="Times New Roman" w:eastAsia="Times New Roman" w:hAnsi="Times New Roman" w:cs="Times New Roman"/>
            <w:sz w:val="24"/>
            <w:szCs w:val="24"/>
          </w:rPr>
          <w:t>Scheving</w:t>
        </w:r>
        <w:proofErr w:type="spellEnd"/>
        <w:r>
          <w:rPr>
            <w:rFonts w:ascii="Times New Roman" w:eastAsia="Times New Roman" w:hAnsi="Times New Roman" w:cs="Times New Roman"/>
            <w:sz w:val="24"/>
            <w:szCs w:val="24"/>
          </w:rPr>
          <w:t xml:space="preserve"> 2000)</w:t>
        </w:r>
      </w:hyperlink>
      <w:r>
        <w:rPr>
          <w:rFonts w:ascii="Times New Roman" w:eastAsia="Times New Roman" w:hAnsi="Times New Roman" w:cs="Times New Roman"/>
          <w:sz w:val="24"/>
          <w:szCs w:val="24"/>
        </w:rPr>
        <w:t xml:space="preserve">. In addition, salivary α-amylase, an example of a circadian enzyme, is one of most important digestive enzymes and is responsible for the breakdown of polysaccharides (starch) into disaccharides, e.g., maltose. Toad and colleagues (2013) conducted a study to explore the effect of chronotype on salivary α-amylase. Results showed that participants with evening chronotype had higher salivary α-amylase levels than participants with morning chronotype. In general, there is a strong circadian rhythm to salivary alpha-amylase levels. In particular, the levels of salivary α-amylase reach the peak within the first hour waking and then gradually increase throughout the day </w:t>
      </w:r>
      <w:hyperlink r:id="rId354">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Rohleder</w:t>
        </w:r>
        <w:proofErr w:type="spellEnd"/>
        <w:r>
          <w:rPr>
            <w:rFonts w:ascii="Times New Roman" w:eastAsia="Times New Roman" w:hAnsi="Times New Roman" w:cs="Times New Roman"/>
            <w:sz w:val="24"/>
            <w:szCs w:val="24"/>
          </w:rPr>
          <w:t xml:space="preserve"> et al., 2004; Nater et al., 2007)</w:t>
        </w:r>
      </w:hyperlink>
      <w:r>
        <w:rPr>
          <w:rFonts w:ascii="Times New Roman" w:eastAsia="Times New Roman" w:hAnsi="Times New Roman" w:cs="Times New Roman"/>
          <w:sz w:val="24"/>
          <w:szCs w:val="24"/>
        </w:rPr>
        <w:t xml:space="preserve">. Furthermore, most of the digestion also take place in the stomach </w:t>
      </w:r>
      <w:r>
        <w:rPr>
          <w:rFonts w:ascii="Times New Roman" w:eastAsia="Times New Roman" w:hAnsi="Times New Roman" w:cs="Times New Roman"/>
          <w:sz w:val="24"/>
          <w:szCs w:val="24"/>
        </w:rPr>
        <w:lastRenderedPageBreak/>
        <w:t xml:space="preserve">and intestines with the help of the pancreas. Other research has demonstrated that there are the rate of gastric emptying </w:t>
      </w:r>
      <w:hyperlink r:id="rId355">
        <w:r>
          <w:rPr>
            <w:rFonts w:ascii="Times New Roman" w:eastAsia="Times New Roman" w:hAnsi="Times New Roman" w:cs="Times New Roman"/>
            <w:sz w:val="24"/>
            <w:szCs w:val="24"/>
          </w:rPr>
          <w:t>(Goo et al., 1987)</w:t>
        </w:r>
      </w:hyperlink>
      <w:r>
        <w:rPr>
          <w:rFonts w:ascii="Times New Roman" w:eastAsia="Times New Roman" w:hAnsi="Times New Roman" w:cs="Times New Roman"/>
          <w:sz w:val="24"/>
          <w:szCs w:val="24"/>
        </w:rPr>
        <w:t xml:space="preserve"> and gastrointestinal motility are slower after evening meals than after morning meals </w:t>
      </w:r>
      <w:hyperlink r:id="rId35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DiMagno</w:t>
        </w:r>
        <w:proofErr w:type="spellEnd"/>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1997; </w:t>
        </w:r>
        <w:proofErr w:type="spellStart"/>
        <w:r>
          <w:rPr>
            <w:rFonts w:ascii="Times New Roman" w:eastAsia="Times New Roman" w:hAnsi="Times New Roman" w:cs="Times New Roman"/>
            <w:sz w:val="24"/>
            <w:szCs w:val="24"/>
          </w:rPr>
          <w:t>Romański</w:t>
        </w:r>
        <w:proofErr w:type="spellEnd"/>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2009)</w:t>
        </w:r>
      </w:hyperlink>
      <w:r>
        <w:rPr>
          <w:rFonts w:ascii="Times New Roman" w:eastAsia="Times New Roman" w:hAnsi="Times New Roman" w:cs="Times New Roman"/>
          <w:sz w:val="24"/>
          <w:szCs w:val="24"/>
        </w:rPr>
        <w:t xml:space="preserve">. Therefore, eating late in the day or consuming a high calorie meal in the evening may be related to impaired digestion.   </w:t>
      </w:r>
    </w:p>
    <w:p w14:paraId="000002B1" w14:textId="77777777" w:rsidR="00CB4215" w:rsidRDefault="00CB4215">
      <w:pPr>
        <w:spacing w:line="480" w:lineRule="auto"/>
        <w:rPr>
          <w:rFonts w:ascii="Times New Roman" w:eastAsia="Times New Roman" w:hAnsi="Times New Roman" w:cs="Times New Roman"/>
          <w:sz w:val="24"/>
          <w:szCs w:val="24"/>
        </w:rPr>
      </w:pPr>
    </w:p>
    <w:p w14:paraId="000002B2"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2.3.7 Gaps within the literature </w:t>
      </w:r>
    </w:p>
    <w:p w14:paraId="000002B3" w14:textId="77777777" w:rsidR="00CB4215" w:rsidRDefault="00CB4215"/>
    <w:p w14:paraId="000002B4" w14:textId="59206DD4"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several gaps existing in the meal timing literature that should be considered in the future research. Firstly, most research has been conducted in Western developed countries, such as in the USA, Spain, UK and Canada. It is in line with the WEIRD issue in psychology. Specifically, Rad et al. (2018) found that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published research has relied on samples from Western, </w:t>
      </w:r>
      <w:r w:rsidR="006133D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ducated, </w:t>
      </w:r>
      <w:r w:rsidR="006133D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ndustrialised, </w:t>
      </w:r>
      <w:r w:rsidR="006133D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ich and </w:t>
      </w:r>
      <w:r w:rsidR="006133DD" w:rsidRPr="006133DD">
        <w:rPr>
          <w:rFonts w:ascii="Times New Roman" w:eastAsia="Times New Roman" w:hAnsi="Times New Roman" w:cs="Times New Roman"/>
          <w:sz w:val="24"/>
          <w:szCs w:val="24"/>
        </w:rPr>
        <w:t xml:space="preserve">Democratic (WEIRD) </w:t>
      </w:r>
      <w:r>
        <w:rPr>
          <w:rFonts w:ascii="Times New Roman" w:eastAsia="Times New Roman" w:hAnsi="Times New Roman" w:cs="Times New Roman"/>
          <w:sz w:val="24"/>
          <w:szCs w:val="24"/>
        </w:rPr>
        <w:t xml:space="preserve">populations. The problem of a lack of cultural diversity in psychological science is well documented. In regard to meal timing, it has changed over time in different cultures </w:t>
      </w:r>
      <w:hyperlink r:id="rId35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Fjellström</w:t>
        </w:r>
        <w:proofErr w:type="spellEnd"/>
        <w:r>
          <w:rPr>
            <w:rFonts w:ascii="Times New Roman" w:eastAsia="Times New Roman" w:hAnsi="Times New Roman" w:cs="Times New Roman"/>
            <w:sz w:val="24"/>
            <w:szCs w:val="24"/>
          </w:rPr>
          <w:t xml:space="preserve"> 2004; Ochs and Shohet</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 </w:t>
        </w:r>
        <w:proofErr w:type="spellStart"/>
        <w:r>
          <w:rPr>
            <w:rFonts w:ascii="Times New Roman" w:eastAsia="Times New Roman" w:hAnsi="Times New Roman" w:cs="Times New Roman"/>
            <w:sz w:val="24"/>
            <w:szCs w:val="24"/>
          </w:rPr>
          <w:t>Cinotto</w:t>
        </w:r>
        <w:proofErr w:type="spellEnd"/>
        <w:r>
          <w:rPr>
            <w:rFonts w:ascii="Times New Roman" w:eastAsia="Times New Roman" w:hAnsi="Times New Roman" w:cs="Times New Roman"/>
            <w:sz w:val="24"/>
            <w:szCs w:val="24"/>
          </w:rPr>
          <w:t xml:space="preserve"> 2006)</w:t>
        </w:r>
      </w:hyperlink>
      <w:r>
        <w:rPr>
          <w:rFonts w:ascii="Times New Roman" w:eastAsia="Times New Roman" w:hAnsi="Times New Roman" w:cs="Times New Roman"/>
          <w:sz w:val="24"/>
          <w:szCs w:val="24"/>
        </w:rPr>
        <w:t xml:space="preserve">. For example, traditional Chinese medicine, which has been practised for over 2500 years, suggests that the optimal time for carbohydrate-rich meals is between 7am and 11am, with smaller meals consumed later in the day </w:t>
      </w:r>
      <w:hyperlink r:id="rId358">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2019)</w:t>
        </w:r>
      </w:hyperlink>
      <w:r>
        <w:rPr>
          <w:rFonts w:ascii="Times New Roman" w:eastAsia="Times New Roman" w:hAnsi="Times New Roman" w:cs="Times New Roman"/>
          <w:sz w:val="24"/>
          <w:szCs w:val="24"/>
        </w:rPr>
        <w:t xml:space="preserve">. Differently, in some Western countries, during the Industrial Revolution, later evening meals were necessary for working-class men, who split their working day with a quick lunch </w:t>
      </w:r>
      <w:hyperlink r:id="rId359">
        <w:r>
          <w:rPr>
            <w:rFonts w:ascii="Times New Roman" w:eastAsia="Times New Roman" w:hAnsi="Times New Roman" w:cs="Times New Roman"/>
            <w:sz w:val="24"/>
            <w:szCs w:val="24"/>
          </w:rPr>
          <w:t>(McMillan</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2001)</w:t>
        </w:r>
      </w:hyperlink>
      <w:r>
        <w:rPr>
          <w:rFonts w:ascii="Times New Roman" w:eastAsia="Times New Roman" w:hAnsi="Times New Roman" w:cs="Times New Roman"/>
          <w:sz w:val="24"/>
          <w:szCs w:val="24"/>
        </w:rPr>
        <w:t xml:space="preserve">. Countries that were less influenced by the Industrial Revolution, such as Spain and Italy, continue to have large meals at midday. Spain is particularly known for its late lunches (around 3pm) and evening meals (around 10pm) </w:t>
      </w:r>
      <w:hyperlink r:id="rId36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2019)</w:t>
        </w:r>
      </w:hyperlink>
      <w:r>
        <w:rPr>
          <w:rFonts w:ascii="Times New Roman" w:eastAsia="Times New Roman" w:hAnsi="Times New Roman" w:cs="Times New Roman"/>
          <w:sz w:val="24"/>
          <w:szCs w:val="24"/>
        </w:rPr>
        <w:t xml:space="preserve">. Western populations may not be representative of human populations. Therefore, more studies should be extended to populations across diverse geographical regions and cultures, e.g., Southeast Asia. In addition, there are some inconsistencies in the </w:t>
      </w:r>
      <w:r>
        <w:rPr>
          <w:rFonts w:ascii="Times New Roman" w:eastAsia="Times New Roman" w:hAnsi="Times New Roman" w:cs="Times New Roman"/>
          <w:sz w:val="24"/>
          <w:szCs w:val="24"/>
        </w:rPr>
        <w:lastRenderedPageBreak/>
        <w:t>food timing literature and the characteristics of late eaters are still unclear, which will therefore be considered with the study 1 and study 2 (Chapter 4 and 5). Furthermore, while quantitative studies on the impact of meal timing on health is ongoing, there has been little focus on factors that influence late evening eating. For this purpose, a qualitative study (Chapter 6) was conducted to provide in-depth understanding of late evening eating. The gaps identified in the literature and the studies reported in this thesis that addressed the gaps are shown in Table 2.2.</w:t>
      </w:r>
    </w:p>
    <w:p w14:paraId="000002B5" w14:textId="77777777" w:rsidR="00CB4215" w:rsidRDefault="00CB4215">
      <w:pPr>
        <w:spacing w:line="480" w:lineRule="auto"/>
        <w:rPr>
          <w:rFonts w:ascii="Times New Roman" w:eastAsia="Times New Roman" w:hAnsi="Times New Roman" w:cs="Times New Roman"/>
          <w:sz w:val="24"/>
          <w:szCs w:val="24"/>
        </w:rPr>
      </w:pPr>
    </w:p>
    <w:p w14:paraId="000002B6" w14:textId="77777777" w:rsidR="00CB4215" w:rsidRDefault="000530B4">
      <w:pPr>
        <w:pStyle w:val="Heading3"/>
        <w:rPr>
          <w:rFonts w:ascii="Times New Roman" w:eastAsia="Times New Roman" w:hAnsi="Times New Roman" w:cs="Times New Roman"/>
          <w:b/>
          <w:color w:val="000000"/>
        </w:rPr>
      </w:pPr>
      <w:bookmarkStart w:id="37" w:name="_Toc172984785"/>
      <w:r>
        <w:rPr>
          <w:rFonts w:ascii="Times New Roman" w:eastAsia="Times New Roman" w:hAnsi="Times New Roman" w:cs="Times New Roman"/>
          <w:b/>
          <w:color w:val="000000"/>
        </w:rPr>
        <w:t>2.4 Conclusion</w:t>
      </w:r>
      <w:bookmarkEnd w:id="37"/>
    </w:p>
    <w:p w14:paraId="000002B7" w14:textId="77777777" w:rsidR="00CB4215" w:rsidRDefault="00CB4215"/>
    <w:p w14:paraId="000002B8" w14:textId="77777777" w:rsidR="00CB4215" w:rsidRDefault="000530B4">
      <w:pPr>
        <w:spacing w:line="480" w:lineRule="auto"/>
        <w:rPr>
          <w:rFonts w:ascii="Times New Roman" w:eastAsia="Times New Roman" w:hAnsi="Times New Roman" w:cs="Times New Roman"/>
          <w:sz w:val="24"/>
          <w:szCs w:val="24"/>
        </w:rPr>
        <w:sectPr w:rsidR="00CB4215">
          <w:pgSz w:w="11909" w:h="16834"/>
          <w:pgMar w:top="1440" w:right="1440" w:bottom="1440" w:left="1440" w:header="720" w:footer="720" w:gutter="0"/>
          <w:cols w:space="720"/>
        </w:sectPr>
      </w:pPr>
      <w:r>
        <w:rPr>
          <w:rFonts w:ascii="Times New Roman" w:eastAsia="Times New Roman" w:hAnsi="Times New Roman" w:cs="Times New Roman"/>
          <w:sz w:val="24"/>
          <w:szCs w:val="24"/>
        </w:rPr>
        <w:t xml:space="preserve">Findings from this narrative review indicate that late eating may be a relevant risk factor for obesity in adults </w:t>
      </w:r>
      <w:hyperlink r:id="rId36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2019)</w:t>
        </w:r>
      </w:hyperlink>
      <w:r>
        <w:rPr>
          <w:rFonts w:ascii="Times New Roman" w:eastAsia="Times New Roman" w:hAnsi="Times New Roman" w:cs="Times New Roman"/>
          <w:sz w:val="24"/>
          <w:szCs w:val="24"/>
        </w:rPr>
        <w:t xml:space="preserve">, and also help to inform the study methods and measurements used in Study 1 (Chapter 4) and Study 2 (Chapter 5). However, findings on meal timing and body weight are mixed, and the characteristics of late eaters are unclear. Therefore, quantitative studies in this thesis will further explore the associations between late eating and BMI and compare the eating behaviour traits in early versus late eaters (Chapter 4, 5). Self-reporting is a commonly selected method for collecting data on dietary interventions because of the availability of validated, low-cost instruments that make it a time-efficient and convenient option (Wark et al., 2018). For this reason, it will be adapted as data collection in Chapter 4. However, objective measures are also be used in Chapter 5 to increase accuracy, such as the use of an accelerometer to measure sleep and physical activity, and objective measurement of height and weight. Furthermore, given the limited qualitative evidence in meal timing literature, thus, the qualitative study in this thesis (Study 3) (see more details in Chapter 6) will further investigate the factors contributing to late evening eating, and barriers and enablers to changing late evening eating in adults with obesity. </w:t>
      </w:r>
    </w:p>
    <w:p w14:paraId="000002B9"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38" w:name="_heading=h.2p2csry" w:colFirst="0" w:colLast="0"/>
      <w:bookmarkEnd w:id="38"/>
      <w:r>
        <w:rPr>
          <w:rFonts w:ascii="Times New Roman" w:eastAsia="Times New Roman" w:hAnsi="Times New Roman" w:cs="Times New Roman"/>
          <w:i/>
          <w:color w:val="000000"/>
          <w:sz w:val="20"/>
          <w:szCs w:val="20"/>
        </w:rPr>
        <w:lastRenderedPageBreak/>
        <w:t>Table 2.2</w:t>
      </w:r>
      <w:r>
        <w:rPr>
          <w:rFonts w:ascii="Times New Roman" w:eastAsia="Times New Roman" w:hAnsi="Times New Roman" w:cs="Times New Roman"/>
          <w:color w:val="000000"/>
          <w:sz w:val="20"/>
          <w:szCs w:val="20"/>
        </w:rPr>
        <w:t>. Gaps identified in the literature.</w:t>
      </w:r>
    </w:p>
    <w:tbl>
      <w:tblPr>
        <w:tblStyle w:val="a3"/>
        <w:tblW w:w="1383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9"/>
        <w:gridCol w:w="3260"/>
        <w:gridCol w:w="5103"/>
      </w:tblGrid>
      <w:tr w:rsidR="00CB4215" w14:paraId="308D4C12" w14:textId="77777777">
        <w:tc>
          <w:tcPr>
            <w:tcW w:w="5469" w:type="dxa"/>
            <w:tcBorders>
              <w:left w:val="nil"/>
              <w:right w:val="nil"/>
            </w:tcBorders>
            <w:shd w:val="clear" w:color="auto" w:fill="auto"/>
            <w:tcMar>
              <w:top w:w="100" w:type="dxa"/>
              <w:left w:w="100" w:type="dxa"/>
              <w:bottom w:w="100" w:type="dxa"/>
              <w:right w:w="100" w:type="dxa"/>
            </w:tcMar>
          </w:tcPr>
          <w:p w14:paraId="000002B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Gaps identified in the literature</w:t>
            </w:r>
          </w:p>
        </w:tc>
        <w:tc>
          <w:tcPr>
            <w:tcW w:w="3260" w:type="dxa"/>
            <w:tcBorders>
              <w:left w:val="nil"/>
              <w:right w:val="nil"/>
            </w:tcBorders>
            <w:shd w:val="clear" w:color="auto" w:fill="auto"/>
            <w:tcMar>
              <w:top w:w="100" w:type="dxa"/>
              <w:left w:w="100" w:type="dxa"/>
              <w:bottom w:w="100" w:type="dxa"/>
              <w:right w:w="100" w:type="dxa"/>
            </w:tcMar>
          </w:tcPr>
          <w:p w14:paraId="000002B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Study addressing the gap</w:t>
            </w:r>
          </w:p>
        </w:tc>
        <w:tc>
          <w:tcPr>
            <w:tcW w:w="5103" w:type="dxa"/>
            <w:tcBorders>
              <w:left w:val="nil"/>
              <w:right w:val="nil"/>
            </w:tcBorders>
            <w:shd w:val="clear" w:color="auto" w:fill="auto"/>
            <w:tcMar>
              <w:top w:w="100" w:type="dxa"/>
              <w:left w:w="100" w:type="dxa"/>
              <w:bottom w:w="100" w:type="dxa"/>
              <w:right w:w="100" w:type="dxa"/>
            </w:tcMar>
          </w:tcPr>
          <w:p w14:paraId="000002B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Study aims</w:t>
            </w:r>
          </w:p>
        </w:tc>
      </w:tr>
      <w:tr w:rsidR="00CB4215" w14:paraId="37AC157F" w14:textId="77777777">
        <w:tc>
          <w:tcPr>
            <w:tcW w:w="5469" w:type="dxa"/>
            <w:tcBorders>
              <w:left w:val="nil"/>
              <w:bottom w:val="nil"/>
              <w:right w:val="nil"/>
            </w:tcBorders>
            <w:shd w:val="clear" w:color="auto" w:fill="auto"/>
            <w:tcMar>
              <w:top w:w="100" w:type="dxa"/>
              <w:left w:w="100" w:type="dxa"/>
              <w:bottom w:w="100" w:type="dxa"/>
              <w:right w:w="100" w:type="dxa"/>
            </w:tcMar>
          </w:tcPr>
          <w:p w14:paraId="000002B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There are mixed results regarding the associations between meal timing and BMI, thus more research is needed to explore this association.</w:t>
            </w:r>
          </w:p>
        </w:tc>
        <w:tc>
          <w:tcPr>
            <w:tcW w:w="3260" w:type="dxa"/>
            <w:tcBorders>
              <w:left w:val="nil"/>
              <w:bottom w:val="nil"/>
              <w:right w:val="nil"/>
            </w:tcBorders>
            <w:shd w:val="clear" w:color="auto" w:fill="auto"/>
            <w:tcMar>
              <w:top w:w="100" w:type="dxa"/>
              <w:left w:w="100" w:type="dxa"/>
              <w:bottom w:w="100" w:type="dxa"/>
              <w:right w:w="100" w:type="dxa"/>
            </w:tcMar>
          </w:tcPr>
          <w:p w14:paraId="000002B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Study 1 (Chapter 4)</w:t>
            </w:r>
          </w:p>
        </w:tc>
        <w:tc>
          <w:tcPr>
            <w:tcW w:w="5103" w:type="dxa"/>
            <w:tcBorders>
              <w:left w:val="nil"/>
              <w:bottom w:val="nil"/>
              <w:right w:val="nil"/>
            </w:tcBorders>
            <w:shd w:val="clear" w:color="auto" w:fill="auto"/>
            <w:tcMar>
              <w:top w:w="100" w:type="dxa"/>
              <w:left w:w="100" w:type="dxa"/>
              <w:bottom w:w="100" w:type="dxa"/>
              <w:right w:w="100" w:type="dxa"/>
            </w:tcMar>
          </w:tcPr>
          <w:p w14:paraId="000002B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Assess the associations between meal timing and BMI.</w:t>
            </w:r>
          </w:p>
        </w:tc>
      </w:tr>
      <w:tr w:rsidR="00CB4215" w14:paraId="5FC18380" w14:textId="77777777">
        <w:tc>
          <w:tcPr>
            <w:tcW w:w="5469" w:type="dxa"/>
            <w:tcBorders>
              <w:top w:val="nil"/>
              <w:left w:val="nil"/>
              <w:bottom w:val="nil"/>
              <w:right w:val="nil"/>
            </w:tcBorders>
            <w:shd w:val="clear" w:color="auto" w:fill="auto"/>
            <w:tcMar>
              <w:top w:w="100" w:type="dxa"/>
              <w:left w:w="100" w:type="dxa"/>
              <w:bottom w:w="100" w:type="dxa"/>
              <w:right w:w="100" w:type="dxa"/>
            </w:tcMar>
          </w:tcPr>
          <w:p w14:paraId="000002C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There is no research exploring the associations between meal timing, a range of eating behaviour traits linked with overconsumption and health behaviours.</w:t>
            </w:r>
          </w:p>
        </w:tc>
        <w:tc>
          <w:tcPr>
            <w:tcW w:w="3260" w:type="dxa"/>
            <w:tcBorders>
              <w:top w:val="nil"/>
              <w:left w:val="nil"/>
              <w:bottom w:val="nil"/>
              <w:right w:val="nil"/>
            </w:tcBorders>
            <w:shd w:val="clear" w:color="auto" w:fill="auto"/>
            <w:tcMar>
              <w:top w:w="100" w:type="dxa"/>
              <w:left w:w="100" w:type="dxa"/>
              <w:bottom w:w="100" w:type="dxa"/>
              <w:right w:w="100" w:type="dxa"/>
            </w:tcMar>
          </w:tcPr>
          <w:p w14:paraId="000002C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Study 1 (Chapter 4)</w:t>
            </w:r>
          </w:p>
        </w:tc>
        <w:tc>
          <w:tcPr>
            <w:tcW w:w="5103" w:type="dxa"/>
            <w:tcBorders>
              <w:top w:val="nil"/>
              <w:left w:val="nil"/>
              <w:bottom w:val="nil"/>
              <w:right w:val="nil"/>
            </w:tcBorders>
            <w:shd w:val="clear" w:color="auto" w:fill="auto"/>
            <w:tcMar>
              <w:top w:w="100" w:type="dxa"/>
              <w:left w:w="100" w:type="dxa"/>
              <w:bottom w:w="100" w:type="dxa"/>
              <w:right w:w="100" w:type="dxa"/>
            </w:tcMar>
          </w:tcPr>
          <w:p w14:paraId="000002C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Assess meal timing, eating behaviour traits and health behaviours in the general population by using online surveys.</w:t>
            </w:r>
          </w:p>
        </w:tc>
      </w:tr>
      <w:tr w:rsidR="00CB4215" w14:paraId="1DDEA197" w14:textId="77777777">
        <w:tc>
          <w:tcPr>
            <w:tcW w:w="5469" w:type="dxa"/>
            <w:tcBorders>
              <w:top w:val="nil"/>
              <w:left w:val="nil"/>
              <w:bottom w:val="nil"/>
              <w:right w:val="nil"/>
            </w:tcBorders>
            <w:shd w:val="clear" w:color="auto" w:fill="auto"/>
            <w:tcMar>
              <w:top w:w="100" w:type="dxa"/>
              <w:left w:w="100" w:type="dxa"/>
              <w:bottom w:w="100" w:type="dxa"/>
              <w:right w:w="100" w:type="dxa"/>
            </w:tcMar>
          </w:tcPr>
          <w:p w14:paraId="000002C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Objective assessments are needed to increase the accuracy of previous study (Study 1). And dietary intake should be assessed to explore the associations between late eating and total energy intake. </w:t>
            </w:r>
          </w:p>
        </w:tc>
        <w:tc>
          <w:tcPr>
            <w:tcW w:w="3260" w:type="dxa"/>
            <w:tcBorders>
              <w:top w:val="nil"/>
              <w:left w:val="nil"/>
              <w:bottom w:val="nil"/>
              <w:right w:val="nil"/>
            </w:tcBorders>
            <w:shd w:val="clear" w:color="auto" w:fill="auto"/>
            <w:tcMar>
              <w:top w:w="100" w:type="dxa"/>
              <w:left w:w="100" w:type="dxa"/>
              <w:bottom w:w="100" w:type="dxa"/>
              <w:right w:w="100" w:type="dxa"/>
            </w:tcMar>
          </w:tcPr>
          <w:p w14:paraId="000002C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Study 2 (Chapter 5)</w:t>
            </w:r>
          </w:p>
        </w:tc>
        <w:tc>
          <w:tcPr>
            <w:tcW w:w="5103" w:type="dxa"/>
            <w:tcBorders>
              <w:top w:val="nil"/>
              <w:left w:val="nil"/>
              <w:bottom w:val="nil"/>
              <w:right w:val="nil"/>
            </w:tcBorders>
            <w:shd w:val="clear" w:color="auto" w:fill="auto"/>
            <w:tcMar>
              <w:top w:w="100" w:type="dxa"/>
              <w:left w:w="100" w:type="dxa"/>
              <w:bottom w:w="100" w:type="dxa"/>
              <w:right w:w="100" w:type="dxa"/>
            </w:tcMar>
          </w:tcPr>
          <w:p w14:paraId="000002C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Assess the associations between meal timing, BMI (objectively measured height and weight), eating behaviour traits, diet, and objectively measured health behaviours (physical activity and sleep) in a 14-day pilot study.</w:t>
            </w:r>
          </w:p>
        </w:tc>
      </w:tr>
      <w:tr w:rsidR="00CB4215" w14:paraId="00E9DA67" w14:textId="77777777">
        <w:tc>
          <w:tcPr>
            <w:tcW w:w="5469" w:type="dxa"/>
            <w:tcBorders>
              <w:top w:val="nil"/>
              <w:left w:val="nil"/>
              <w:right w:val="nil"/>
            </w:tcBorders>
            <w:shd w:val="clear" w:color="auto" w:fill="auto"/>
            <w:tcMar>
              <w:top w:w="100" w:type="dxa"/>
              <w:left w:w="100" w:type="dxa"/>
              <w:bottom w:w="100" w:type="dxa"/>
              <w:right w:w="100" w:type="dxa"/>
            </w:tcMar>
          </w:tcPr>
          <w:p w14:paraId="000002C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There is no qualitative research investigating the factors that influence late evening eating, and barriers and enablers to encourage earlier eating times in adults living with obesity.</w:t>
            </w:r>
          </w:p>
        </w:tc>
        <w:tc>
          <w:tcPr>
            <w:tcW w:w="3260" w:type="dxa"/>
            <w:tcBorders>
              <w:top w:val="nil"/>
              <w:left w:val="nil"/>
              <w:right w:val="nil"/>
            </w:tcBorders>
            <w:shd w:val="clear" w:color="auto" w:fill="auto"/>
            <w:tcMar>
              <w:top w:w="100" w:type="dxa"/>
              <w:left w:w="100" w:type="dxa"/>
              <w:bottom w:w="100" w:type="dxa"/>
              <w:right w:w="100" w:type="dxa"/>
            </w:tcMar>
          </w:tcPr>
          <w:p w14:paraId="000002C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Study 3 (Chapter 6)</w:t>
            </w:r>
          </w:p>
        </w:tc>
        <w:tc>
          <w:tcPr>
            <w:tcW w:w="5103" w:type="dxa"/>
            <w:tcBorders>
              <w:top w:val="nil"/>
              <w:left w:val="nil"/>
              <w:right w:val="nil"/>
            </w:tcBorders>
            <w:shd w:val="clear" w:color="auto" w:fill="auto"/>
            <w:tcMar>
              <w:top w:w="100" w:type="dxa"/>
              <w:left w:w="100" w:type="dxa"/>
              <w:bottom w:w="100" w:type="dxa"/>
              <w:right w:w="100" w:type="dxa"/>
            </w:tcMar>
          </w:tcPr>
          <w:p w14:paraId="000002C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Conduct a qualitative study to explore the factors that influence late evening eating and barriers and enablers to changing to earlier eating times in adults with overweight and obesity.</w:t>
            </w:r>
          </w:p>
        </w:tc>
      </w:tr>
    </w:tbl>
    <w:p w14:paraId="000002C9" w14:textId="77777777" w:rsidR="00CB4215" w:rsidRDefault="00CB4215">
      <w:pPr>
        <w:spacing w:line="480" w:lineRule="auto"/>
        <w:rPr>
          <w:rFonts w:ascii="Times New Roman" w:eastAsia="Times New Roman" w:hAnsi="Times New Roman" w:cs="Times New Roman"/>
        </w:rPr>
      </w:pPr>
    </w:p>
    <w:p w14:paraId="000002CA" w14:textId="77777777" w:rsidR="00CB4215" w:rsidRDefault="00CB4215">
      <w:pPr>
        <w:spacing w:line="480" w:lineRule="auto"/>
        <w:rPr>
          <w:rFonts w:ascii="Times New Roman" w:eastAsia="Times New Roman" w:hAnsi="Times New Roman" w:cs="Times New Roman"/>
        </w:rPr>
      </w:pPr>
    </w:p>
    <w:p w14:paraId="000002CB" w14:textId="77777777" w:rsidR="00CB4215" w:rsidRDefault="00CB4215">
      <w:pPr>
        <w:spacing w:line="480" w:lineRule="auto"/>
        <w:rPr>
          <w:rFonts w:ascii="Times New Roman" w:eastAsia="Times New Roman" w:hAnsi="Times New Roman" w:cs="Times New Roman"/>
        </w:rPr>
      </w:pPr>
    </w:p>
    <w:p w14:paraId="000002CC" w14:textId="77777777" w:rsidR="00CB4215" w:rsidRDefault="00CB4215">
      <w:pPr>
        <w:spacing w:line="480" w:lineRule="auto"/>
        <w:rPr>
          <w:rFonts w:ascii="Times New Roman" w:eastAsia="Times New Roman" w:hAnsi="Times New Roman" w:cs="Times New Roman"/>
          <w:sz w:val="24"/>
          <w:szCs w:val="24"/>
        </w:rPr>
        <w:sectPr w:rsidR="00CB4215">
          <w:headerReference w:type="default" r:id="rId362"/>
          <w:pgSz w:w="16834" w:h="11909" w:orient="landscape"/>
          <w:pgMar w:top="1440" w:right="1440" w:bottom="1440" w:left="1440" w:header="720" w:footer="720" w:gutter="0"/>
          <w:cols w:space="720"/>
        </w:sectPr>
      </w:pPr>
    </w:p>
    <w:p w14:paraId="000002CD" w14:textId="77777777" w:rsidR="00CB4215" w:rsidRDefault="000530B4">
      <w:pPr>
        <w:pStyle w:val="Heading1"/>
        <w:spacing w:line="480" w:lineRule="auto"/>
        <w:rPr>
          <w:rFonts w:ascii="Times New Roman" w:eastAsia="Times New Roman" w:hAnsi="Times New Roman" w:cs="Times New Roman"/>
          <w:b/>
        </w:rPr>
      </w:pPr>
      <w:bookmarkStart w:id="39" w:name="_Toc172984786"/>
      <w:r>
        <w:rPr>
          <w:rFonts w:ascii="Times New Roman" w:eastAsia="Times New Roman" w:hAnsi="Times New Roman" w:cs="Times New Roman"/>
          <w:b/>
          <w:sz w:val="36"/>
          <w:szCs w:val="36"/>
        </w:rPr>
        <w:lastRenderedPageBreak/>
        <w:t>Chapter</w:t>
      </w:r>
      <w:r>
        <w:rPr>
          <w:rFonts w:ascii="Times New Roman" w:eastAsia="Times New Roman" w:hAnsi="Times New Roman" w:cs="Times New Roman"/>
          <w:b/>
        </w:rPr>
        <w:t xml:space="preserve"> 3</w:t>
      </w:r>
      <w:bookmarkEnd w:id="39"/>
      <w:r>
        <w:rPr>
          <w:rFonts w:ascii="Times New Roman" w:eastAsia="Times New Roman" w:hAnsi="Times New Roman" w:cs="Times New Roman"/>
          <w:b/>
        </w:rPr>
        <w:t xml:space="preserve"> </w:t>
      </w:r>
    </w:p>
    <w:p w14:paraId="000002CE" w14:textId="77777777" w:rsidR="00CB4215" w:rsidRDefault="000530B4">
      <w:pPr>
        <w:pStyle w:val="Heading2"/>
        <w:spacing w:line="480" w:lineRule="auto"/>
        <w:rPr>
          <w:rFonts w:ascii="Times New Roman" w:eastAsia="Times New Roman" w:hAnsi="Times New Roman" w:cs="Times New Roman"/>
          <w:b/>
        </w:rPr>
      </w:pPr>
      <w:bookmarkStart w:id="40" w:name="_Toc172984787"/>
      <w:r>
        <w:rPr>
          <w:rFonts w:ascii="Times New Roman" w:eastAsia="Times New Roman" w:hAnsi="Times New Roman" w:cs="Times New Roman"/>
          <w:b/>
        </w:rPr>
        <w:t>General Methodology</w:t>
      </w:r>
      <w:bookmarkEnd w:id="40"/>
    </w:p>
    <w:p w14:paraId="000002CF"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previous chapters provided the theoretical foundation and outlined the objectives of this thesis. This chapter introduces the methods, procedures and measurements used in the studies. Both quantitative and qualitative research methods were used in the studies reported in the thesis. The methods used for each study are listed in the following table (see Table 3.1). </w:t>
      </w:r>
    </w:p>
    <w:p w14:paraId="000002D0" w14:textId="77777777" w:rsidR="00CB4215" w:rsidRDefault="00CB4215">
      <w:pPr>
        <w:spacing w:line="480" w:lineRule="auto"/>
        <w:rPr>
          <w:rFonts w:ascii="Times New Roman" w:eastAsia="Times New Roman" w:hAnsi="Times New Roman" w:cs="Times New Roman"/>
          <w:sz w:val="24"/>
          <w:szCs w:val="24"/>
        </w:rPr>
      </w:pPr>
    </w:p>
    <w:p w14:paraId="000002D1"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41" w:name="_heading=h.23ckvvd" w:colFirst="0" w:colLast="0"/>
      <w:bookmarkEnd w:id="41"/>
      <w:r>
        <w:rPr>
          <w:rFonts w:ascii="Times New Roman" w:eastAsia="Times New Roman" w:hAnsi="Times New Roman" w:cs="Times New Roman"/>
          <w:i/>
          <w:color w:val="000000"/>
          <w:sz w:val="20"/>
          <w:szCs w:val="20"/>
        </w:rPr>
        <w:t xml:space="preserve">Table 3.1. </w:t>
      </w:r>
      <w:r>
        <w:rPr>
          <w:rFonts w:ascii="Times New Roman" w:eastAsia="Times New Roman" w:hAnsi="Times New Roman" w:cs="Times New Roman"/>
          <w:color w:val="000000"/>
          <w:sz w:val="20"/>
          <w:szCs w:val="20"/>
        </w:rPr>
        <w:t>Summary of methods used throughout the thesis.</w:t>
      </w:r>
    </w:p>
    <w:tbl>
      <w:tblPr>
        <w:tblStyle w:val="a4"/>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2138"/>
        <w:gridCol w:w="3816"/>
      </w:tblGrid>
      <w:tr w:rsidR="00CB4215" w14:paraId="23A8B663" w14:textId="77777777">
        <w:tc>
          <w:tcPr>
            <w:tcW w:w="2977" w:type="dxa"/>
            <w:tcBorders>
              <w:left w:val="nil"/>
              <w:right w:val="nil"/>
            </w:tcBorders>
            <w:shd w:val="clear" w:color="auto" w:fill="auto"/>
            <w:tcMar>
              <w:top w:w="100" w:type="dxa"/>
              <w:left w:w="100" w:type="dxa"/>
              <w:bottom w:w="100" w:type="dxa"/>
              <w:right w:w="100" w:type="dxa"/>
            </w:tcMar>
          </w:tcPr>
          <w:p w14:paraId="000002D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Study (Chapter)</w:t>
            </w:r>
          </w:p>
        </w:tc>
        <w:tc>
          <w:tcPr>
            <w:tcW w:w="2138" w:type="dxa"/>
            <w:tcBorders>
              <w:left w:val="nil"/>
              <w:right w:val="nil"/>
            </w:tcBorders>
            <w:shd w:val="clear" w:color="auto" w:fill="auto"/>
            <w:tcMar>
              <w:top w:w="100" w:type="dxa"/>
              <w:left w:w="100" w:type="dxa"/>
              <w:bottom w:w="100" w:type="dxa"/>
              <w:right w:w="100" w:type="dxa"/>
            </w:tcMar>
          </w:tcPr>
          <w:p w14:paraId="000002D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Methods</w:t>
            </w:r>
          </w:p>
        </w:tc>
        <w:tc>
          <w:tcPr>
            <w:tcW w:w="3816" w:type="dxa"/>
            <w:tcBorders>
              <w:left w:val="nil"/>
              <w:right w:val="nil"/>
            </w:tcBorders>
            <w:shd w:val="clear" w:color="auto" w:fill="auto"/>
            <w:tcMar>
              <w:top w:w="100" w:type="dxa"/>
              <w:left w:w="100" w:type="dxa"/>
              <w:bottom w:w="100" w:type="dxa"/>
              <w:right w:w="100" w:type="dxa"/>
            </w:tcMar>
          </w:tcPr>
          <w:p w14:paraId="000002D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Included Questionnaires (section)</w:t>
            </w:r>
          </w:p>
        </w:tc>
      </w:tr>
      <w:tr w:rsidR="00CB4215" w14:paraId="1A69AE4D" w14:textId="77777777">
        <w:tc>
          <w:tcPr>
            <w:tcW w:w="2977" w:type="dxa"/>
            <w:tcBorders>
              <w:left w:val="nil"/>
              <w:bottom w:val="nil"/>
              <w:right w:val="nil"/>
            </w:tcBorders>
            <w:shd w:val="clear" w:color="auto" w:fill="FCE5CD"/>
            <w:tcMar>
              <w:top w:w="100" w:type="dxa"/>
              <w:left w:w="100" w:type="dxa"/>
              <w:bottom w:w="100" w:type="dxa"/>
              <w:right w:w="100" w:type="dxa"/>
            </w:tcMar>
          </w:tcPr>
          <w:p w14:paraId="000002D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Study 1 (Chapter 4) assessed meal timing, eating behaviour traits and health behaviours (e.g., dietary quality). </w:t>
            </w:r>
          </w:p>
        </w:tc>
        <w:tc>
          <w:tcPr>
            <w:tcW w:w="2138" w:type="dxa"/>
            <w:tcBorders>
              <w:left w:val="nil"/>
              <w:bottom w:val="nil"/>
              <w:right w:val="nil"/>
            </w:tcBorders>
            <w:shd w:val="clear" w:color="auto" w:fill="FCE5CD"/>
            <w:tcMar>
              <w:top w:w="100" w:type="dxa"/>
              <w:left w:w="100" w:type="dxa"/>
              <w:bottom w:w="100" w:type="dxa"/>
              <w:right w:w="100" w:type="dxa"/>
            </w:tcMar>
          </w:tcPr>
          <w:p w14:paraId="000002D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Online questionnaire</w:t>
            </w:r>
          </w:p>
          <w:p w14:paraId="000002D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(Quantitative method)</w:t>
            </w:r>
          </w:p>
        </w:tc>
        <w:tc>
          <w:tcPr>
            <w:tcW w:w="3816" w:type="dxa"/>
            <w:tcBorders>
              <w:left w:val="nil"/>
              <w:bottom w:val="nil"/>
              <w:right w:val="nil"/>
            </w:tcBorders>
            <w:shd w:val="clear" w:color="auto" w:fill="FCE5CD"/>
            <w:tcMar>
              <w:top w:w="100" w:type="dxa"/>
              <w:left w:w="100" w:type="dxa"/>
              <w:bottom w:w="100" w:type="dxa"/>
              <w:right w:w="100" w:type="dxa"/>
            </w:tcMar>
          </w:tcPr>
          <w:p w14:paraId="000002D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Meal timings</w:t>
            </w:r>
          </w:p>
          <w:p w14:paraId="000002D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Adult Eating Behaviour Questionnaire (AEBQ) </w:t>
            </w:r>
            <w:hyperlink r:id="rId363">
              <w:r>
                <w:rPr>
                  <w:rFonts w:ascii="Times New Roman" w:eastAsia="Times New Roman" w:hAnsi="Times New Roman" w:cs="Times New Roman"/>
                </w:rPr>
                <w:t>(</w:t>
              </w:r>
              <w:proofErr w:type="spellStart"/>
              <w:r>
                <w:rPr>
                  <w:rFonts w:ascii="Times New Roman" w:eastAsia="Times New Roman" w:hAnsi="Times New Roman" w:cs="Times New Roman"/>
                </w:rPr>
                <w:t>Hunot</w:t>
              </w:r>
              <w:proofErr w:type="spellEnd"/>
              <w:r>
                <w:rPr>
                  <w:rFonts w:ascii="Times New Roman" w:eastAsia="Times New Roman" w:hAnsi="Times New Roman" w:cs="Times New Roman"/>
                </w:rPr>
                <w:t xml:space="preserve"> et al., 2016)</w:t>
              </w:r>
            </w:hyperlink>
          </w:p>
          <w:p w14:paraId="000002DA" w14:textId="4C223C20"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Intuitive Eating Scale (IES) </w:t>
            </w:r>
            <w:hyperlink r:id="rId364">
              <w:r>
                <w:rPr>
                  <w:rFonts w:ascii="Times New Roman" w:eastAsia="Times New Roman" w:hAnsi="Times New Roman" w:cs="Times New Roman"/>
                </w:rPr>
                <w:t>(</w:t>
              </w:r>
              <w:proofErr w:type="spellStart"/>
              <w:r>
                <w:rPr>
                  <w:rFonts w:ascii="Times New Roman" w:eastAsia="Times New Roman" w:hAnsi="Times New Roman" w:cs="Times New Roman"/>
                </w:rPr>
                <w:t>Tylka</w:t>
              </w:r>
              <w:proofErr w:type="spellEnd"/>
              <w:r w:rsidR="001D23C8">
                <w:rPr>
                  <w:rFonts w:ascii="Times New Roman" w:eastAsia="Times New Roman" w:hAnsi="Times New Roman" w:cs="Times New Roman"/>
                </w:rPr>
                <w:t>,</w:t>
              </w:r>
              <w:r>
                <w:rPr>
                  <w:rFonts w:ascii="Times New Roman" w:eastAsia="Times New Roman" w:hAnsi="Times New Roman" w:cs="Times New Roman"/>
                </w:rPr>
                <w:t xml:space="preserve"> 2006)</w:t>
              </w:r>
            </w:hyperlink>
          </w:p>
          <w:p w14:paraId="000002D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Three-Factor Eating Questionnaire (TFEQ) </w:t>
            </w:r>
            <w:hyperlink r:id="rId365">
              <w:r>
                <w:rPr>
                  <w:rFonts w:ascii="Times New Roman" w:eastAsia="Times New Roman" w:hAnsi="Times New Roman" w:cs="Times New Roman"/>
                </w:rPr>
                <w:t>(Karlsson et al., 2000)</w:t>
              </w:r>
            </w:hyperlink>
          </w:p>
          <w:p w14:paraId="000002D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Control of Eating Questionnaire (</w:t>
            </w:r>
            <w:proofErr w:type="spellStart"/>
            <w:r>
              <w:rPr>
                <w:rFonts w:ascii="Times New Roman" w:eastAsia="Times New Roman" w:hAnsi="Times New Roman" w:cs="Times New Roman"/>
              </w:rPr>
              <w:t>CoEQ</w:t>
            </w:r>
            <w:proofErr w:type="spellEnd"/>
            <w:r>
              <w:rPr>
                <w:rFonts w:ascii="Times New Roman" w:eastAsia="Times New Roman" w:hAnsi="Times New Roman" w:cs="Times New Roman"/>
              </w:rPr>
              <w:t xml:space="preserve">) </w:t>
            </w:r>
            <w:hyperlink r:id="rId366">
              <w:r>
                <w:rPr>
                  <w:rFonts w:ascii="Times New Roman" w:eastAsia="Times New Roman" w:hAnsi="Times New Roman" w:cs="Times New Roman"/>
                </w:rPr>
                <w:t>(Dalton et al., 2015)</w:t>
              </w:r>
            </w:hyperlink>
          </w:p>
          <w:p w14:paraId="000002D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Short-Form Food Frequency Questionnaire (SFFFQ) </w:t>
            </w:r>
            <w:hyperlink r:id="rId367">
              <w:r>
                <w:rPr>
                  <w:rFonts w:ascii="Times New Roman" w:eastAsia="Times New Roman" w:hAnsi="Times New Roman" w:cs="Times New Roman"/>
                </w:rPr>
                <w:t>(Cleghorn et al., 2016)</w:t>
              </w:r>
            </w:hyperlink>
          </w:p>
        </w:tc>
      </w:tr>
      <w:tr w:rsidR="00CB4215" w14:paraId="63506FE3" w14:textId="77777777">
        <w:tc>
          <w:tcPr>
            <w:tcW w:w="2977" w:type="dxa"/>
            <w:tcBorders>
              <w:top w:val="nil"/>
              <w:left w:val="nil"/>
              <w:bottom w:val="nil"/>
              <w:right w:val="nil"/>
            </w:tcBorders>
            <w:shd w:val="clear" w:color="auto" w:fill="auto"/>
            <w:tcMar>
              <w:top w:w="100" w:type="dxa"/>
              <w:left w:w="100" w:type="dxa"/>
              <w:bottom w:w="100" w:type="dxa"/>
              <w:right w:w="100" w:type="dxa"/>
            </w:tcMar>
          </w:tcPr>
          <w:p w14:paraId="000002D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Study 2 (Chapter 5) assessed meal timing, eating behaviour traits, diet and objective measurements of health behaviour (e.g., sleep and physical activity).  </w:t>
            </w:r>
          </w:p>
        </w:tc>
        <w:tc>
          <w:tcPr>
            <w:tcW w:w="2138" w:type="dxa"/>
            <w:tcBorders>
              <w:top w:val="nil"/>
              <w:left w:val="nil"/>
              <w:bottom w:val="nil"/>
              <w:right w:val="nil"/>
            </w:tcBorders>
            <w:shd w:val="clear" w:color="auto" w:fill="auto"/>
            <w:tcMar>
              <w:top w:w="100" w:type="dxa"/>
              <w:left w:w="100" w:type="dxa"/>
              <w:bottom w:w="100" w:type="dxa"/>
              <w:right w:w="100" w:type="dxa"/>
            </w:tcMar>
          </w:tcPr>
          <w:p w14:paraId="000002D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Online questionnaire</w:t>
            </w:r>
          </w:p>
          <w:p w14:paraId="000002E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(Quantitative method)</w:t>
            </w:r>
          </w:p>
        </w:tc>
        <w:tc>
          <w:tcPr>
            <w:tcW w:w="3816" w:type="dxa"/>
            <w:tcBorders>
              <w:top w:val="nil"/>
              <w:left w:val="nil"/>
              <w:bottom w:val="nil"/>
              <w:right w:val="nil"/>
            </w:tcBorders>
            <w:shd w:val="clear" w:color="auto" w:fill="auto"/>
            <w:tcMar>
              <w:top w:w="100" w:type="dxa"/>
              <w:left w:w="100" w:type="dxa"/>
              <w:bottom w:w="100" w:type="dxa"/>
              <w:right w:w="100" w:type="dxa"/>
            </w:tcMar>
          </w:tcPr>
          <w:p w14:paraId="000002E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Meal timings</w:t>
            </w:r>
          </w:p>
          <w:p w14:paraId="000002E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Adult Eating Behaviour Questionnaire (AEBQ) </w:t>
            </w:r>
            <w:hyperlink r:id="rId368">
              <w:r>
                <w:rPr>
                  <w:rFonts w:ascii="Times New Roman" w:eastAsia="Times New Roman" w:hAnsi="Times New Roman" w:cs="Times New Roman"/>
                </w:rPr>
                <w:t>(</w:t>
              </w:r>
              <w:proofErr w:type="spellStart"/>
              <w:r>
                <w:rPr>
                  <w:rFonts w:ascii="Times New Roman" w:eastAsia="Times New Roman" w:hAnsi="Times New Roman" w:cs="Times New Roman"/>
                </w:rPr>
                <w:t>Hunot</w:t>
              </w:r>
              <w:proofErr w:type="spellEnd"/>
              <w:r>
                <w:rPr>
                  <w:rFonts w:ascii="Times New Roman" w:eastAsia="Times New Roman" w:hAnsi="Times New Roman" w:cs="Times New Roman"/>
                </w:rPr>
                <w:t xml:space="preserve"> et al., 2016)</w:t>
              </w:r>
            </w:hyperlink>
          </w:p>
          <w:p w14:paraId="000002E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Three-Factor Eating Questionnaire (TFEQ) </w:t>
            </w:r>
            <w:hyperlink r:id="rId369">
              <w:r>
                <w:rPr>
                  <w:rFonts w:ascii="Times New Roman" w:eastAsia="Times New Roman" w:hAnsi="Times New Roman" w:cs="Times New Roman"/>
                </w:rPr>
                <w:t>(Karlsson et al., 2000)</w:t>
              </w:r>
            </w:hyperlink>
          </w:p>
          <w:p w14:paraId="000002E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Control of Eating Questionnaire (</w:t>
            </w:r>
            <w:proofErr w:type="spellStart"/>
            <w:r>
              <w:rPr>
                <w:rFonts w:ascii="Times New Roman" w:eastAsia="Times New Roman" w:hAnsi="Times New Roman" w:cs="Times New Roman"/>
              </w:rPr>
              <w:t>CoEQ</w:t>
            </w:r>
            <w:proofErr w:type="spellEnd"/>
            <w:r>
              <w:rPr>
                <w:rFonts w:ascii="Times New Roman" w:eastAsia="Times New Roman" w:hAnsi="Times New Roman" w:cs="Times New Roman"/>
              </w:rPr>
              <w:t xml:space="preserve">) </w:t>
            </w:r>
            <w:hyperlink r:id="rId370">
              <w:r>
                <w:rPr>
                  <w:rFonts w:ascii="Times New Roman" w:eastAsia="Times New Roman" w:hAnsi="Times New Roman" w:cs="Times New Roman"/>
                </w:rPr>
                <w:t>(Dalton et al., 2015)</w:t>
              </w:r>
            </w:hyperlink>
          </w:p>
          <w:p w14:paraId="000002E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Short-Form Food Frequency Questionnaire (SFFFQ) </w:t>
            </w:r>
            <w:hyperlink r:id="rId371">
              <w:r>
                <w:rPr>
                  <w:rFonts w:ascii="Times New Roman" w:eastAsia="Times New Roman" w:hAnsi="Times New Roman" w:cs="Times New Roman"/>
                </w:rPr>
                <w:t>(Cleghorn et al., 2016)</w:t>
              </w:r>
            </w:hyperlink>
          </w:p>
          <w:p w14:paraId="000002E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Perceived Stress Scale (PSS) </w:t>
            </w:r>
            <w:hyperlink r:id="rId372">
              <w:r>
                <w:rPr>
                  <w:rFonts w:ascii="Times New Roman" w:eastAsia="Times New Roman" w:hAnsi="Times New Roman" w:cs="Times New Roman"/>
                </w:rPr>
                <w:t>(Cohen et al., 1994)</w:t>
              </w:r>
            </w:hyperlink>
          </w:p>
        </w:tc>
      </w:tr>
      <w:tr w:rsidR="00CB4215" w14:paraId="1FE14A98" w14:textId="77777777">
        <w:tc>
          <w:tcPr>
            <w:tcW w:w="2977" w:type="dxa"/>
            <w:tcBorders>
              <w:top w:val="nil"/>
              <w:left w:val="nil"/>
              <w:right w:val="nil"/>
            </w:tcBorders>
            <w:shd w:val="clear" w:color="auto" w:fill="FCE5CD"/>
            <w:tcMar>
              <w:top w:w="100" w:type="dxa"/>
              <w:left w:w="100" w:type="dxa"/>
              <w:bottom w:w="100" w:type="dxa"/>
              <w:right w:w="100" w:type="dxa"/>
            </w:tcMar>
          </w:tcPr>
          <w:p w14:paraId="000002E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Study 3 (Chapter 6) assessed meal timing and night eating </w:t>
            </w:r>
            <w:r>
              <w:rPr>
                <w:rFonts w:ascii="Times New Roman" w:eastAsia="Times New Roman" w:hAnsi="Times New Roman" w:cs="Times New Roman"/>
              </w:rPr>
              <w:lastRenderedPageBreak/>
              <w:t xml:space="preserve">syndrome by questionnaire and used semi-structured interviews to explore the reasons for late evening eating, and barriers and enablers to changing late evening eating.  </w:t>
            </w:r>
          </w:p>
        </w:tc>
        <w:tc>
          <w:tcPr>
            <w:tcW w:w="2138" w:type="dxa"/>
            <w:tcBorders>
              <w:top w:val="nil"/>
              <w:left w:val="nil"/>
              <w:right w:val="nil"/>
            </w:tcBorders>
            <w:shd w:val="clear" w:color="auto" w:fill="FCE5CD"/>
            <w:tcMar>
              <w:top w:w="100" w:type="dxa"/>
              <w:left w:w="100" w:type="dxa"/>
              <w:bottom w:w="100" w:type="dxa"/>
              <w:right w:w="100" w:type="dxa"/>
            </w:tcMar>
          </w:tcPr>
          <w:p w14:paraId="000002E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Online questionnaire</w:t>
            </w:r>
          </w:p>
          <w:p w14:paraId="000002E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Semi-structured </w:t>
            </w:r>
            <w:r>
              <w:rPr>
                <w:rFonts w:ascii="Times New Roman" w:eastAsia="Times New Roman" w:hAnsi="Times New Roman" w:cs="Times New Roman"/>
              </w:rPr>
              <w:lastRenderedPageBreak/>
              <w:t>interviews</w:t>
            </w:r>
          </w:p>
          <w:p w14:paraId="000002E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(Qualitative method)</w:t>
            </w:r>
          </w:p>
        </w:tc>
        <w:tc>
          <w:tcPr>
            <w:tcW w:w="3816" w:type="dxa"/>
            <w:tcBorders>
              <w:top w:val="nil"/>
              <w:left w:val="nil"/>
              <w:right w:val="nil"/>
            </w:tcBorders>
            <w:shd w:val="clear" w:color="auto" w:fill="FCE5CD"/>
            <w:tcMar>
              <w:top w:w="100" w:type="dxa"/>
              <w:left w:w="100" w:type="dxa"/>
              <w:bottom w:w="100" w:type="dxa"/>
              <w:right w:w="100" w:type="dxa"/>
            </w:tcMar>
          </w:tcPr>
          <w:p w14:paraId="000002E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Meal timings</w:t>
            </w:r>
          </w:p>
          <w:p w14:paraId="000002E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Night Eating Questionnaire (NEQ) </w:t>
            </w:r>
            <w:hyperlink r:id="rId373">
              <w:r>
                <w:rPr>
                  <w:rFonts w:ascii="Times New Roman" w:eastAsia="Times New Roman" w:hAnsi="Times New Roman" w:cs="Times New Roman"/>
                </w:rPr>
                <w:t>(Allison et al., 2008)</w:t>
              </w:r>
            </w:hyperlink>
          </w:p>
          <w:p w14:paraId="000002ED" w14:textId="77777777" w:rsidR="00CB4215" w:rsidRDefault="00CB4215">
            <w:pPr>
              <w:widowControl w:val="0"/>
              <w:spacing w:line="240" w:lineRule="auto"/>
              <w:rPr>
                <w:rFonts w:ascii="Times New Roman" w:eastAsia="Times New Roman" w:hAnsi="Times New Roman" w:cs="Times New Roman"/>
              </w:rPr>
            </w:pPr>
          </w:p>
        </w:tc>
      </w:tr>
    </w:tbl>
    <w:p w14:paraId="000002EE" w14:textId="77777777" w:rsidR="00CB4215" w:rsidRDefault="00CB4215">
      <w:pPr>
        <w:spacing w:line="480" w:lineRule="auto"/>
        <w:rPr>
          <w:rFonts w:ascii="Times New Roman" w:eastAsia="Times New Roman" w:hAnsi="Times New Roman" w:cs="Times New Roman"/>
          <w:sz w:val="24"/>
          <w:szCs w:val="24"/>
        </w:rPr>
      </w:pPr>
    </w:p>
    <w:p w14:paraId="000002EF" w14:textId="77777777" w:rsidR="00CB4215" w:rsidRDefault="000530B4">
      <w:pPr>
        <w:pStyle w:val="Heading3"/>
        <w:spacing w:line="480" w:lineRule="auto"/>
        <w:rPr>
          <w:rFonts w:ascii="Times New Roman" w:eastAsia="Times New Roman" w:hAnsi="Times New Roman" w:cs="Times New Roman"/>
          <w:b/>
          <w:color w:val="000000"/>
        </w:rPr>
      </w:pPr>
      <w:bookmarkStart w:id="42" w:name="_Toc172984788"/>
      <w:r>
        <w:rPr>
          <w:rFonts w:ascii="Times New Roman" w:eastAsia="Times New Roman" w:hAnsi="Times New Roman" w:cs="Times New Roman"/>
          <w:b/>
          <w:color w:val="000000"/>
        </w:rPr>
        <w:t>3.1 Ethical consideration</w:t>
      </w:r>
      <w:bookmarkEnd w:id="42"/>
    </w:p>
    <w:p w14:paraId="000002F0"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studies in this thesis received ethical approval through the University of Sheffield Ethics Review Procedure, administered by the Department of Psychology. Each study was conducted in accordance with the British Psychological Society's Code of Ethics and Conduct (BPS, 2009). All recruitment materials adhered to the university's ethical guidelines and provided an overview of the research, including study information, incentives offered, and the contact details of the researcher (name and email address). Participants were given information sheets and consent was obtained before the start of each study (see more details in Appendix B, C and D). Upon completion of the study, debrief forms were provided to participants. Participants received monetary compensation, which varied across studies (detailed in chapters 4, 5, and 6).</w:t>
      </w:r>
    </w:p>
    <w:p w14:paraId="000002F1" w14:textId="77777777" w:rsidR="00CB4215" w:rsidRDefault="00CB4215">
      <w:pPr>
        <w:spacing w:line="480" w:lineRule="auto"/>
        <w:rPr>
          <w:rFonts w:ascii="Times New Roman" w:eastAsia="Times New Roman" w:hAnsi="Times New Roman" w:cs="Times New Roman"/>
          <w:sz w:val="24"/>
          <w:szCs w:val="24"/>
        </w:rPr>
      </w:pPr>
    </w:p>
    <w:p w14:paraId="000002F2" w14:textId="77777777" w:rsidR="00CB4215" w:rsidRDefault="000530B4">
      <w:pPr>
        <w:pStyle w:val="Heading3"/>
        <w:spacing w:line="480" w:lineRule="auto"/>
        <w:rPr>
          <w:rFonts w:ascii="Times New Roman" w:eastAsia="Times New Roman" w:hAnsi="Times New Roman" w:cs="Times New Roman"/>
          <w:b/>
          <w:color w:val="000000"/>
        </w:rPr>
      </w:pPr>
      <w:bookmarkStart w:id="43" w:name="_Toc172984789"/>
      <w:r>
        <w:rPr>
          <w:rFonts w:ascii="Times New Roman" w:eastAsia="Times New Roman" w:hAnsi="Times New Roman" w:cs="Times New Roman"/>
          <w:b/>
          <w:color w:val="000000"/>
        </w:rPr>
        <w:t>3.2 Research methods</w:t>
      </w:r>
      <w:bookmarkEnd w:id="43"/>
    </w:p>
    <w:p w14:paraId="000002F3" w14:textId="77777777" w:rsidR="00CB4215" w:rsidRDefault="000530B4">
      <w:pPr>
        <w:pStyle w:val="Heading4"/>
        <w:spacing w:line="480" w:lineRule="auto"/>
        <w:rPr>
          <w:rFonts w:ascii="Times New Roman" w:eastAsia="Times New Roman" w:hAnsi="Times New Roman" w:cs="Times New Roman"/>
          <w:b/>
          <w:color w:val="000000"/>
        </w:rPr>
      </w:pPr>
      <w:bookmarkStart w:id="44" w:name="_heading=h.1hmsyys" w:colFirst="0" w:colLast="0"/>
      <w:bookmarkEnd w:id="44"/>
      <w:r>
        <w:rPr>
          <w:rFonts w:ascii="Times New Roman" w:eastAsia="Times New Roman" w:hAnsi="Times New Roman" w:cs="Times New Roman"/>
          <w:b/>
          <w:color w:val="000000"/>
        </w:rPr>
        <w:t>3.2.1 Quantitative method</w:t>
      </w:r>
    </w:p>
    <w:p w14:paraId="000002F4" w14:textId="586976DC"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quantitative research is to understand the causal or correlational relationships between variables by testing hypotheses. This method facilitates the process of generating reliable results that can be applied to a wider range of populations </w:t>
      </w:r>
      <w:hyperlink r:id="rId374">
        <w:r>
          <w:rPr>
            <w:rFonts w:ascii="Times New Roman" w:eastAsia="Times New Roman" w:hAnsi="Times New Roman" w:cs="Times New Roman"/>
            <w:sz w:val="24"/>
            <w:szCs w:val="24"/>
          </w:rPr>
          <w:t xml:space="preserve">(Verhoef and </w:t>
        </w:r>
        <w:proofErr w:type="spellStart"/>
        <w:r>
          <w:rPr>
            <w:rFonts w:ascii="Times New Roman" w:eastAsia="Times New Roman" w:hAnsi="Times New Roman" w:cs="Times New Roman"/>
            <w:sz w:val="24"/>
            <w:szCs w:val="24"/>
          </w:rPr>
          <w:t>Casebeer</w:t>
        </w:r>
        <w:proofErr w:type="spellEnd"/>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1997)</w:t>
        </w:r>
      </w:hyperlink>
      <w:r>
        <w:rPr>
          <w:rFonts w:ascii="Times New Roman" w:eastAsia="Times New Roman" w:hAnsi="Times New Roman" w:cs="Times New Roman"/>
          <w:sz w:val="24"/>
          <w:szCs w:val="24"/>
        </w:rPr>
        <w:t xml:space="preserve">. Particularly, Study 1 (Chapter 4) and Study 2 (Chapter 5) used quantitative methods to explore the relationship between meal timing, BMI, eating behaviour traits and health </w:t>
      </w:r>
      <w:r>
        <w:rPr>
          <w:rFonts w:ascii="Times New Roman" w:eastAsia="Times New Roman" w:hAnsi="Times New Roman" w:cs="Times New Roman"/>
          <w:sz w:val="24"/>
          <w:szCs w:val="24"/>
        </w:rPr>
        <w:lastRenderedPageBreak/>
        <w:t xml:space="preserve">behaviours. Quantitative methods are a useful way of identifying broad patterns and trends by using statistical techniques to analyse data, providing an understanding of the influence of meal timing on body weight (e.g., </w:t>
      </w:r>
      <w:hyperlink r:id="rId375">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Baron et al., 2011; </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w:t>
        </w:r>
      </w:hyperlink>
      <w:r>
        <w:rPr>
          <w:rFonts w:ascii="Times New Roman" w:eastAsia="Times New Roman" w:hAnsi="Times New Roman" w:cs="Times New Roman"/>
          <w:sz w:val="24"/>
          <w:szCs w:val="24"/>
        </w:rPr>
        <w:t xml:space="preserve">. </w:t>
      </w:r>
    </w:p>
    <w:p w14:paraId="000002F5" w14:textId="77777777" w:rsidR="00CB4215" w:rsidRDefault="00CB4215">
      <w:pPr>
        <w:spacing w:line="480" w:lineRule="auto"/>
        <w:rPr>
          <w:rFonts w:ascii="Times New Roman" w:eastAsia="Times New Roman" w:hAnsi="Times New Roman" w:cs="Times New Roman"/>
          <w:sz w:val="24"/>
          <w:szCs w:val="24"/>
        </w:rPr>
      </w:pPr>
    </w:p>
    <w:p w14:paraId="000002F6" w14:textId="77777777" w:rsidR="00CB4215" w:rsidRDefault="000530B4">
      <w:pPr>
        <w:pStyle w:val="Heading4"/>
        <w:spacing w:line="480" w:lineRule="auto"/>
        <w:rPr>
          <w:rFonts w:ascii="Times New Roman" w:eastAsia="Times New Roman" w:hAnsi="Times New Roman" w:cs="Times New Roman"/>
          <w:b/>
          <w:color w:val="000000"/>
        </w:rPr>
      </w:pPr>
      <w:bookmarkStart w:id="45" w:name="_heading=h.41mghml" w:colFirst="0" w:colLast="0"/>
      <w:bookmarkEnd w:id="45"/>
      <w:r>
        <w:rPr>
          <w:rFonts w:ascii="Times New Roman" w:eastAsia="Times New Roman" w:hAnsi="Times New Roman" w:cs="Times New Roman"/>
          <w:b/>
          <w:color w:val="000000"/>
        </w:rPr>
        <w:t>3.2.2 Qualitative method</w:t>
      </w:r>
    </w:p>
    <w:p w14:paraId="000002F7" w14:textId="58F23583" w:rsidR="00CB4215" w:rsidRDefault="00DD4B69">
      <w:pPr>
        <w:spacing w:line="480" w:lineRule="auto"/>
        <w:rPr>
          <w:rFonts w:ascii="Times New Roman" w:eastAsia="Times New Roman" w:hAnsi="Times New Roman" w:cs="Times New Roman"/>
          <w:sz w:val="24"/>
          <w:szCs w:val="24"/>
        </w:rPr>
      </w:pPr>
      <w:r w:rsidRPr="00DD4B69">
        <w:rPr>
          <w:rFonts w:ascii="Times New Roman" w:eastAsia="Times New Roman" w:hAnsi="Times New Roman" w:cs="Times New Roman"/>
          <w:sz w:val="24"/>
          <w:szCs w:val="24"/>
        </w:rPr>
        <w:t xml:space="preserve">Quantitative research is based on positivism, a philosophical belief that reality is objective and can be measured and quantified using empirical methods. This approach is characterised </w:t>
      </w:r>
      <w:proofErr w:type="gramStart"/>
      <w:r w:rsidRPr="00DD4B69">
        <w:rPr>
          <w:rFonts w:ascii="Times New Roman" w:eastAsia="Times New Roman" w:hAnsi="Times New Roman" w:cs="Times New Roman"/>
          <w:sz w:val="24"/>
          <w:szCs w:val="24"/>
        </w:rPr>
        <w:t>by the use of</w:t>
      </w:r>
      <w:proofErr w:type="gramEnd"/>
      <w:r w:rsidRPr="00DD4B69">
        <w:rPr>
          <w:rFonts w:ascii="Times New Roman" w:eastAsia="Times New Roman" w:hAnsi="Times New Roman" w:cs="Times New Roman"/>
          <w:sz w:val="24"/>
          <w:szCs w:val="24"/>
        </w:rPr>
        <w:t xml:space="preserve"> hypothesis testing, the use of statistical tools, and a focus on producing </w:t>
      </w:r>
      <w:r>
        <w:rPr>
          <w:rFonts w:ascii="Times New Roman" w:eastAsia="Times New Roman" w:hAnsi="Times New Roman" w:cs="Times New Roman"/>
          <w:sz w:val="24"/>
          <w:szCs w:val="24"/>
        </w:rPr>
        <w:t xml:space="preserve">generalizable </w:t>
      </w:r>
      <w:r w:rsidRPr="00DD4B69">
        <w:rPr>
          <w:rFonts w:ascii="Times New Roman" w:eastAsia="Times New Roman" w:hAnsi="Times New Roman" w:cs="Times New Roman"/>
          <w:sz w:val="24"/>
          <w:szCs w:val="24"/>
        </w:rPr>
        <w:t>results</w:t>
      </w:r>
      <w:r w:rsidRPr="00DD4B69">
        <w:t xml:space="preserve"> </w:t>
      </w:r>
      <w:hyperlink r:id="rId376" w:history="1">
        <w:r w:rsidRPr="00DD4B69">
          <w:rPr>
            <w:rStyle w:val="Hyperlink"/>
            <w:rFonts w:ascii="Times New Roman" w:eastAsia="Times New Roman" w:hAnsi="Times New Roman" w:cs="Times New Roman"/>
            <w:color w:val="auto"/>
            <w:sz w:val="24"/>
            <w:szCs w:val="24"/>
            <w:u w:val="none"/>
          </w:rPr>
          <w:t>(</w:t>
        </w:r>
        <w:proofErr w:type="spellStart"/>
        <w:r w:rsidRPr="00DD4B69">
          <w:rPr>
            <w:rStyle w:val="Hyperlink"/>
            <w:rFonts w:ascii="Times New Roman" w:eastAsia="Times New Roman" w:hAnsi="Times New Roman" w:cs="Times New Roman"/>
            <w:color w:val="auto"/>
            <w:sz w:val="24"/>
            <w:szCs w:val="24"/>
            <w:u w:val="none"/>
          </w:rPr>
          <w:t>Maksimović</w:t>
        </w:r>
        <w:proofErr w:type="spellEnd"/>
        <w:r w:rsidRPr="00DD4B69">
          <w:rPr>
            <w:rStyle w:val="Hyperlink"/>
            <w:rFonts w:ascii="Times New Roman" w:eastAsia="Times New Roman" w:hAnsi="Times New Roman" w:cs="Times New Roman"/>
            <w:color w:val="auto"/>
            <w:sz w:val="24"/>
            <w:szCs w:val="24"/>
            <w:u w:val="none"/>
          </w:rPr>
          <w:t xml:space="preserve"> and </w:t>
        </w:r>
        <w:proofErr w:type="spellStart"/>
        <w:r w:rsidRPr="00DD4B69">
          <w:rPr>
            <w:rStyle w:val="Hyperlink"/>
            <w:rFonts w:ascii="Times New Roman" w:eastAsia="Times New Roman" w:hAnsi="Times New Roman" w:cs="Times New Roman"/>
            <w:color w:val="auto"/>
            <w:sz w:val="24"/>
            <w:szCs w:val="24"/>
            <w:u w:val="none"/>
          </w:rPr>
          <w:t>Evtimov</w:t>
        </w:r>
        <w:proofErr w:type="spellEnd"/>
        <w:r w:rsidR="001D23C8">
          <w:rPr>
            <w:rStyle w:val="Hyperlink"/>
            <w:rFonts w:ascii="Times New Roman" w:eastAsia="Times New Roman" w:hAnsi="Times New Roman" w:cs="Times New Roman"/>
            <w:color w:val="auto"/>
            <w:sz w:val="24"/>
            <w:szCs w:val="24"/>
            <w:u w:val="none"/>
          </w:rPr>
          <w:t>,</w:t>
        </w:r>
        <w:r w:rsidRPr="00DD4B69">
          <w:rPr>
            <w:rStyle w:val="Hyperlink"/>
            <w:rFonts w:ascii="Times New Roman" w:eastAsia="Times New Roman" w:hAnsi="Times New Roman" w:cs="Times New Roman"/>
            <w:color w:val="auto"/>
            <w:sz w:val="24"/>
            <w:szCs w:val="24"/>
            <w:u w:val="none"/>
          </w:rPr>
          <w:t xml:space="preserve"> 2023)</w:t>
        </w:r>
      </w:hyperlink>
      <w:r w:rsidRPr="00DD4B69">
        <w:rPr>
          <w:rFonts w:ascii="Times New Roman" w:eastAsia="Times New Roman" w:hAnsi="Times New Roman" w:cs="Times New Roman"/>
          <w:sz w:val="24"/>
          <w:szCs w:val="24"/>
        </w:rPr>
        <w:t xml:space="preserve">. </w:t>
      </w:r>
      <w:r w:rsidR="000530B4">
        <w:rPr>
          <w:rFonts w:ascii="Times New Roman" w:eastAsia="Times New Roman" w:hAnsi="Times New Roman" w:cs="Times New Roman"/>
          <w:sz w:val="24"/>
          <w:szCs w:val="24"/>
        </w:rPr>
        <w:t xml:space="preserve">However, quantitative research is often conducted in controlled environments and focuses primarily on numerical variables. As a result, it focuses on numbers, lacks in-depth coverage of experiences, and may ignore historical and cultural factors that may influence data collection and outcomes </w:t>
      </w:r>
      <w:hyperlink r:id="rId377">
        <w:r w:rsidR="000530B4">
          <w:rPr>
            <w:rFonts w:ascii="Times New Roman" w:eastAsia="Times New Roman" w:hAnsi="Times New Roman" w:cs="Times New Roman"/>
            <w:sz w:val="24"/>
            <w:szCs w:val="24"/>
          </w:rPr>
          <w:t>(</w:t>
        </w:r>
        <w:proofErr w:type="spellStart"/>
        <w:r w:rsidR="000530B4">
          <w:rPr>
            <w:rFonts w:ascii="Times New Roman" w:eastAsia="Times New Roman" w:hAnsi="Times New Roman" w:cs="Times New Roman"/>
            <w:sz w:val="24"/>
            <w:szCs w:val="24"/>
          </w:rPr>
          <w:t>Lerche</w:t>
        </w:r>
        <w:proofErr w:type="spellEnd"/>
        <w:r w:rsidR="001D23C8">
          <w:rPr>
            <w:rFonts w:ascii="Times New Roman" w:eastAsia="Times New Roman" w:hAnsi="Times New Roman" w:cs="Times New Roman"/>
            <w:sz w:val="24"/>
            <w:szCs w:val="24"/>
          </w:rPr>
          <w:t>,</w:t>
        </w:r>
        <w:r w:rsidR="000530B4">
          <w:rPr>
            <w:rFonts w:ascii="Times New Roman" w:eastAsia="Times New Roman" w:hAnsi="Times New Roman" w:cs="Times New Roman"/>
            <w:sz w:val="24"/>
            <w:szCs w:val="24"/>
          </w:rPr>
          <w:t xml:space="preserve"> 2012)</w:t>
        </w:r>
      </w:hyperlink>
      <w:r w:rsidR="000530B4">
        <w:rPr>
          <w:rFonts w:ascii="Times New Roman" w:eastAsia="Times New Roman" w:hAnsi="Times New Roman" w:cs="Times New Roman"/>
          <w:sz w:val="24"/>
          <w:szCs w:val="24"/>
        </w:rPr>
        <w:t xml:space="preserve">. In contrast, qualitative research involves non-numerical data collection and analyse to produce detailed insights based on participants' responses </w:t>
      </w:r>
      <w:hyperlink r:id="rId378">
        <w:r w:rsidR="000530B4">
          <w:rPr>
            <w:rFonts w:ascii="Times New Roman" w:eastAsia="Times New Roman" w:hAnsi="Times New Roman" w:cs="Times New Roman"/>
            <w:sz w:val="24"/>
            <w:szCs w:val="24"/>
          </w:rPr>
          <w:t>(</w:t>
        </w:r>
        <w:proofErr w:type="spellStart"/>
        <w:r w:rsidR="000530B4">
          <w:rPr>
            <w:rFonts w:ascii="Times New Roman" w:eastAsia="Times New Roman" w:hAnsi="Times New Roman" w:cs="Times New Roman"/>
            <w:sz w:val="24"/>
            <w:szCs w:val="24"/>
          </w:rPr>
          <w:t>Steckler</w:t>
        </w:r>
        <w:proofErr w:type="spellEnd"/>
        <w:r w:rsidR="000530B4">
          <w:rPr>
            <w:rFonts w:ascii="Times New Roman" w:eastAsia="Times New Roman" w:hAnsi="Times New Roman" w:cs="Times New Roman"/>
            <w:sz w:val="24"/>
            <w:szCs w:val="24"/>
          </w:rPr>
          <w:t xml:space="preserve"> et al., 1992)</w:t>
        </w:r>
      </w:hyperlink>
      <w:r w:rsidR="000530B4">
        <w:rPr>
          <w:rFonts w:ascii="Times New Roman" w:eastAsia="Times New Roman" w:hAnsi="Times New Roman" w:cs="Times New Roman"/>
          <w:sz w:val="24"/>
          <w:szCs w:val="24"/>
        </w:rPr>
        <w:t>.</w:t>
      </w:r>
      <w:r w:rsidR="009C0694">
        <w:rPr>
          <w:rFonts w:ascii="Times New Roman" w:eastAsia="Times New Roman" w:hAnsi="Times New Roman" w:cs="Times New Roman"/>
          <w:sz w:val="24"/>
          <w:szCs w:val="24"/>
        </w:rPr>
        <w:t xml:space="preserve"> </w:t>
      </w:r>
      <w:r w:rsidR="000530B4">
        <w:rPr>
          <w:rFonts w:ascii="Times New Roman" w:eastAsia="Times New Roman" w:hAnsi="Times New Roman" w:cs="Times New Roman"/>
          <w:sz w:val="24"/>
          <w:szCs w:val="24"/>
        </w:rPr>
        <w:t xml:space="preserve">Furthermore, qualitative methods are multifaceted and intricate </w:t>
      </w:r>
      <w:hyperlink r:id="rId379">
        <w:r w:rsidR="000530B4">
          <w:rPr>
            <w:rFonts w:ascii="Times New Roman" w:eastAsia="Times New Roman" w:hAnsi="Times New Roman" w:cs="Times New Roman"/>
            <w:sz w:val="24"/>
            <w:szCs w:val="24"/>
          </w:rPr>
          <w:t xml:space="preserve">(Holloway and </w:t>
        </w:r>
        <w:proofErr w:type="spellStart"/>
        <w:r w:rsidR="000530B4">
          <w:rPr>
            <w:rFonts w:ascii="Times New Roman" w:eastAsia="Times New Roman" w:hAnsi="Times New Roman" w:cs="Times New Roman"/>
            <w:sz w:val="24"/>
            <w:szCs w:val="24"/>
          </w:rPr>
          <w:t>Todres</w:t>
        </w:r>
        <w:proofErr w:type="spellEnd"/>
        <w:r w:rsidR="001D23C8">
          <w:rPr>
            <w:rFonts w:ascii="Times New Roman" w:eastAsia="Times New Roman" w:hAnsi="Times New Roman" w:cs="Times New Roman"/>
            <w:sz w:val="24"/>
            <w:szCs w:val="24"/>
          </w:rPr>
          <w:t>,</w:t>
        </w:r>
        <w:r w:rsidR="000530B4">
          <w:rPr>
            <w:rFonts w:ascii="Times New Roman" w:eastAsia="Times New Roman" w:hAnsi="Times New Roman" w:cs="Times New Roman"/>
            <w:sz w:val="24"/>
            <w:szCs w:val="24"/>
          </w:rPr>
          <w:t xml:space="preserve"> 2003)</w:t>
        </w:r>
      </w:hyperlink>
      <w:r w:rsidR="000530B4">
        <w:rPr>
          <w:rFonts w:ascii="Times New Roman" w:eastAsia="Times New Roman" w:hAnsi="Times New Roman" w:cs="Times New Roman"/>
          <w:sz w:val="24"/>
          <w:szCs w:val="24"/>
        </w:rPr>
        <w:t>, and thematic analysis is regarded as a fundamental qualitative analysis technique. Specifically, thematic analysis is a theoretically flexible method for identifying, analysing and interpreting themes within data, which involves a systematic process of coding data to develop themes (Braun and Clarke</w:t>
      </w:r>
      <w:r w:rsidR="001D23C8">
        <w:rPr>
          <w:rFonts w:ascii="Times New Roman" w:eastAsia="Times New Roman" w:hAnsi="Times New Roman" w:cs="Times New Roman"/>
          <w:sz w:val="24"/>
          <w:szCs w:val="24"/>
        </w:rPr>
        <w:t>,</w:t>
      </w:r>
      <w:r w:rsidR="000530B4">
        <w:rPr>
          <w:rFonts w:ascii="Times New Roman" w:eastAsia="Times New Roman" w:hAnsi="Times New Roman" w:cs="Times New Roman"/>
          <w:sz w:val="24"/>
          <w:szCs w:val="24"/>
        </w:rPr>
        <w:t xml:space="preserve"> 2012). </w:t>
      </w:r>
      <w:r w:rsidR="009C0694" w:rsidRPr="009C0694">
        <w:rPr>
          <w:rFonts w:ascii="Times New Roman" w:eastAsia="Times New Roman" w:hAnsi="Times New Roman" w:cs="Times New Roman"/>
          <w:sz w:val="24"/>
          <w:szCs w:val="24"/>
        </w:rPr>
        <w:t xml:space="preserve">In contrast to quantitative research, Braun and Clarke (2022) </w:t>
      </w:r>
      <w:r w:rsidR="00951F4E" w:rsidRPr="00951F4E">
        <w:rPr>
          <w:rFonts w:ascii="Times New Roman" w:eastAsia="Times New Roman" w:hAnsi="Times New Roman" w:cs="Times New Roman"/>
          <w:sz w:val="24"/>
          <w:szCs w:val="24"/>
        </w:rPr>
        <w:t>emphasize</w:t>
      </w:r>
      <w:r w:rsidR="00951F4E">
        <w:rPr>
          <w:rFonts w:ascii="Times New Roman" w:eastAsia="Times New Roman" w:hAnsi="Times New Roman" w:cs="Times New Roman"/>
          <w:sz w:val="24"/>
          <w:szCs w:val="24"/>
        </w:rPr>
        <w:t xml:space="preserve"> </w:t>
      </w:r>
      <w:r w:rsidR="009C0694" w:rsidRPr="009C0694">
        <w:rPr>
          <w:rFonts w:ascii="Times New Roman" w:eastAsia="Times New Roman" w:hAnsi="Times New Roman" w:cs="Times New Roman"/>
          <w:sz w:val="24"/>
          <w:szCs w:val="24"/>
        </w:rPr>
        <w:t>that subjectivity of qualitative researchers is an essential resource for reflexive thematic analysis.</w:t>
      </w:r>
      <w:r w:rsidR="00951F4E">
        <w:rPr>
          <w:rFonts w:ascii="Times New Roman" w:eastAsia="Times New Roman" w:hAnsi="Times New Roman" w:cs="Times New Roman"/>
          <w:sz w:val="24"/>
          <w:szCs w:val="24"/>
        </w:rPr>
        <w:t xml:space="preserve"> </w:t>
      </w:r>
      <w:r w:rsidR="00951F4E" w:rsidRPr="00951F4E">
        <w:rPr>
          <w:rFonts w:ascii="Times New Roman" w:eastAsia="Times New Roman" w:hAnsi="Times New Roman" w:cs="Times New Roman"/>
          <w:sz w:val="24"/>
          <w:szCs w:val="24"/>
        </w:rPr>
        <w:t>Another key concept of qualitative research is reflexivity, which is the constant reflection on the researcher's assumptions, expectations, choices and actions throughout the research process.</w:t>
      </w:r>
      <w:r w:rsidR="00951F4E">
        <w:rPr>
          <w:rFonts w:ascii="Times New Roman" w:eastAsia="Times New Roman" w:hAnsi="Times New Roman" w:cs="Times New Roman"/>
          <w:sz w:val="24"/>
          <w:szCs w:val="24"/>
        </w:rPr>
        <w:t xml:space="preserve"> </w:t>
      </w:r>
      <w:r w:rsidR="00FD72E7">
        <w:rPr>
          <w:rFonts w:ascii="Times New Roman" w:eastAsia="Times New Roman" w:hAnsi="Times New Roman" w:cs="Times New Roman"/>
          <w:sz w:val="24"/>
          <w:szCs w:val="24"/>
        </w:rPr>
        <w:t xml:space="preserve">Specifically, </w:t>
      </w:r>
      <w:r w:rsidR="00FD72E7" w:rsidRPr="00FD72E7">
        <w:rPr>
          <w:rFonts w:ascii="Times New Roman" w:eastAsia="Times New Roman" w:hAnsi="Times New Roman" w:cs="Times New Roman"/>
          <w:sz w:val="24"/>
          <w:szCs w:val="24"/>
        </w:rPr>
        <w:t xml:space="preserve">Braun and Clarke (2022) recommend that </w:t>
      </w:r>
      <w:proofErr w:type="gramStart"/>
      <w:r w:rsidR="00FD72E7" w:rsidRPr="00FD72E7">
        <w:rPr>
          <w:rFonts w:ascii="Times New Roman" w:eastAsia="Times New Roman" w:hAnsi="Times New Roman" w:cs="Times New Roman"/>
          <w:sz w:val="24"/>
          <w:szCs w:val="24"/>
        </w:rPr>
        <w:t>in order to</w:t>
      </w:r>
      <w:proofErr w:type="gramEnd"/>
      <w:r w:rsidR="00FD72E7" w:rsidRPr="00FD72E7">
        <w:rPr>
          <w:rFonts w:ascii="Times New Roman" w:eastAsia="Times New Roman" w:hAnsi="Times New Roman" w:cs="Times New Roman"/>
          <w:sz w:val="24"/>
          <w:szCs w:val="24"/>
        </w:rPr>
        <w:t xml:space="preserve"> ensure that theory and research practice are aligned, the researcher should </w:t>
      </w:r>
      <w:r w:rsidR="00FD72E7" w:rsidRPr="00FD72E7">
        <w:rPr>
          <w:rFonts w:ascii="Times New Roman" w:eastAsia="Times New Roman" w:hAnsi="Times New Roman" w:cs="Times New Roman"/>
          <w:sz w:val="24"/>
          <w:szCs w:val="24"/>
        </w:rPr>
        <w:lastRenderedPageBreak/>
        <w:t xml:space="preserve">develop an awareness of their personal positions or </w:t>
      </w:r>
      <w:r w:rsidR="00FD72E7" w:rsidRPr="00C81F3A">
        <w:rPr>
          <w:rFonts w:ascii="Times New Roman" w:eastAsia="Times New Roman" w:hAnsi="Times New Roman" w:cs="Times New Roman"/>
          <w:sz w:val="24"/>
          <w:szCs w:val="24"/>
        </w:rPr>
        <w:t>standpoints</w:t>
      </w:r>
      <w:r w:rsidR="00C81F3A">
        <w:rPr>
          <w:rFonts w:ascii="Times New Roman" w:hAnsi="Times New Roman" w:cs="Times New Roman"/>
          <w:sz w:val="24"/>
          <w:szCs w:val="24"/>
        </w:rPr>
        <w:t xml:space="preserve">, such as </w:t>
      </w:r>
      <w:r w:rsidR="00FD72E7" w:rsidRPr="00C81F3A">
        <w:rPr>
          <w:rFonts w:ascii="Times New Roman" w:eastAsia="Times New Roman" w:hAnsi="Times New Roman" w:cs="Times New Roman"/>
          <w:sz w:val="24"/>
          <w:szCs w:val="24"/>
        </w:rPr>
        <w:t>socio</w:t>
      </w:r>
      <w:r w:rsidR="00FD72E7" w:rsidRPr="00FD72E7">
        <w:rPr>
          <w:rFonts w:ascii="Times New Roman" w:eastAsia="Times New Roman" w:hAnsi="Times New Roman" w:cs="Times New Roman"/>
          <w:sz w:val="24"/>
          <w:szCs w:val="24"/>
        </w:rPr>
        <w:t>-demographic positioning in relation to the intersections of race, culture, religion/belief, social class/socioeconomics, sex/gender, sexuality and ag</w:t>
      </w:r>
      <w:r w:rsidR="00D04424">
        <w:rPr>
          <w:rFonts w:ascii="Times New Roman" w:eastAsia="Times New Roman" w:hAnsi="Times New Roman" w:cs="Times New Roman"/>
          <w:sz w:val="24"/>
          <w:szCs w:val="24"/>
        </w:rPr>
        <w:t>e,</w:t>
      </w:r>
      <w:r w:rsidR="00FD72E7" w:rsidRPr="00FD72E7">
        <w:rPr>
          <w:rFonts w:ascii="Times New Roman" w:eastAsia="Times New Roman" w:hAnsi="Times New Roman" w:cs="Times New Roman"/>
          <w:sz w:val="24"/>
          <w:szCs w:val="24"/>
        </w:rPr>
        <w:t xml:space="preserve"> and assumptions about the world. </w:t>
      </w:r>
      <w:r w:rsidR="000530B4">
        <w:rPr>
          <w:rFonts w:ascii="Times New Roman" w:eastAsia="Times New Roman" w:hAnsi="Times New Roman" w:cs="Times New Roman"/>
          <w:sz w:val="24"/>
          <w:szCs w:val="24"/>
        </w:rPr>
        <w:t xml:space="preserve">Regarding the studies reported in this thesis, meal timing could be influenced by multiple factors, such as cultural and environmental factors, behavioural and personal preferences, and physiological factors </w:t>
      </w:r>
      <w:hyperlink r:id="rId380">
        <w:r w:rsidR="000530B4">
          <w:rPr>
            <w:rFonts w:ascii="Times New Roman" w:eastAsia="Times New Roman" w:hAnsi="Times New Roman" w:cs="Times New Roman"/>
            <w:sz w:val="24"/>
            <w:szCs w:val="24"/>
          </w:rPr>
          <w:t>(</w:t>
        </w:r>
        <w:proofErr w:type="spellStart"/>
        <w:r w:rsidR="000530B4">
          <w:rPr>
            <w:rFonts w:ascii="Times New Roman" w:eastAsia="Times New Roman" w:hAnsi="Times New Roman" w:cs="Times New Roman"/>
            <w:sz w:val="24"/>
            <w:szCs w:val="24"/>
          </w:rPr>
          <w:t>Dashti</w:t>
        </w:r>
        <w:proofErr w:type="spellEnd"/>
        <w:r w:rsidR="000530B4">
          <w:rPr>
            <w:rFonts w:ascii="Times New Roman" w:eastAsia="Times New Roman" w:hAnsi="Times New Roman" w:cs="Times New Roman"/>
            <w:sz w:val="24"/>
            <w:szCs w:val="24"/>
          </w:rPr>
          <w:t xml:space="preserve"> et al., 2019)</w:t>
        </w:r>
      </w:hyperlink>
      <w:r w:rsidR="000530B4">
        <w:rPr>
          <w:rFonts w:ascii="Times New Roman" w:eastAsia="Times New Roman" w:hAnsi="Times New Roman" w:cs="Times New Roman"/>
          <w:sz w:val="24"/>
          <w:szCs w:val="24"/>
        </w:rPr>
        <w:t xml:space="preserve">. Although there are some limitations to qualitative research, such as reduced generalisability and time-consuming data collection </w:t>
      </w:r>
      <w:hyperlink r:id="rId381">
        <w:r w:rsidR="000530B4">
          <w:rPr>
            <w:rFonts w:ascii="Times New Roman" w:eastAsia="Times New Roman" w:hAnsi="Times New Roman" w:cs="Times New Roman"/>
            <w:sz w:val="24"/>
            <w:szCs w:val="24"/>
          </w:rPr>
          <w:t>(</w:t>
        </w:r>
        <w:proofErr w:type="spellStart"/>
        <w:r w:rsidR="000530B4">
          <w:rPr>
            <w:rFonts w:ascii="Times New Roman" w:eastAsia="Times New Roman" w:hAnsi="Times New Roman" w:cs="Times New Roman"/>
            <w:sz w:val="24"/>
            <w:szCs w:val="24"/>
          </w:rPr>
          <w:t>Mwita</w:t>
        </w:r>
        <w:proofErr w:type="spellEnd"/>
        <w:r w:rsidR="001D23C8">
          <w:rPr>
            <w:rFonts w:ascii="Times New Roman" w:eastAsia="Times New Roman" w:hAnsi="Times New Roman" w:cs="Times New Roman"/>
            <w:sz w:val="24"/>
            <w:szCs w:val="24"/>
          </w:rPr>
          <w:t>,</w:t>
        </w:r>
        <w:r w:rsidR="000530B4">
          <w:rPr>
            <w:rFonts w:ascii="Times New Roman" w:eastAsia="Times New Roman" w:hAnsi="Times New Roman" w:cs="Times New Roman"/>
            <w:sz w:val="24"/>
            <w:szCs w:val="24"/>
          </w:rPr>
          <w:t xml:space="preserve"> 2022)</w:t>
        </w:r>
      </w:hyperlink>
      <w:r w:rsidR="000530B4">
        <w:rPr>
          <w:rFonts w:ascii="Times New Roman" w:eastAsia="Times New Roman" w:hAnsi="Times New Roman" w:cs="Times New Roman"/>
          <w:sz w:val="24"/>
          <w:szCs w:val="24"/>
        </w:rPr>
        <w:t xml:space="preserve">, qualitative research is ideally suited for exploring intricate and subjective experiences in late evening eating, which could provide context that is difficult to capture through quantitative methods. Additionally, this approach enables the identification of specific barriers and facilitators through methods such as interviews, focus groups, and observations. Therefore, study 3 (Chapter 6) used a qualitative method to explore the reasons for late evening eating, and barriers and enablers to changing to earlier eating patterns in adults with obesity. </w:t>
      </w:r>
    </w:p>
    <w:p w14:paraId="000002F8" w14:textId="77777777" w:rsidR="00CB4215" w:rsidRDefault="00CB4215">
      <w:pPr>
        <w:spacing w:line="480" w:lineRule="auto"/>
        <w:rPr>
          <w:rFonts w:ascii="Times New Roman" w:eastAsia="Times New Roman" w:hAnsi="Times New Roman" w:cs="Times New Roman"/>
          <w:sz w:val="24"/>
          <w:szCs w:val="24"/>
        </w:rPr>
      </w:pPr>
    </w:p>
    <w:p w14:paraId="000002F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using qualitative and quantitative methods in the studies allows to not only explore the relationship between meal timing, eating behaviour traits, and health behaviours but also to gain a deeper understanding of late-evening eating patterns, which could enhance the depth of the research and highlight potential targets for future interventions to facilitate earlier eating times.</w:t>
      </w:r>
    </w:p>
    <w:p w14:paraId="000002FA" w14:textId="77777777" w:rsidR="00CB4215" w:rsidRDefault="00CB4215">
      <w:pPr>
        <w:spacing w:line="480" w:lineRule="auto"/>
        <w:rPr>
          <w:rFonts w:ascii="Times New Roman" w:eastAsia="Times New Roman" w:hAnsi="Times New Roman" w:cs="Times New Roman"/>
          <w:sz w:val="24"/>
          <w:szCs w:val="24"/>
        </w:rPr>
      </w:pPr>
    </w:p>
    <w:p w14:paraId="000002FB" w14:textId="77777777" w:rsidR="00CB4215" w:rsidRDefault="000530B4">
      <w:pPr>
        <w:pStyle w:val="Heading3"/>
        <w:spacing w:line="480" w:lineRule="auto"/>
        <w:rPr>
          <w:rFonts w:ascii="Times New Roman" w:eastAsia="Times New Roman" w:hAnsi="Times New Roman" w:cs="Times New Roman"/>
          <w:b/>
          <w:color w:val="000000"/>
          <w:highlight w:val="white"/>
        </w:rPr>
      </w:pPr>
      <w:bookmarkStart w:id="46" w:name="_Toc172984790"/>
      <w:r>
        <w:rPr>
          <w:rFonts w:ascii="Times New Roman" w:eastAsia="Times New Roman" w:hAnsi="Times New Roman" w:cs="Times New Roman"/>
          <w:b/>
          <w:color w:val="000000"/>
          <w:highlight w:val="white"/>
        </w:rPr>
        <w:t>3.3 Open Science Practices</w:t>
      </w:r>
      <w:bookmarkEnd w:id="46"/>
    </w:p>
    <w:p w14:paraId="000002FC" w14:textId="7A26F9B4" w:rsidR="00CB4215" w:rsidRDefault="000530B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Open Science Practices are a collection of practices that enhance the quality and value of psychological research and aim to facilitate the transparency, openness, reproducibility, replicability, and accessibility of knowledge </w:t>
      </w:r>
      <w:hyperlink r:id="rId382">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Crüwell</w:t>
        </w:r>
        <w:proofErr w:type="spellEnd"/>
        <w:r>
          <w:rPr>
            <w:rFonts w:ascii="Times New Roman" w:eastAsia="Times New Roman" w:hAnsi="Times New Roman" w:cs="Times New Roman"/>
            <w:sz w:val="24"/>
            <w:szCs w:val="24"/>
            <w:highlight w:val="white"/>
          </w:rPr>
          <w:t xml:space="preserve"> et al., 2019)</w:t>
        </w:r>
      </w:hyperlink>
      <w:r>
        <w:rPr>
          <w:rFonts w:ascii="Times New Roman" w:eastAsia="Times New Roman" w:hAnsi="Times New Roman" w:cs="Times New Roman"/>
          <w:sz w:val="24"/>
          <w:szCs w:val="24"/>
          <w:highlight w:val="white"/>
        </w:rPr>
        <w:t xml:space="preserve">. Specifically, Open </w:t>
      </w:r>
      <w:r>
        <w:rPr>
          <w:rFonts w:ascii="Times New Roman" w:eastAsia="Times New Roman" w:hAnsi="Times New Roman" w:cs="Times New Roman"/>
          <w:sz w:val="24"/>
          <w:szCs w:val="24"/>
          <w:highlight w:val="white"/>
        </w:rPr>
        <w:lastRenderedPageBreak/>
        <w:t xml:space="preserve">Science Practices include open access </w:t>
      </w:r>
      <w:hyperlink r:id="rId383">
        <w:r>
          <w:rPr>
            <w:rFonts w:ascii="Times New Roman" w:eastAsia="Times New Roman" w:hAnsi="Times New Roman" w:cs="Times New Roman"/>
            <w:sz w:val="24"/>
            <w:szCs w:val="24"/>
            <w:highlight w:val="white"/>
          </w:rPr>
          <w:t>(Tennant et al., 2016)</w:t>
        </w:r>
      </w:hyperlink>
      <w:r>
        <w:rPr>
          <w:rFonts w:ascii="Times New Roman" w:eastAsia="Times New Roman" w:hAnsi="Times New Roman" w:cs="Times New Roman"/>
          <w:sz w:val="24"/>
          <w:szCs w:val="24"/>
          <w:highlight w:val="white"/>
        </w:rPr>
        <w:t xml:space="preserve">, open data, materials and code </w:t>
      </w:r>
      <w:hyperlink r:id="rId384">
        <w:r>
          <w:rPr>
            <w:rFonts w:ascii="Times New Roman" w:eastAsia="Times New Roman" w:hAnsi="Times New Roman" w:cs="Times New Roman"/>
            <w:sz w:val="24"/>
            <w:szCs w:val="24"/>
            <w:highlight w:val="white"/>
          </w:rPr>
          <w:t>(Klein et al., 2018)</w:t>
        </w:r>
      </w:hyperlink>
      <w:r>
        <w:rPr>
          <w:rFonts w:ascii="Times New Roman" w:eastAsia="Times New Roman" w:hAnsi="Times New Roman" w:cs="Times New Roman"/>
          <w:sz w:val="24"/>
          <w:szCs w:val="24"/>
          <w:highlight w:val="white"/>
        </w:rPr>
        <w:t xml:space="preserve">, preregistration </w:t>
      </w:r>
      <w:hyperlink r:id="rId385">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Wagenmakers</w:t>
        </w:r>
        <w:proofErr w:type="spellEnd"/>
        <w:r>
          <w:rPr>
            <w:rFonts w:ascii="Times New Roman" w:eastAsia="Times New Roman" w:hAnsi="Times New Roman" w:cs="Times New Roman"/>
            <w:sz w:val="24"/>
            <w:szCs w:val="24"/>
            <w:highlight w:val="white"/>
          </w:rPr>
          <w:t xml:space="preserve"> et al., 2012)</w:t>
        </w:r>
      </w:hyperlink>
      <w:r>
        <w:rPr>
          <w:rFonts w:ascii="Times New Roman" w:eastAsia="Times New Roman" w:hAnsi="Times New Roman" w:cs="Times New Roman"/>
          <w:sz w:val="24"/>
          <w:szCs w:val="24"/>
          <w:highlight w:val="white"/>
        </w:rPr>
        <w:t xml:space="preserve"> and replication research </w:t>
      </w:r>
      <w:hyperlink r:id="rId386">
        <w:r>
          <w:rPr>
            <w:rFonts w:ascii="Times New Roman" w:eastAsia="Times New Roman" w:hAnsi="Times New Roman" w:cs="Times New Roman"/>
            <w:sz w:val="24"/>
            <w:szCs w:val="24"/>
            <w:highlight w:val="white"/>
          </w:rPr>
          <w:t>(Zwaan et al. 2017)</w:t>
        </w:r>
      </w:hyperlink>
      <w:r>
        <w:rPr>
          <w:rFonts w:ascii="Times New Roman" w:eastAsia="Times New Roman" w:hAnsi="Times New Roman" w:cs="Times New Roman"/>
          <w:sz w:val="24"/>
          <w:szCs w:val="24"/>
          <w:highlight w:val="white"/>
        </w:rPr>
        <w:t xml:space="preserve">. Open Science Practices </w:t>
      </w:r>
      <w:r>
        <w:rPr>
          <w:rFonts w:ascii="Times New Roman" w:eastAsia="Times New Roman" w:hAnsi="Times New Roman" w:cs="Times New Roman"/>
          <w:sz w:val="24"/>
          <w:szCs w:val="24"/>
        </w:rPr>
        <w:t>can also help researchers build their reputation, increase their chances of publication and improve the credibility of their research</w:t>
      </w:r>
      <w:r>
        <w:rPr>
          <w:rFonts w:ascii="Times New Roman" w:eastAsia="Times New Roman" w:hAnsi="Times New Roman" w:cs="Times New Roman"/>
          <w:sz w:val="24"/>
          <w:szCs w:val="24"/>
          <w:highlight w:val="white"/>
        </w:rPr>
        <w:t xml:space="preserve"> </w:t>
      </w:r>
      <w:hyperlink r:id="rId387">
        <w:r>
          <w:rPr>
            <w:rFonts w:ascii="Times New Roman" w:eastAsia="Times New Roman" w:hAnsi="Times New Roman" w:cs="Times New Roman"/>
            <w:sz w:val="24"/>
            <w:szCs w:val="24"/>
            <w:highlight w:val="white"/>
          </w:rPr>
          <w:t xml:space="preserve">(Allen and </w:t>
        </w:r>
        <w:proofErr w:type="spellStart"/>
        <w:r>
          <w:rPr>
            <w:rFonts w:ascii="Times New Roman" w:eastAsia="Times New Roman" w:hAnsi="Times New Roman" w:cs="Times New Roman"/>
            <w:sz w:val="24"/>
            <w:szCs w:val="24"/>
            <w:highlight w:val="white"/>
          </w:rPr>
          <w:t>Mehler</w:t>
        </w:r>
        <w:proofErr w:type="spellEnd"/>
        <w:r w:rsidR="0064164F">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2019)</w:t>
        </w:r>
      </w:hyperlink>
      <w:r>
        <w:rPr>
          <w:rFonts w:ascii="Times New Roman" w:eastAsia="Times New Roman" w:hAnsi="Times New Roman" w:cs="Times New Roman"/>
          <w:sz w:val="24"/>
          <w:szCs w:val="24"/>
          <w:highlight w:val="white"/>
        </w:rPr>
        <w:t xml:space="preserve">. Furthermore, the Open Science Framework (OSF) is an open source website that facilitates open collaboration in research and enhances the reproducibility, transparency, and data management of research </w:t>
      </w:r>
      <w:hyperlink r:id="rId388">
        <w:r>
          <w:rPr>
            <w:rFonts w:ascii="Times New Roman" w:eastAsia="Times New Roman" w:hAnsi="Times New Roman" w:cs="Times New Roman"/>
            <w:sz w:val="24"/>
            <w:szCs w:val="24"/>
            <w:highlight w:val="white"/>
          </w:rPr>
          <w:t>(Foster and Deardorff, 2017)</w:t>
        </w:r>
      </w:hyperlink>
      <w:r>
        <w:rPr>
          <w:rFonts w:ascii="Times New Roman" w:eastAsia="Times New Roman" w:hAnsi="Times New Roman" w:cs="Times New Roman"/>
          <w:sz w:val="24"/>
          <w:szCs w:val="24"/>
          <w:highlight w:val="white"/>
        </w:rPr>
        <w:t xml:space="preserve">. The OSF's privacy and security features could ensure ethical compliance and data integrity. The protocols of each study were uploaded to the OSF, including background information, hypotheses, study design, and analysis plans. This ensures that the studies are accessible and can be replicated (see Chapters 4, 5, and 6 for specific details). </w:t>
      </w:r>
    </w:p>
    <w:p w14:paraId="653B0FB7" w14:textId="77777777" w:rsidR="00B27C2D" w:rsidRDefault="00B27C2D">
      <w:pPr>
        <w:spacing w:line="480" w:lineRule="auto"/>
        <w:rPr>
          <w:rFonts w:ascii="Times New Roman" w:eastAsia="Times New Roman" w:hAnsi="Times New Roman" w:cs="Times New Roman"/>
          <w:sz w:val="24"/>
          <w:szCs w:val="24"/>
          <w:highlight w:val="white"/>
        </w:rPr>
      </w:pPr>
    </w:p>
    <w:p w14:paraId="000002FD" w14:textId="77777777" w:rsidR="00CB4215" w:rsidRDefault="000530B4">
      <w:pPr>
        <w:pStyle w:val="Heading3"/>
        <w:spacing w:line="480" w:lineRule="auto"/>
        <w:rPr>
          <w:rFonts w:ascii="Times New Roman" w:eastAsia="Times New Roman" w:hAnsi="Times New Roman" w:cs="Times New Roman"/>
          <w:b/>
          <w:color w:val="000000"/>
        </w:rPr>
      </w:pPr>
      <w:bookmarkStart w:id="47" w:name="_Toc172984791"/>
      <w:r>
        <w:rPr>
          <w:rFonts w:ascii="Times New Roman" w:eastAsia="Times New Roman" w:hAnsi="Times New Roman" w:cs="Times New Roman"/>
          <w:b/>
          <w:color w:val="000000"/>
        </w:rPr>
        <w:t>3.4 Participants</w:t>
      </w:r>
      <w:bookmarkEnd w:id="47"/>
    </w:p>
    <w:p w14:paraId="000002FE" w14:textId="38E379E9"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studies reported in this thesis focus on meal timing, eating behaviour traits, and health behaviours in UK adults. In Study 1 (Chapter 4), participants were adults aged between 18 and 80 years. However, for Study 2 (Chapter 5) and Study 3 (Chapter 6), the age range was narrowed to 18-65 years. This change was made for several reasons. Firstly, there was a lower response rate from participants aged 65 to 80 in Study 1 (detailed in Chapter 4). In addition, studies have observed eating patterns become earlier and more structured with increasing age. For example, a US population-based study found that younger adults were more likely to skip breakfast (e.g., 20-39 years) </w:t>
      </w:r>
      <w:hyperlink r:id="rId389">
        <w:r>
          <w:rPr>
            <w:rFonts w:ascii="Times New Roman" w:eastAsia="Times New Roman" w:hAnsi="Times New Roman" w:cs="Times New Roman"/>
            <w:sz w:val="24"/>
            <w:szCs w:val="24"/>
          </w:rPr>
          <w:t xml:space="preserve">(Kant and </w:t>
        </w:r>
        <w:proofErr w:type="spellStart"/>
        <w:r>
          <w:rPr>
            <w:rFonts w:ascii="Times New Roman" w:eastAsia="Times New Roman" w:hAnsi="Times New Roman" w:cs="Times New Roman"/>
            <w:sz w:val="24"/>
            <w:szCs w:val="24"/>
          </w:rPr>
          <w:t>Graubard</w:t>
        </w:r>
        <w:proofErr w:type="spellEnd"/>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2015)</w:t>
        </w:r>
      </w:hyperlink>
      <w:r>
        <w:rPr>
          <w:rFonts w:ascii="Times New Roman" w:eastAsia="Times New Roman" w:hAnsi="Times New Roman" w:cs="Times New Roman"/>
          <w:sz w:val="24"/>
          <w:szCs w:val="24"/>
        </w:rPr>
        <w:t xml:space="preserve">, and report greater variability in energy intake at later meal timings compared to older adults </w:t>
      </w:r>
      <w:hyperlink r:id="rId390">
        <w:r>
          <w:rPr>
            <w:rFonts w:ascii="Times New Roman" w:eastAsia="Times New Roman" w:hAnsi="Times New Roman" w:cs="Times New Roman"/>
            <w:sz w:val="24"/>
            <w:szCs w:val="24"/>
          </w:rPr>
          <w:t>(Winkler et al., 1999)</w:t>
        </w:r>
      </w:hyperlink>
      <w:r>
        <w:rPr>
          <w:rFonts w:ascii="Times New Roman" w:eastAsia="Times New Roman" w:hAnsi="Times New Roman" w:cs="Times New Roman"/>
          <w:sz w:val="24"/>
          <w:szCs w:val="24"/>
        </w:rPr>
        <w:t xml:space="preserve">. Given this thesis's focus on late eating patterns, thus, older adults are not included in the target population. Secondly, Study 2 (Chapter 5) required participants to wear monitors </w:t>
      </w:r>
      <w:r>
        <w:rPr>
          <w:rFonts w:ascii="Times New Roman" w:eastAsia="Times New Roman" w:hAnsi="Times New Roman" w:cs="Times New Roman"/>
          <w:sz w:val="24"/>
          <w:szCs w:val="24"/>
        </w:rPr>
        <w:lastRenderedPageBreak/>
        <w:t xml:space="preserve">to record physical activities, complete daily online surveys, and record their food and drink intake using MyFood24, an online food diary program used to assess daily energy intake. Participants over the age of 65 may have access issues or different technology use patterns, particularly relevant for studies involving online questionnaires or digital monitoring tools </w:t>
      </w:r>
      <w:hyperlink r:id="rId391">
        <w:r>
          <w:rPr>
            <w:rFonts w:ascii="Times New Roman" w:eastAsia="Times New Roman" w:hAnsi="Times New Roman" w:cs="Times New Roman"/>
            <w:sz w:val="24"/>
            <w:szCs w:val="24"/>
          </w:rPr>
          <w:t>(Kebede et al., 2022)</w:t>
        </w:r>
      </w:hyperlink>
      <w:r>
        <w:rPr>
          <w:rFonts w:ascii="Times New Roman" w:eastAsia="Times New Roman" w:hAnsi="Times New Roman" w:cs="Times New Roman"/>
          <w:sz w:val="24"/>
          <w:szCs w:val="24"/>
        </w:rPr>
        <w:t xml:space="preserve">. This decision is also supported by previous studies on meal timing in adults, which typically include participants no more than 65 years </w:t>
      </w:r>
      <w:hyperlink r:id="rId392">
        <w:r>
          <w:rPr>
            <w:rFonts w:ascii="Times New Roman" w:eastAsia="Times New Roman" w:hAnsi="Times New Roman" w:cs="Times New Roman"/>
            <w:sz w:val="24"/>
            <w:szCs w:val="24"/>
          </w:rPr>
          <w:t>(e.g., Thomas et al., 2020; Jacob et al., 2023)</w:t>
        </w:r>
      </w:hyperlink>
      <w:r>
        <w:rPr>
          <w:rFonts w:ascii="Times New Roman" w:eastAsia="Times New Roman" w:hAnsi="Times New Roman" w:cs="Times New Roman"/>
          <w:sz w:val="24"/>
          <w:szCs w:val="24"/>
        </w:rPr>
        <w:t>. Consequently, adults aged between 18 and 65 years were recruited for Study 2 and Study 3.</w:t>
      </w:r>
    </w:p>
    <w:p w14:paraId="000002FF" w14:textId="77777777" w:rsidR="00CB4215" w:rsidRDefault="00CB4215">
      <w:pPr>
        <w:spacing w:line="480" w:lineRule="auto"/>
        <w:rPr>
          <w:rFonts w:ascii="Times New Roman" w:eastAsia="Times New Roman" w:hAnsi="Times New Roman" w:cs="Times New Roman"/>
          <w:sz w:val="24"/>
          <w:szCs w:val="24"/>
        </w:rPr>
      </w:pPr>
    </w:p>
    <w:p w14:paraId="00000300" w14:textId="6B303D8C"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Exclusion criteria used in all the studies in this thesis included pregnancy, lactation, and a current or history of eating disorders (ED). Pregnancy is considered a period when women are particularly conscious of their dietary intake </w:t>
      </w:r>
      <w:hyperlink r:id="rId393">
        <w:r>
          <w:rPr>
            <w:rFonts w:ascii="Times New Roman" w:eastAsia="Times New Roman" w:hAnsi="Times New Roman" w:cs="Times New Roman"/>
            <w:sz w:val="24"/>
            <w:szCs w:val="24"/>
          </w:rPr>
          <w:t>(Pinto et al., 2009)</w:t>
        </w:r>
      </w:hyperlink>
      <w:r>
        <w:rPr>
          <w:rFonts w:ascii="Times New Roman" w:eastAsia="Times New Roman" w:hAnsi="Times New Roman" w:cs="Times New Roman"/>
          <w:sz w:val="24"/>
          <w:szCs w:val="24"/>
        </w:rPr>
        <w:t xml:space="preserve"> and are highly motived to increase their diet </w:t>
      </w:r>
      <w:hyperlink r:id="rId394">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Szwajcer</w:t>
        </w:r>
        <w:proofErr w:type="spellEnd"/>
        <w:r>
          <w:rPr>
            <w:rFonts w:ascii="Times New Roman" w:eastAsia="Times New Roman" w:hAnsi="Times New Roman" w:cs="Times New Roman"/>
            <w:sz w:val="24"/>
            <w:szCs w:val="24"/>
          </w:rPr>
          <w:t xml:space="preserve"> et al., 2008; Phelan</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2010)</w:t>
        </w:r>
      </w:hyperlink>
      <w:r>
        <w:rPr>
          <w:rFonts w:ascii="Times New Roman" w:eastAsia="Times New Roman" w:hAnsi="Times New Roman" w:cs="Times New Roman"/>
          <w:sz w:val="24"/>
          <w:szCs w:val="24"/>
        </w:rPr>
        <w:t xml:space="preserve">. Indeed, a systematic review of 11 studies found an increase in total energy intake and fruit and vegetable consumption, along with a decreased intake of fried and fast food, coffee, and tea from before to during pregnancy </w:t>
      </w:r>
      <w:hyperlink r:id="rId395">
        <w:r>
          <w:rPr>
            <w:rFonts w:ascii="Times New Roman" w:eastAsia="Times New Roman" w:hAnsi="Times New Roman" w:cs="Times New Roman"/>
            <w:sz w:val="24"/>
            <w:szCs w:val="24"/>
          </w:rPr>
          <w:t>(Hillier and Olander</w:t>
        </w:r>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2017)</w:t>
        </w:r>
      </w:hyperlink>
      <w:r>
        <w:rPr>
          <w:rFonts w:ascii="Times New Roman" w:eastAsia="Times New Roman" w:hAnsi="Times New Roman" w:cs="Times New Roman"/>
          <w:sz w:val="24"/>
          <w:szCs w:val="24"/>
        </w:rPr>
        <w:t xml:space="preserve">. In addition, other studies have shown that during the lactation period, there is an increase in nutritional requirements to support the growth of foetal and infant, as well as the metabolic needs of the mother </w:t>
      </w:r>
      <w:hyperlink r:id="rId39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Picciano</w:t>
        </w:r>
        <w:proofErr w:type="spellEnd"/>
        <w:r w:rsidR="001D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Koletzko</w:t>
        </w:r>
        <w:proofErr w:type="spellEnd"/>
        <w:r>
          <w:rPr>
            <w:rFonts w:ascii="Times New Roman" w:eastAsia="Times New Roman" w:hAnsi="Times New Roman" w:cs="Times New Roman"/>
            <w:sz w:val="24"/>
            <w:szCs w:val="24"/>
          </w:rPr>
          <w:t xml:space="preserve"> et al., 2007)</w:t>
        </w:r>
      </w:hyperlink>
      <w:r>
        <w:rPr>
          <w:rFonts w:ascii="Times New Roman" w:eastAsia="Times New Roman" w:hAnsi="Times New Roman" w:cs="Times New Roman"/>
          <w:sz w:val="24"/>
          <w:szCs w:val="24"/>
        </w:rPr>
        <w:t>. Therefore, individuals who are pregnant and lactation were excluded in the studies reported in this thesis to reduce variability of the data due to the changes that occur during pregnancy and lactation. Specific exclusion criteria are described in more detail in chapter 4, 5 and 6.</w:t>
      </w:r>
    </w:p>
    <w:p w14:paraId="00000301" w14:textId="77777777" w:rsidR="00CB4215" w:rsidRDefault="00CB4215">
      <w:pPr>
        <w:spacing w:line="480" w:lineRule="auto"/>
        <w:rPr>
          <w:rFonts w:ascii="Times New Roman" w:eastAsia="Times New Roman" w:hAnsi="Times New Roman" w:cs="Times New Roman"/>
          <w:sz w:val="24"/>
          <w:szCs w:val="24"/>
        </w:rPr>
      </w:pPr>
    </w:p>
    <w:p w14:paraId="00000302" w14:textId="77777777" w:rsidR="00CB4215" w:rsidRDefault="000530B4">
      <w:pPr>
        <w:pStyle w:val="Heading3"/>
        <w:spacing w:line="480" w:lineRule="auto"/>
        <w:rPr>
          <w:rFonts w:ascii="Times New Roman" w:eastAsia="Times New Roman" w:hAnsi="Times New Roman" w:cs="Times New Roman"/>
          <w:b/>
          <w:color w:val="000000"/>
        </w:rPr>
      </w:pPr>
      <w:bookmarkStart w:id="48" w:name="_Toc172984792"/>
      <w:r>
        <w:rPr>
          <w:rFonts w:ascii="Times New Roman" w:eastAsia="Times New Roman" w:hAnsi="Times New Roman" w:cs="Times New Roman"/>
          <w:b/>
          <w:color w:val="000000"/>
        </w:rPr>
        <w:lastRenderedPageBreak/>
        <w:t>3.5 Recruitment</w:t>
      </w:r>
      <w:bookmarkEnd w:id="48"/>
    </w:p>
    <w:p w14:paraId="00000303"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Recruitment for Study 1 was conducted through the online platform Prolific Academic, which could facilitate the recruitment of a representative sample, considering variables such as age, gender, and ethnicity. Additionally, other recruitment strategies were employed, including social media sites (e.g., Facebook, Twitter, LinkedIn), staff and student University email distribution lists, online forums, classified websites (e.g., Gumtree), recruitment websites (e.g., www.callforparticipants.com/) and the Sheffield </w:t>
      </w:r>
      <w:proofErr w:type="spellStart"/>
      <w:r>
        <w:rPr>
          <w:rFonts w:ascii="Times New Roman" w:eastAsia="Times New Roman" w:hAnsi="Times New Roman" w:cs="Times New Roman"/>
          <w:sz w:val="24"/>
          <w:szCs w:val="24"/>
        </w:rPr>
        <w:t>CiCS</w:t>
      </w:r>
      <w:proofErr w:type="spellEnd"/>
      <w:r>
        <w:rPr>
          <w:rFonts w:ascii="Times New Roman" w:eastAsia="Times New Roman" w:hAnsi="Times New Roman" w:cs="Times New Roman"/>
          <w:sz w:val="24"/>
          <w:szCs w:val="24"/>
        </w:rPr>
        <w:t xml:space="preserve"> database.</w:t>
      </w:r>
    </w:p>
    <w:p w14:paraId="00000304" w14:textId="77777777" w:rsidR="00CB4215" w:rsidRDefault="00CB4215">
      <w:pPr>
        <w:spacing w:line="480" w:lineRule="auto"/>
        <w:rPr>
          <w:rFonts w:ascii="Times New Roman" w:eastAsia="Times New Roman" w:hAnsi="Times New Roman" w:cs="Times New Roman"/>
          <w:sz w:val="24"/>
          <w:szCs w:val="24"/>
        </w:rPr>
      </w:pPr>
    </w:p>
    <w:p w14:paraId="00000305" w14:textId="25D6DB44"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for Study 2 were recruited from the staff and student population of University sites and the Leeds, Sheffield and York communities. This was achieved via email distribution lists, University student participation databases, and posters on University campuses and at community centres. Furthermore, recruitment also extended to willing businesses, social media platforms (e.g., Facebook), and online classified adverts (e.g., Gumtree).</w:t>
      </w:r>
    </w:p>
    <w:p w14:paraId="3EA675E0" w14:textId="77777777" w:rsidR="00B27C2D" w:rsidRDefault="00B27C2D">
      <w:pPr>
        <w:spacing w:line="480" w:lineRule="auto"/>
        <w:rPr>
          <w:rFonts w:ascii="Times New Roman" w:eastAsia="Times New Roman" w:hAnsi="Times New Roman" w:cs="Times New Roman"/>
          <w:sz w:val="24"/>
          <w:szCs w:val="24"/>
        </w:rPr>
      </w:pPr>
    </w:p>
    <w:p w14:paraId="0000030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strategies were employed to recruit a community-based sample for the study 3. These included distributing posters at community centres (e.g., Zest in Sheffield, UK), using social media platforms (e.g., Facebook), and posting online classified adverts (e.g., Gumtree).</w:t>
      </w:r>
    </w:p>
    <w:p w14:paraId="00000307" w14:textId="77777777" w:rsidR="00CB4215" w:rsidRDefault="00CB4215">
      <w:pPr>
        <w:spacing w:line="480" w:lineRule="auto"/>
        <w:rPr>
          <w:rFonts w:ascii="Times New Roman" w:eastAsia="Times New Roman" w:hAnsi="Times New Roman" w:cs="Times New Roman"/>
          <w:sz w:val="24"/>
          <w:szCs w:val="24"/>
        </w:rPr>
      </w:pPr>
    </w:p>
    <w:p w14:paraId="00000308" w14:textId="77777777" w:rsidR="00CB4215" w:rsidRDefault="000530B4">
      <w:pPr>
        <w:pStyle w:val="Heading3"/>
        <w:spacing w:line="480" w:lineRule="auto"/>
        <w:rPr>
          <w:rFonts w:ascii="Times New Roman" w:eastAsia="Times New Roman" w:hAnsi="Times New Roman" w:cs="Times New Roman"/>
          <w:b/>
          <w:color w:val="000000"/>
          <w:highlight w:val="white"/>
        </w:rPr>
      </w:pPr>
      <w:bookmarkStart w:id="49" w:name="_Toc172984793"/>
      <w:r>
        <w:rPr>
          <w:rFonts w:ascii="Times New Roman" w:eastAsia="Times New Roman" w:hAnsi="Times New Roman" w:cs="Times New Roman"/>
          <w:b/>
          <w:color w:val="000000"/>
          <w:highlight w:val="white"/>
        </w:rPr>
        <w:t>3.6 Study purpose</w:t>
      </w:r>
      <w:bookmarkEnd w:id="49"/>
    </w:p>
    <w:p w14:paraId="0000030A" w14:textId="2715DC90"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increase the accuracy of participants' responses, cover stories were used in the quantitative studies to conceal the hypotheses of the study from the participants </w:t>
      </w:r>
      <w:hyperlink r:id="rId39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Boutron</w:t>
        </w:r>
        <w:proofErr w:type="spellEnd"/>
        <w:r>
          <w:rPr>
            <w:rFonts w:ascii="Times New Roman" w:eastAsia="Times New Roman" w:hAnsi="Times New Roman" w:cs="Times New Roman"/>
            <w:sz w:val="24"/>
            <w:szCs w:val="24"/>
          </w:rPr>
          <w:t xml:space="preserve"> et al., 2007; Sharpe and </w:t>
        </w:r>
        <w:proofErr w:type="spellStart"/>
        <w:r>
          <w:rPr>
            <w:rFonts w:ascii="Times New Roman" w:eastAsia="Times New Roman" w:hAnsi="Times New Roman" w:cs="Times New Roman"/>
            <w:sz w:val="24"/>
            <w:szCs w:val="24"/>
          </w:rPr>
          <w:t>Whelton</w:t>
        </w:r>
        <w:proofErr w:type="spellEnd"/>
        <w:r w:rsidR="00213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w:t>
        </w:r>
      </w:hyperlink>
      <w:r>
        <w:rPr>
          <w:rFonts w:ascii="Times New Roman" w:eastAsia="Times New Roman" w:hAnsi="Times New Roman" w:cs="Times New Roman"/>
          <w:sz w:val="24"/>
          <w:szCs w:val="24"/>
        </w:rPr>
        <w:t xml:space="preserve">. Specifically, previous studies involving food intake measurement </w:t>
      </w:r>
      <w:hyperlink r:id="rId398">
        <w:r>
          <w:rPr>
            <w:rFonts w:ascii="Times New Roman" w:eastAsia="Times New Roman" w:hAnsi="Times New Roman" w:cs="Times New Roman"/>
            <w:sz w:val="24"/>
            <w:szCs w:val="24"/>
          </w:rPr>
          <w:t xml:space="preserve">(e.g., Andrade et al., 2012; </w:t>
        </w:r>
        <w:proofErr w:type="spellStart"/>
        <w:r>
          <w:rPr>
            <w:rFonts w:ascii="Times New Roman" w:eastAsia="Times New Roman" w:hAnsi="Times New Roman" w:cs="Times New Roman"/>
            <w:sz w:val="24"/>
            <w:szCs w:val="24"/>
          </w:rPr>
          <w:t>Mekhmoukh</w:t>
        </w:r>
        <w:proofErr w:type="spellEnd"/>
        <w:r>
          <w:rPr>
            <w:rFonts w:ascii="Times New Roman" w:eastAsia="Times New Roman" w:hAnsi="Times New Roman" w:cs="Times New Roman"/>
            <w:sz w:val="24"/>
            <w:szCs w:val="24"/>
          </w:rPr>
          <w:t xml:space="preserve"> et al., 2012; Shah et al., 2014; Temple </w:t>
        </w:r>
        <w:r>
          <w:rPr>
            <w:rFonts w:ascii="Times New Roman" w:eastAsia="Times New Roman" w:hAnsi="Times New Roman" w:cs="Times New Roman"/>
            <w:sz w:val="24"/>
            <w:szCs w:val="24"/>
          </w:rPr>
          <w:lastRenderedPageBreak/>
          <w:t>et al., 2010)</w:t>
        </w:r>
      </w:hyperlink>
      <w:r>
        <w:rPr>
          <w:rFonts w:ascii="Times New Roman" w:eastAsia="Times New Roman" w:hAnsi="Times New Roman" w:cs="Times New Roman"/>
          <w:sz w:val="24"/>
          <w:szCs w:val="24"/>
        </w:rPr>
        <w:t xml:space="preserve"> have suggested that if a cover story is not used in a study, participants may become more aware that their food consumption is being recorded and consequently decrease their food consumption. In addition, </w:t>
      </w:r>
      <w:proofErr w:type="spellStart"/>
      <w:r>
        <w:rPr>
          <w:rFonts w:ascii="Times New Roman" w:eastAsia="Times New Roman" w:hAnsi="Times New Roman" w:cs="Times New Roman"/>
          <w:sz w:val="24"/>
          <w:szCs w:val="24"/>
        </w:rPr>
        <w:t>Hermans</w:t>
      </w:r>
      <w:proofErr w:type="spellEnd"/>
      <w:r>
        <w:rPr>
          <w:rFonts w:ascii="Times New Roman" w:eastAsia="Times New Roman" w:hAnsi="Times New Roman" w:cs="Times New Roman"/>
          <w:sz w:val="24"/>
          <w:szCs w:val="24"/>
        </w:rPr>
        <w:t xml:space="preserve"> et al. (2010) conducted a study in a semi-naturalistic laboratory to observe participants' eating habits and found that using cover stories could not only conceal the study's experimental hypotheses, but also distract concentration from the food consumed during the experiment. Indeed, there is evidence that</w:t>
      </w:r>
      <w:r>
        <w:t xml:space="preserve"> </w:t>
      </w:r>
      <w:r>
        <w:rPr>
          <w:rFonts w:ascii="Times New Roman" w:eastAsia="Times New Roman" w:hAnsi="Times New Roman" w:cs="Times New Roman"/>
          <w:sz w:val="24"/>
          <w:szCs w:val="24"/>
        </w:rPr>
        <w:t xml:space="preserve">self-reporting of eating behaviour may suffer from belief-induced bias </w:t>
      </w:r>
      <w:hyperlink r:id="rId399">
        <w:r>
          <w:rPr>
            <w:rFonts w:ascii="Times New Roman" w:eastAsia="Times New Roman" w:hAnsi="Times New Roman" w:cs="Times New Roman"/>
            <w:sz w:val="24"/>
            <w:szCs w:val="24"/>
          </w:rPr>
          <w:t xml:space="preserve">(Nix and </w:t>
        </w:r>
        <w:proofErr w:type="spellStart"/>
        <w:r>
          <w:rPr>
            <w:rFonts w:ascii="Times New Roman" w:eastAsia="Times New Roman" w:hAnsi="Times New Roman" w:cs="Times New Roman"/>
            <w:sz w:val="24"/>
            <w:szCs w:val="24"/>
          </w:rPr>
          <w:t>Wengreen</w:t>
        </w:r>
        <w:proofErr w:type="spellEnd"/>
        <w:r w:rsidR="00213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2017)</w:t>
        </w:r>
      </w:hyperlink>
      <w:r>
        <w:rPr>
          <w:rFonts w:ascii="Times New Roman" w:eastAsia="Times New Roman" w:hAnsi="Times New Roman" w:cs="Times New Roman"/>
          <w:sz w:val="24"/>
          <w:szCs w:val="24"/>
        </w:rPr>
        <w:t xml:space="preserve"> and it has been shown that beliefs about research purposes may bias food intake in a laboratory setting </w:t>
      </w:r>
      <w:hyperlink r:id="rId400">
        <w:r>
          <w:rPr>
            <w:rFonts w:ascii="Times New Roman" w:eastAsia="Times New Roman" w:hAnsi="Times New Roman" w:cs="Times New Roman"/>
            <w:sz w:val="24"/>
            <w:szCs w:val="24"/>
          </w:rPr>
          <w:t>(Robinson et al., 2014)</w:t>
        </w:r>
      </w:hyperlink>
      <w:r>
        <w:rPr>
          <w:rFonts w:ascii="Times New Roman" w:eastAsia="Times New Roman" w:hAnsi="Times New Roman" w:cs="Times New Roman"/>
          <w:sz w:val="24"/>
          <w:szCs w:val="24"/>
        </w:rPr>
        <w:t>. Regarding studies in this thesis, the cover story was used to prevent participants being aware of the true purpose of the study. Specifically, in Study 1 (Chapter 4), participants were informed that the study investigated the relationship between lifestyle factors and health behaviours in the general population. Concealing the true purpose of the study (i.e., associations with BMI) was important because awareness that height and weight were the outcome (BMI) may influence some participants' responses. But the true purpose of this study and the importance of deception were explained to participants in the debrief. In Study 2 (Chapter 5), participants were told that the study was about investigating daily experiences and lifestyle and health behaviours in people living with obesity. Concealing the true purpose of the study was necessary to minimise any influence of the study aims on how participants would naturally respond to questions and engage in the health behaviours measured. The true purpose of this study was also explained to participants in the debrief.</w:t>
      </w:r>
    </w:p>
    <w:p w14:paraId="0000030B" w14:textId="77777777" w:rsidR="00CB4215" w:rsidRDefault="000530B4">
      <w:pPr>
        <w:pStyle w:val="Heading3"/>
        <w:spacing w:line="480" w:lineRule="auto"/>
        <w:rPr>
          <w:rFonts w:ascii="Times New Roman" w:eastAsia="Times New Roman" w:hAnsi="Times New Roman" w:cs="Times New Roman"/>
          <w:b/>
          <w:color w:val="000000"/>
        </w:rPr>
      </w:pPr>
      <w:bookmarkStart w:id="50" w:name="_Toc172984794"/>
      <w:r>
        <w:rPr>
          <w:rFonts w:ascii="Times New Roman" w:eastAsia="Times New Roman" w:hAnsi="Times New Roman" w:cs="Times New Roman"/>
          <w:b/>
          <w:color w:val="000000"/>
        </w:rPr>
        <w:lastRenderedPageBreak/>
        <w:t>3.7 Measures</w:t>
      </w:r>
      <w:bookmarkEnd w:id="50"/>
    </w:p>
    <w:p w14:paraId="0000030C" w14:textId="77777777" w:rsidR="00CB4215" w:rsidRDefault="000530B4">
      <w:pPr>
        <w:pStyle w:val="Heading4"/>
        <w:spacing w:line="480" w:lineRule="auto"/>
        <w:rPr>
          <w:rFonts w:ascii="Times New Roman" w:eastAsia="Times New Roman" w:hAnsi="Times New Roman" w:cs="Times New Roman"/>
          <w:b/>
          <w:color w:val="000000"/>
        </w:rPr>
      </w:pPr>
      <w:bookmarkStart w:id="51" w:name="_heading=h.2u6wntf" w:colFirst="0" w:colLast="0"/>
      <w:bookmarkEnd w:id="51"/>
      <w:r>
        <w:rPr>
          <w:rFonts w:ascii="Times New Roman" w:eastAsia="Times New Roman" w:hAnsi="Times New Roman" w:cs="Times New Roman"/>
          <w:b/>
          <w:color w:val="000000"/>
        </w:rPr>
        <w:t>3.7.1 Eating behaviour assessment</w:t>
      </w:r>
    </w:p>
    <w:p w14:paraId="0000030D" w14:textId="77777777" w:rsidR="00CB4215" w:rsidRDefault="000530B4">
      <w:pPr>
        <w:pStyle w:val="Heading5"/>
        <w:spacing w:line="480" w:lineRule="auto"/>
        <w:rPr>
          <w:rFonts w:ascii="Times New Roman" w:eastAsia="Times New Roman" w:hAnsi="Times New Roman" w:cs="Times New Roman"/>
          <w:b/>
          <w:color w:val="000000"/>
          <w:sz w:val="24"/>
          <w:szCs w:val="24"/>
        </w:rPr>
      </w:pPr>
      <w:bookmarkStart w:id="52" w:name="_heading=h.19c6y18" w:colFirst="0" w:colLast="0"/>
      <w:bookmarkEnd w:id="52"/>
      <w:r>
        <w:rPr>
          <w:rFonts w:ascii="Times New Roman" w:eastAsia="Times New Roman" w:hAnsi="Times New Roman" w:cs="Times New Roman"/>
          <w:b/>
          <w:color w:val="000000"/>
          <w:sz w:val="24"/>
          <w:szCs w:val="24"/>
        </w:rPr>
        <w:t>3.7.1.1 Free-living assessment of eating behaviour</w:t>
      </w:r>
    </w:p>
    <w:p w14:paraId="0000030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 eating takes place in discrete episodes throughout the day and in a wide range of different environments </w:t>
      </w:r>
      <w:hyperlink r:id="rId401">
        <w:r>
          <w:rPr>
            <w:rFonts w:ascii="Times New Roman" w:eastAsia="Times New Roman" w:hAnsi="Times New Roman" w:cs="Times New Roman"/>
            <w:sz w:val="24"/>
            <w:szCs w:val="24"/>
          </w:rPr>
          <w:t>(Gibbons et al., 2014)</w:t>
        </w:r>
      </w:hyperlink>
      <w:r>
        <w:rPr>
          <w:rFonts w:ascii="Times New Roman" w:eastAsia="Times New Roman" w:hAnsi="Times New Roman" w:cs="Times New Roman"/>
          <w:sz w:val="24"/>
          <w:szCs w:val="24"/>
        </w:rPr>
        <w:t xml:space="preserve">. Laboratory studies provide a highly controlled environment to investigate variations in eating behaviours and isolate specific factors to explore their effects on appetite expression </w:t>
      </w:r>
      <w:hyperlink r:id="rId402">
        <w:r>
          <w:rPr>
            <w:rFonts w:ascii="Times New Roman" w:eastAsia="Times New Roman" w:hAnsi="Times New Roman" w:cs="Times New Roman"/>
            <w:sz w:val="24"/>
            <w:szCs w:val="24"/>
          </w:rPr>
          <w:t>(Blundell et al., 2009)</w:t>
        </w:r>
      </w:hyperlink>
      <w:r>
        <w:rPr>
          <w:rFonts w:ascii="Times New Roman" w:eastAsia="Times New Roman" w:hAnsi="Times New Roman" w:cs="Times New Roman"/>
          <w:sz w:val="24"/>
          <w:szCs w:val="24"/>
        </w:rPr>
        <w:t xml:space="preserve">. In addition, there are other methodological strengths in laboratory studies of eating behaviour that improve the rigour of the research, including the standardisation of appetite before measuring food intake </w:t>
      </w:r>
      <w:hyperlink r:id="rId403">
        <w:r>
          <w:rPr>
            <w:rFonts w:ascii="Times New Roman" w:eastAsia="Times New Roman" w:hAnsi="Times New Roman" w:cs="Times New Roman"/>
            <w:sz w:val="24"/>
            <w:szCs w:val="24"/>
          </w:rPr>
          <w:t>(Livingstone et al., 2000)</w:t>
        </w:r>
      </w:hyperlink>
      <w:r>
        <w:rPr>
          <w:rFonts w:ascii="Times New Roman" w:eastAsia="Times New Roman" w:hAnsi="Times New Roman" w:cs="Times New Roman"/>
          <w:sz w:val="24"/>
          <w:szCs w:val="24"/>
        </w:rPr>
        <w:t xml:space="preserve">, and the types of foods used for food intake measurements </w:t>
      </w:r>
      <w:hyperlink r:id="rId404">
        <w:r>
          <w:rPr>
            <w:rFonts w:ascii="Times New Roman" w:eastAsia="Times New Roman" w:hAnsi="Times New Roman" w:cs="Times New Roman"/>
            <w:sz w:val="24"/>
            <w:szCs w:val="24"/>
          </w:rPr>
          <w:t>(Blundell et al., 2010)</w:t>
        </w:r>
      </w:hyperlink>
      <w:r>
        <w:rPr>
          <w:rFonts w:ascii="Times New Roman" w:eastAsia="Times New Roman" w:hAnsi="Times New Roman" w:cs="Times New Roman"/>
          <w:sz w:val="24"/>
          <w:szCs w:val="24"/>
        </w:rPr>
        <w:t xml:space="preserve">. However, accurately measuring eating behaviour in the laboratory is expensive due to the naturalness of the food environment, time consuming, stressful for researchers and participants, and restricts the external validity of laboratory studies </w:t>
      </w:r>
      <w:hyperlink r:id="rId405">
        <w:r>
          <w:rPr>
            <w:rFonts w:ascii="Times New Roman" w:eastAsia="Times New Roman" w:hAnsi="Times New Roman" w:cs="Times New Roman"/>
            <w:sz w:val="24"/>
            <w:szCs w:val="24"/>
          </w:rPr>
          <w:t>(Blundell et al., 2009)</w:t>
        </w:r>
      </w:hyperlink>
      <w:r>
        <w:rPr>
          <w:rFonts w:ascii="Times New Roman" w:eastAsia="Times New Roman" w:hAnsi="Times New Roman" w:cs="Times New Roman"/>
          <w:sz w:val="24"/>
          <w:szCs w:val="24"/>
        </w:rPr>
        <w:t xml:space="preserve">. Thus, investigation of eating behaviours in a free-living environment is an alternate to laboratory studies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enhance external validity </w:t>
      </w:r>
      <w:hyperlink r:id="rId406">
        <w:r>
          <w:rPr>
            <w:rFonts w:ascii="Times New Roman" w:eastAsia="Times New Roman" w:hAnsi="Times New Roman" w:cs="Times New Roman"/>
            <w:sz w:val="24"/>
            <w:szCs w:val="24"/>
          </w:rPr>
          <w:t>(Blundell et al., 2009)</w:t>
        </w:r>
      </w:hyperlink>
      <w:r>
        <w:rPr>
          <w:rFonts w:ascii="Times New Roman" w:eastAsia="Times New Roman" w:hAnsi="Times New Roman" w:cs="Times New Roman"/>
          <w:sz w:val="24"/>
          <w:szCs w:val="24"/>
        </w:rPr>
        <w:t>. Accurately measuring eating behaviour, particularly energy intake, in a free-living environment is challenging. However, considering the variability in meal timing and the cost associated with laboratory settings, the studies reported in this thesis used free-living based assessments.</w:t>
      </w:r>
    </w:p>
    <w:p w14:paraId="0000030F" w14:textId="77777777" w:rsidR="00CB4215" w:rsidRDefault="00CB4215">
      <w:pPr>
        <w:spacing w:line="480" w:lineRule="auto"/>
        <w:rPr>
          <w:rFonts w:ascii="Times New Roman" w:eastAsia="Times New Roman" w:hAnsi="Times New Roman" w:cs="Times New Roman"/>
          <w:sz w:val="24"/>
          <w:szCs w:val="24"/>
        </w:rPr>
      </w:pPr>
    </w:p>
    <w:p w14:paraId="00000310" w14:textId="0CBB506A"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laboratory studies allow the isolation of specific factors, free living studies are valuable for addressing large-scale research questions in natural settings. In free-living conditions, methods for assessing eating behaviours vary from tracking food acquisition (e.g., purchasing food) to assessing food consumption </w:t>
      </w:r>
      <w:hyperlink r:id="rId407">
        <w:r>
          <w:rPr>
            <w:rFonts w:ascii="Times New Roman" w:eastAsia="Times New Roman" w:hAnsi="Times New Roman" w:cs="Times New Roman"/>
            <w:sz w:val="24"/>
            <w:szCs w:val="24"/>
          </w:rPr>
          <w:t>(Gibbons et al., 2014)</w:t>
        </w:r>
      </w:hyperlink>
      <w:r>
        <w:rPr>
          <w:rFonts w:ascii="Times New Roman" w:eastAsia="Times New Roman" w:hAnsi="Times New Roman" w:cs="Times New Roman"/>
          <w:sz w:val="24"/>
          <w:szCs w:val="24"/>
        </w:rPr>
        <w:t xml:space="preserve">. For example, </w:t>
      </w:r>
      <w:proofErr w:type="spellStart"/>
      <w:r>
        <w:rPr>
          <w:rFonts w:ascii="Times New Roman" w:eastAsia="Times New Roman" w:hAnsi="Times New Roman" w:cs="Times New Roman"/>
          <w:sz w:val="24"/>
          <w:szCs w:val="24"/>
        </w:rPr>
        <w:lastRenderedPageBreak/>
        <w:t>Wansink</w:t>
      </w:r>
      <w:proofErr w:type="spellEnd"/>
      <w:r>
        <w:rPr>
          <w:rFonts w:ascii="Times New Roman" w:eastAsia="Times New Roman" w:hAnsi="Times New Roman" w:cs="Times New Roman"/>
          <w:sz w:val="24"/>
          <w:szCs w:val="24"/>
        </w:rPr>
        <w:t xml:space="preserve"> (2009) found that using scanner data to measure food intake can provide reliable results for foods consumed within a short period of time, yet other foods may be stored and never be consumed. Free-living assessments often involve self-report methods to indicate habitual eating patterns, including food diary, 24-hour recall, MyFood24 and INTAKE24. Food diary is a prospective method collecting data about the foods and beverages consumed. While food diary has fewer cognitive constraints due to ‘immediate’ recall, it can be time consuming, potentially reduce completion rates if considered too exhaustive, and may increase the burden on researchers through manual coding of diary data </w:t>
      </w:r>
      <w:hyperlink r:id="rId408">
        <w:r>
          <w:rPr>
            <w:rFonts w:ascii="Times New Roman" w:eastAsia="Times New Roman" w:hAnsi="Times New Roman" w:cs="Times New Roman"/>
            <w:sz w:val="24"/>
            <w:szCs w:val="24"/>
          </w:rPr>
          <w:t>(Ortega et al., 2015)</w:t>
        </w:r>
      </w:hyperlink>
      <w:r>
        <w:rPr>
          <w:rFonts w:ascii="Times New Roman" w:eastAsia="Times New Roman" w:hAnsi="Times New Roman" w:cs="Times New Roman"/>
          <w:sz w:val="24"/>
          <w:szCs w:val="24"/>
        </w:rPr>
        <w:t xml:space="preserve">. The 24-hour recall is a retrospective method for assessing an individual's intake over the past 24 hours and is administered by telephone or in person. Although using multiple 24-hour recalls can enhance the accuracy of intake estimates, extensive interviewer training combined with the software required to collect 24-hour recalls makes it an expensive technique </w:t>
      </w:r>
      <w:hyperlink r:id="rId409">
        <w:r>
          <w:rPr>
            <w:rFonts w:ascii="Times New Roman" w:eastAsia="Times New Roman" w:hAnsi="Times New Roman" w:cs="Times New Roman"/>
            <w:sz w:val="24"/>
            <w:szCs w:val="24"/>
          </w:rPr>
          <w:t>(Bailey</w:t>
        </w:r>
        <w:r w:rsidR="00213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2021)</w:t>
        </w:r>
      </w:hyperlink>
      <w:r>
        <w:rPr>
          <w:rFonts w:ascii="Times New Roman" w:eastAsia="Times New Roman" w:hAnsi="Times New Roman" w:cs="Times New Roman"/>
          <w:sz w:val="24"/>
          <w:szCs w:val="24"/>
        </w:rPr>
        <w:t xml:space="preserve">. MyFood24 and INTAKE24 collect real-time dietary data using software, have more accurate portion size estimates and reduce the burden on researchers for large sample online recalls. In addition, Myfood24 includes nutritional data for over 207,000 products in supermarkets and INTAKE24 has access to a database of over 2500 foods. Therefore, given the accuracy of the dietary data and the reduced burden on researchers and participants, Myfood24 was used in the study to assess dietary intakes </w:t>
      </w:r>
      <w:hyperlink r:id="rId410">
        <w:r>
          <w:rPr>
            <w:rFonts w:ascii="Times New Roman" w:eastAsia="Times New Roman" w:hAnsi="Times New Roman" w:cs="Times New Roman"/>
            <w:sz w:val="24"/>
            <w:szCs w:val="24"/>
          </w:rPr>
          <w:t>(Wark et al., 2018)</w:t>
        </w:r>
      </w:hyperlink>
      <w:r>
        <w:rPr>
          <w:rFonts w:ascii="Times New Roman" w:eastAsia="Times New Roman" w:hAnsi="Times New Roman" w:cs="Times New Roman"/>
          <w:sz w:val="24"/>
          <w:szCs w:val="24"/>
        </w:rPr>
        <w:t xml:space="preserve">. Free-living dietary recall is dependent on the ability of participants to accurately recall their diet and has been suggested to reflect the participant's memories of the food consumed, rather than the diet itself </w:t>
      </w:r>
      <w:hyperlink r:id="rId411">
        <w:r>
          <w:rPr>
            <w:rFonts w:ascii="Times New Roman" w:eastAsia="Times New Roman" w:hAnsi="Times New Roman" w:cs="Times New Roman"/>
            <w:sz w:val="24"/>
            <w:szCs w:val="24"/>
          </w:rPr>
          <w:t>(Krall et al., 1988)</w:t>
        </w:r>
      </w:hyperlink>
      <w:r>
        <w:rPr>
          <w:rFonts w:ascii="Times New Roman" w:eastAsia="Times New Roman" w:hAnsi="Times New Roman" w:cs="Times New Roman"/>
          <w:sz w:val="24"/>
          <w:szCs w:val="24"/>
        </w:rPr>
        <w:t>. However, this assessment method captures data on a participant's natural eating behaviour in a real-life circumstance, rather than an artificial laboratory setting. Thus, the studies in this thesis used free-living assessment based.</w:t>
      </w:r>
    </w:p>
    <w:p w14:paraId="00000311" w14:textId="77777777" w:rsidR="00CB4215" w:rsidRDefault="00CB4215">
      <w:pPr>
        <w:spacing w:line="480" w:lineRule="auto"/>
        <w:rPr>
          <w:rFonts w:ascii="Times New Roman" w:eastAsia="Times New Roman" w:hAnsi="Times New Roman" w:cs="Times New Roman"/>
          <w:sz w:val="24"/>
          <w:szCs w:val="24"/>
        </w:rPr>
      </w:pPr>
    </w:p>
    <w:p w14:paraId="00000312" w14:textId="77777777" w:rsidR="00CB4215" w:rsidRDefault="000530B4">
      <w:pPr>
        <w:pStyle w:val="Heading5"/>
        <w:spacing w:line="480" w:lineRule="auto"/>
        <w:rPr>
          <w:rFonts w:ascii="Times New Roman" w:eastAsia="Times New Roman" w:hAnsi="Times New Roman" w:cs="Times New Roman"/>
          <w:b/>
          <w:color w:val="000000"/>
          <w:sz w:val="24"/>
          <w:szCs w:val="24"/>
        </w:rPr>
      </w:pPr>
      <w:bookmarkStart w:id="53" w:name="_heading=h.3tbugp1" w:colFirst="0" w:colLast="0"/>
      <w:bookmarkEnd w:id="53"/>
      <w:r>
        <w:rPr>
          <w:rFonts w:ascii="Times New Roman" w:eastAsia="Times New Roman" w:hAnsi="Times New Roman" w:cs="Times New Roman"/>
          <w:b/>
          <w:color w:val="000000"/>
          <w:sz w:val="24"/>
          <w:szCs w:val="24"/>
        </w:rPr>
        <w:lastRenderedPageBreak/>
        <w:t xml:space="preserve">3.7.1.2 Meal timings </w:t>
      </w:r>
    </w:p>
    <w:p w14:paraId="00000314" w14:textId="01D5811B"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each study, ten questions asked participants to self-report the times they usually ate each meal and snacks over the last seven days, including breakfast, lunch and evening meal. For example, do you usually eat BREAKFAST? If Yes, please select times that refer to when you tended to eat BREAKFAST. All questions are presented in Appendix A. This questionnaire is in line with the study conducted by Zimmerman et al. (2018), which explored the relationship between BMI and chaotic eating (defined as the tendency to eat at variable times of the day). Although MyFood24 could collect real-time dietary data, such as the time of each meal, it is costly for large samples in Study 1 (Chapter 4) due to limited funding. Therefore, an online questionnaire was used to assess meal timing in the studies reported in this thesis. However, MyFood24 was used to assess dietary intake in Study 2 (Chapter 5). It has been suggested that the assessment of eating behaviour using self-report questionnaires is a long-standing problem in nutrition research </w:t>
      </w:r>
      <w:hyperlink r:id="rId412">
        <w:r>
          <w:rPr>
            <w:rFonts w:ascii="Times New Roman" w:eastAsia="Times New Roman" w:hAnsi="Times New Roman" w:cs="Times New Roman"/>
            <w:sz w:val="24"/>
            <w:szCs w:val="24"/>
          </w:rPr>
          <w:t>(Beechy et al., 2012)</w:t>
        </w:r>
      </w:hyperlink>
      <w:r>
        <w:rPr>
          <w:rFonts w:ascii="Times New Roman" w:eastAsia="Times New Roman" w:hAnsi="Times New Roman" w:cs="Times New Roman"/>
          <w:sz w:val="24"/>
          <w:szCs w:val="24"/>
        </w:rPr>
        <w:t xml:space="preserve">. Therefore, there is a need to identify appropriate tools and standard methodologies for assessing meal timing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assess compliance and the feasibility of interventions </w:t>
      </w:r>
      <w:hyperlink r:id="rId41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2019)</w:t>
        </w:r>
      </w:hyperlink>
      <w:r>
        <w:rPr>
          <w:rFonts w:ascii="Times New Roman" w:eastAsia="Times New Roman" w:hAnsi="Times New Roman" w:cs="Times New Roman"/>
          <w:sz w:val="24"/>
          <w:szCs w:val="24"/>
        </w:rPr>
        <w:t xml:space="preserve">. </w:t>
      </w:r>
    </w:p>
    <w:p w14:paraId="76C69F0E" w14:textId="77777777" w:rsidR="007822CC" w:rsidRDefault="007822CC">
      <w:pPr>
        <w:spacing w:line="480" w:lineRule="auto"/>
        <w:rPr>
          <w:rFonts w:ascii="Times New Roman" w:eastAsia="Times New Roman" w:hAnsi="Times New Roman" w:cs="Times New Roman"/>
          <w:sz w:val="24"/>
          <w:szCs w:val="24"/>
        </w:rPr>
      </w:pPr>
    </w:p>
    <w:p w14:paraId="00000315" w14:textId="77777777" w:rsidR="00CB4215" w:rsidRDefault="000530B4">
      <w:pPr>
        <w:pStyle w:val="Heading4"/>
        <w:spacing w:line="480" w:lineRule="auto"/>
        <w:rPr>
          <w:rFonts w:ascii="Times New Roman" w:eastAsia="Times New Roman" w:hAnsi="Times New Roman" w:cs="Times New Roman"/>
          <w:b/>
          <w:color w:val="000000"/>
        </w:rPr>
      </w:pPr>
      <w:bookmarkStart w:id="54" w:name="_heading=h.28h4qwu" w:colFirst="0" w:colLast="0"/>
      <w:bookmarkEnd w:id="54"/>
      <w:r>
        <w:rPr>
          <w:rFonts w:ascii="Times New Roman" w:eastAsia="Times New Roman" w:hAnsi="Times New Roman" w:cs="Times New Roman"/>
          <w:b/>
          <w:color w:val="000000"/>
        </w:rPr>
        <w:t>3.7.2 Individual differences in eating behaviour</w:t>
      </w:r>
    </w:p>
    <w:p w14:paraId="00000316" w14:textId="77777777" w:rsidR="00CB4215" w:rsidRDefault="000530B4">
      <w:pPr>
        <w:pStyle w:val="Heading5"/>
        <w:spacing w:line="480" w:lineRule="auto"/>
        <w:rPr>
          <w:rFonts w:ascii="Times New Roman" w:eastAsia="Times New Roman" w:hAnsi="Times New Roman" w:cs="Times New Roman"/>
          <w:b/>
          <w:color w:val="000000"/>
          <w:sz w:val="24"/>
          <w:szCs w:val="24"/>
        </w:rPr>
      </w:pPr>
      <w:bookmarkStart w:id="55" w:name="_heading=h.nmf14n" w:colFirst="0" w:colLast="0"/>
      <w:bookmarkEnd w:id="55"/>
      <w:r>
        <w:rPr>
          <w:rFonts w:ascii="Times New Roman" w:eastAsia="Times New Roman" w:hAnsi="Times New Roman" w:cs="Times New Roman"/>
          <w:b/>
          <w:color w:val="000000"/>
          <w:sz w:val="24"/>
          <w:szCs w:val="24"/>
        </w:rPr>
        <w:t>3.7.2.1 Three-Factor Eating Questionnaire (TFEQ)</w:t>
      </w:r>
    </w:p>
    <w:p w14:paraId="00000317" w14:textId="0908ACA8"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TFEQ with 51 items is used to measure three eating behaviour traits:  cognitive restraint, disinhibition and hunger </w:t>
      </w:r>
      <w:hyperlink r:id="rId414">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Stunkard</w:t>
        </w:r>
        <w:proofErr w:type="spellEnd"/>
        <w:r>
          <w:rPr>
            <w:rFonts w:ascii="Times New Roman" w:eastAsia="Times New Roman" w:hAnsi="Times New Roman" w:cs="Times New Roman"/>
            <w:sz w:val="24"/>
            <w:szCs w:val="24"/>
          </w:rPr>
          <w:t xml:space="preserve"> and Messick</w:t>
        </w:r>
        <w:r w:rsidR="00213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1985)</w:t>
        </w:r>
      </w:hyperlink>
      <w:r>
        <w:rPr>
          <w:rFonts w:ascii="Times New Roman" w:eastAsia="Times New Roman" w:hAnsi="Times New Roman" w:cs="Times New Roman"/>
          <w:sz w:val="24"/>
          <w:szCs w:val="24"/>
        </w:rPr>
        <w:t xml:space="preserve">. Karlsson and colleagues (2000) later examined the scaling properties and construct validity of a Swedish sample and found that the factor structure was only partially replicated. Consequently, a revised version of the questionnaire, the TFEQ-R18, was constructed. It consists of 18 items measuring three eating behaviour traits: cognitive restraint, uncontrolled eating, and emotional eating. Cognitive </w:t>
      </w:r>
      <w:r>
        <w:rPr>
          <w:rFonts w:ascii="Times New Roman" w:eastAsia="Times New Roman" w:hAnsi="Times New Roman" w:cs="Times New Roman"/>
          <w:sz w:val="24"/>
          <w:szCs w:val="24"/>
        </w:rPr>
        <w:lastRenderedPageBreak/>
        <w:t xml:space="preserve">restraint refers to the tendency to consciously control food consumption that influence body weight and body shape. Uncontrolled eating refers to losing control overeating and emotional eating describes the tendency to eat in response to negative emotions. Within the TFEQ-R18, six items measure cognitive restraint, nine assess uncontrolled eating, and three measure emotional eating. The first 17 questions are structured with a 4-point Likert scale response format, whereas question 18 uses an 8-point scale, requiring conversion to a 4-point scale for analysis. Higher scores indicate an increased propensity towards the eating behaviour traits as assessed by the questionnaire, with evidence supporting the construct validity and reliability of the TFEQ-R18 </w:t>
      </w:r>
      <w:hyperlink r:id="rId415">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Anglé</w:t>
        </w:r>
        <w:proofErr w:type="spellEnd"/>
        <w:r>
          <w:rPr>
            <w:rFonts w:ascii="Times New Roman" w:eastAsia="Times New Roman" w:hAnsi="Times New Roman" w:cs="Times New Roman"/>
            <w:sz w:val="24"/>
            <w:szCs w:val="24"/>
          </w:rPr>
          <w:t xml:space="preserve"> et al., 2009; Martins et al., 2020; Chong et al., 2016; </w:t>
        </w:r>
        <w:proofErr w:type="spellStart"/>
        <w:r>
          <w:rPr>
            <w:rFonts w:ascii="Times New Roman" w:eastAsia="Times New Roman" w:hAnsi="Times New Roman" w:cs="Times New Roman"/>
            <w:sz w:val="24"/>
            <w:szCs w:val="24"/>
          </w:rPr>
          <w:t>Brytek</w:t>
        </w:r>
        <w:proofErr w:type="spellEnd"/>
        <w:r>
          <w:rPr>
            <w:rFonts w:ascii="Times New Roman" w:eastAsia="Times New Roman" w:hAnsi="Times New Roman" w:cs="Times New Roman"/>
            <w:sz w:val="24"/>
            <w:szCs w:val="24"/>
          </w:rPr>
          <w:t>-Matera et al., 2017)</w:t>
        </w:r>
      </w:hyperlink>
      <w:r>
        <w:rPr>
          <w:rFonts w:ascii="Times New Roman" w:eastAsia="Times New Roman" w:hAnsi="Times New Roman" w:cs="Times New Roman"/>
          <w:sz w:val="24"/>
          <w:szCs w:val="24"/>
        </w:rPr>
        <w:t xml:space="preserve">. </w:t>
      </w:r>
    </w:p>
    <w:p w14:paraId="00000318" w14:textId="77777777" w:rsidR="00CB4215" w:rsidRDefault="00CB4215">
      <w:pPr>
        <w:spacing w:line="480" w:lineRule="auto"/>
        <w:rPr>
          <w:rFonts w:ascii="Times New Roman" w:eastAsia="Times New Roman" w:hAnsi="Times New Roman" w:cs="Times New Roman"/>
          <w:sz w:val="24"/>
          <w:szCs w:val="24"/>
        </w:rPr>
      </w:pPr>
    </w:p>
    <w:p w14:paraId="0000031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research has identified the significant associations between higher emotional eating and increased BMI, as observed in an adult cohort study </w:t>
      </w:r>
      <w:hyperlink r:id="rId416">
        <w:r>
          <w:rPr>
            <w:rFonts w:ascii="Times New Roman" w:eastAsia="Times New Roman" w:hAnsi="Times New Roman" w:cs="Times New Roman"/>
            <w:sz w:val="24"/>
            <w:szCs w:val="24"/>
          </w:rPr>
          <w:t>(de Lauzon-Guillain et al., 2017)</w:t>
        </w:r>
      </w:hyperlink>
      <w:r>
        <w:rPr>
          <w:rFonts w:ascii="Times New Roman" w:eastAsia="Times New Roman" w:hAnsi="Times New Roman" w:cs="Times New Roman"/>
          <w:sz w:val="24"/>
          <w:szCs w:val="24"/>
        </w:rPr>
        <w:t xml:space="preserve">. Additionally, uncontrolled eating has been related to higher BMI in various populations, including young Finnish females  </w:t>
      </w:r>
      <w:hyperlink r:id="rId41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Anglé</w:t>
        </w:r>
        <w:proofErr w:type="spellEnd"/>
        <w:r>
          <w:rPr>
            <w:rFonts w:ascii="Times New Roman" w:eastAsia="Times New Roman" w:hAnsi="Times New Roman" w:cs="Times New Roman"/>
            <w:sz w:val="24"/>
            <w:szCs w:val="24"/>
          </w:rPr>
          <w:t xml:space="preserve"> et al., 2009)</w:t>
        </w:r>
      </w:hyperlink>
      <w:r>
        <w:rPr>
          <w:rFonts w:ascii="Times New Roman" w:eastAsia="Times New Roman" w:hAnsi="Times New Roman" w:cs="Times New Roman"/>
          <w:sz w:val="24"/>
          <w:szCs w:val="24"/>
        </w:rPr>
        <w:t xml:space="preserve">, adults from the USA </w:t>
      </w:r>
      <w:hyperlink r:id="rId418">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Verzijl</w:t>
        </w:r>
        <w:proofErr w:type="spellEnd"/>
        <w:r>
          <w:rPr>
            <w:rFonts w:ascii="Times New Roman" w:eastAsia="Times New Roman" w:hAnsi="Times New Roman" w:cs="Times New Roman"/>
            <w:sz w:val="24"/>
            <w:szCs w:val="24"/>
          </w:rPr>
          <w:t xml:space="preserve"> et al., 2018)</w:t>
        </w:r>
      </w:hyperlink>
      <w:r>
        <w:rPr>
          <w:rFonts w:ascii="Times New Roman" w:eastAsia="Times New Roman" w:hAnsi="Times New Roman" w:cs="Times New Roman"/>
          <w:sz w:val="24"/>
          <w:szCs w:val="24"/>
        </w:rPr>
        <w:t xml:space="preserve">, and German adults </w:t>
      </w:r>
      <w:hyperlink r:id="rId41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Löffler</w:t>
        </w:r>
        <w:proofErr w:type="spellEnd"/>
        <w:r>
          <w:rPr>
            <w:rFonts w:ascii="Times New Roman" w:eastAsia="Times New Roman" w:hAnsi="Times New Roman" w:cs="Times New Roman"/>
            <w:sz w:val="24"/>
            <w:szCs w:val="24"/>
          </w:rPr>
          <w:t xml:space="preserve"> et al., 2015)</w:t>
        </w:r>
      </w:hyperlink>
      <w:r>
        <w:rPr>
          <w:rFonts w:ascii="Times New Roman" w:eastAsia="Times New Roman" w:hAnsi="Times New Roman" w:cs="Times New Roman"/>
          <w:sz w:val="24"/>
          <w:szCs w:val="24"/>
        </w:rPr>
        <w:t>. Studies also demonstrated that individuals with lower cognitive restraint or higher disinhibition are more prone to have higher BMI (​​</w:t>
      </w:r>
      <w:proofErr w:type="spellStart"/>
      <w:r>
        <w:rPr>
          <w:rFonts w:ascii="Times New Roman" w:eastAsia="Times New Roman" w:hAnsi="Times New Roman" w:cs="Times New Roman"/>
          <w:sz w:val="24"/>
          <w:szCs w:val="24"/>
          <w:highlight w:val="white"/>
        </w:rPr>
        <w:t>Dochat</w:t>
      </w:r>
      <w:proofErr w:type="spellEnd"/>
      <w:r>
        <w:rPr>
          <w:rFonts w:ascii="Times New Roman" w:eastAsia="Times New Roman" w:hAnsi="Times New Roman" w:cs="Times New Roman"/>
          <w:sz w:val="24"/>
          <w:szCs w:val="24"/>
          <w:highlight w:val="white"/>
        </w:rPr>
        <w:t xml:space="preserve"> et al., 2019, </w:t>
      </w:r>
      <w:proofErr w:type="spellStart"/>
      <w:r>
        <w:rPr>
          <w:rFonts w:ascii="Times New Roman" w:eastAsia="Times New Roman" w:hAnsi="Times New Roman" w:cs="Times New Roman"/>
          <w:sz w:val="24"/>
          <w:szCs w:val="24"/>
          <w:highlight w:val="white"/>
        </w:rPr>
        <w:t>Blumfield</w:t>
      </w:r>
      <w:proofErr w:type="spellEnd"/>
      <w:r>
        <w:rPr>
          <w:rFonts w:ascii="Times New Roman" w:eastAsia="Times New Roman" w:hAnsi="Times New Roman" w:cs="Times New Roman"/>
          <w:sz w:val="24"/>
          <w:szCs w:val="24"/>
          <w:highlight w:val="white"/>
        </w:rPr>
        <w:t xml:space="preserve"> et al., 2018, Bryant et al., 2012). According to the Behavioural Susceptibility Theory (Llewellyn &amp; Wardle, 2015) (see details in Chapter 1), individuals with a heightened appetitive drive for food and weak responsiveness to satiety cues could be likely to overconsumption in response to disinhibiting factors.</w:t>
      </w:r>
      <w:r>
        <w:rPr>
          <w:rFonts w:ascii="Times New Roman" w:eastAsia="Times New Roman" w:hAnsi="Times New Roman" w:cs="Times New Roman"/>
          <w:highlight w:val="white"/>
        </w:rPr>
        <w:t xml:space="preserve"> </w:t>
      </w:r>
    </w:p>
    <w:p w14:paraId="0000031A" w14:textId="77777777" w:rsidR="00CB4215" w:rsidRDefault="00CB4215">
      <w:pPr>
        <w:spacing w:line="480" w:lineRule="auto"/>
        <w:rPr>
          <w:rFonts w:ascii="Times New Roman" w:eastAsia="Times New Roman" w:hAnsi="Times New Roman" w:cs="Times New Roman"/>
          <w:sz w:val="24"/>
          <w:szCs w:val="24"/>
        </w:rPr>
      </w:pPr>
    </w:p>
    <w:p w14:paraId="0000031C" w14:textId="270EB2CD"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current studies, the TFEQ subscales were used to explore the relationships between meal timing, BMI, cognitive restraint, uncontrolled eating and emotional eating, and to compare differences between early and late evening eaters (see Chapters 4 and 5).</w:t>
      </w:r>
    </w:p>
    <w:p w14:paraId="0000031D" w14:textId="77777777" w:rsidR="00CB4215" w:rsidRDefault="000530B4">
      <w:pPr>
        <w:pStyle w:val="Heading5"/>
        <w:spacing w:line="480" w:lineRule="auto"/>
        <w:rPr>
          <w:rFonts w:ascii="Times New Roman" w:eastAsia="Times New Roman" w:hAnsi="Times New Roman" w:cs="Times New Roman"/>
          <w:b/>
          <w:color w:val="000000"/>
          <w:sz w:val="24"/>
          <w:szCs w:val="24"/>
        </w:rPr>
      </w:pPr>
      <w:bookmarkStart w:id="56" w:name="_heading=h.37m2jsg" w:colFirst="0" w:colLast="0"/>
      <w:bookmarkEnd w:id="56"/>
      <w:r>
        <w:rPr>
          <w:rFonts w:ascii="Times New Roman" w:eastAsia="Times New Roman" w:hAnsi="Times New Roman" w:cs="Times New Roman"/>
          <w:b/>
          <w:color w:val="000000"/>
          <w:sz w:val="24"/>
          <w:szCs w:val="24"/>
        </w:rPr>
        <w:lastRenderedPageBreak/>
        <w:t>3.7.2.2 Adult Eating Behaviour Questionnaire (AEBQ)</w:t>
      </w:r>
    </w:p>
    <w:p w14:paraId="0000031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Adult Eating Behaviour Questionnaire consists of 35 items, and participants provide responses on a 5-point Likert scale that ranges from 'Strongly disagree' to 'Strongly agree'. The scale includes four 'food approach' subscales: five items measuring hunger (individual hunger experience), four items for food responsiveness (tendency to eat in the presence of external cues), five items determining emotional overeating, and three items assessing enjoyment of food. Additionally, there are four 'food avoidance' subscales: three items for satiety responsiveness (the degree to which individuals detect sensations of hunger and fullness), five items for emotional under-eating, five items for food fussiness (tendency to be selective about food choices), and four items for slowness in eating. Higher scores on each subscale indicate greater responsiveness to the respective eating behaviour trait </w:t>
      </w:r>
      <w:hyperlink r:id="rId42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Hunot</w:t>
        </w:r>
        <w:proofErr w:type="spellEnd"/>
        <w:r>
          <w:rPr>
            <w:rFonts w:ascii="Times New Roman" w:eastAsia="Times New Roman" w:hAnsi="Times New Roman" w:cs="Times New Roman"/>
            <w:sz w:val="24"/>
            <w:szCs w:val="24"/>
          </w:rPr>
          <w:t xml:space="preserve"> et al., 2016)</w:t>
        </w:r>
      </w:hyperlink>
      <w:r>
        <w:rPr>
          <w:rFonts w:ascii="Times New Roman" w:eastAsia="Times New Roman" w:hAnsi="Times New Roman" w:cs="Times New Roman"/>
          <w:sz w:val="24"/>
          <w:szCs w:val="24"/>
        </w:rPr>
        <w:t xml:space="preserve">. This scale has shown good validity in the adult population in Australia </w:t>
      </w:r>
      <w:hyperlink r:id="rId42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Mallan</w:t>
        </w:r>
        <w:proofErr w:type="spellEnd"/>
        <w:r>
          <w:rPr>
            <w:rFonts w:ascii="Times New Roman" w:eastAsia="Times New Roman" w:hAnsi="Times New Roman" w:cs="Times New Roman"/>
            <w:sz w:val="24"/>
            <w:szCs w:val="24"/>
          </w:rPr>
          <w:t xml:space="preserve"> et al., 2017)</w:t>
        </w:r>
      </w:hyperlink>
      <w:r>
        <w:rPr>
          <w:rFonts w:ascii="Times New Roman" w:eastAsia="Times New Roman" w:hAnsi="Times New Roman" w:cs="Times New Roman"/>
          <w:sz w:val="24"/>
          <w:szCs w:val="24"/>
        </w:rPr>
        <w:t xml:space="preserve">, Bulgaria </w:t>
      </w:r>
      <w:hyperlink r:id="rId422">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Hristova</w:t>
        </w:r>
        <w:proofErr w:type="spellEnd"/>
        <w:r>
          <w:rPr>
            <w:rFonts w:ascii="Times New Roman" w:eastAsia="Times New Roman" w:hAnsi="Times New Roman" w:cs="Times New Roman"/>
            <w:sz w:val="24"/>
            <w:szCs w:val="24"/>
          </w:rPr>
          <w:t xml:space="preserve"> 2019)</w:t>
        </w:r>
      </w:hyperlink>
      <w:r>
        <w:rPr>
          <w:rFonts w:ascii="Times New Roman" w:eastAsia="Times New Roman" w:hAnsi="Times New Roman" w:cs="Times New Roman"/>
          <w:sz w:val="24"/>
          <w:szCs w:val="24"/>
        </w:rPr>
        <w:t xml:space="preserve">, Mexico </w:t>
      </w:r>
      <w:hyperlink r:id="rId42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Hunot</w:t>
        </w:r>
        <w:proofErr w:type="spellEnd"/>
        <w:r>
          <w:rPr>
            <w:rFonts w:ascii="Times New Roman" w:eastAsia="Times New Roman" w:hAnsi="Times New Roman" w:cs="Times New Roman"/>
            <w:sz w:val="24"/>
            <w:szCs w:val="24"/>
          </w:rPr>
          <w:t>-Alexander et al., 2021)</w:t>
        </w:r>
      </w:hyperlink>
      <w:r>
        <w:rPr>
          <w:rFonts w:ascii="Times New Roman" w:eastAsia="Times New Roman" w:hAnsi="Times New Roman" w:cs="Times New Roman"/>
          <w:sz w:val="24"/>
          <w:szCs w:val="24"/>
        </w:rPr>
        <w:t xml:space="preserve">, China </w:t>
      </w:r>
      <w:hyperlink r:id="rId424">
        <w:r>
          <w:rPr>
            <w:rFonts w:ascii="Times New Roman" w:eastAsia="Times New Roman" w:hAnsi="Times New Roman" w:cs="Times New Roman"/>
            <w:sz w:val="24"/>
            <w:szCs w:val="24"/>
          </w:rPr>
          <w:t>(He et al., 2021)</w:t>
        </w:r>
      </w:hyperlink>
      <w:r>
        <w:rPr>
          <w:rFonts w:ascii="Times New Roman" w:eastAsia="Times New Roman" w:hAnsi="Times New Roman" w:cs="Times New Roman"/>
          <w:sz w:val="24"/>
          <w:szCs w:val="24"/>
        </w:rPr>
        <w:t xml:space="preserve"> and Canada </w:t>
      </w:r>
      <w:hyperlink r:id="rId425">
        <w:r>
          <w:rPr>
            <w:rFonts w:ascii="Times New Roman" w:eastAsia="Times New Roman" w:hAnsi="Times New Roman" w:cs="Times New Roman"/>
            <w:sz w:val="24"/>
            <w:szCs w:val="24"/>
          </w:rPr>
          <w:t>(Jacob et al., 2022)</w:t>
        </w:r>
      </w:hyperlink>
      <w:r>
        <w:rPr>
          <w:rFonts w:ascii="Times New Roman" w:eastAsia="Times New Roman" w:hAnsi="Times New Roman" w:cs="Times New Roman"/>
          <w:sz w:val="24"/>
          <w:szCs w:val="24"/>
        </w:rPr>
        <w:t xml:space="preserve">. Indeed, </w:t>
      </w:r>
      <w:proofErr w:type="spellStart"/>
      <w:r>
        <w:rPr>
          <w:rFonts w:ascii="Times New Roman" w:eastAsia="Times New Roman" w:hAnsi="Times New Roman" w:cs="Times New Roman"/>
          <w:sz w:val="24"/>
          <w:szCs w:val="24"/>
        </w:rPr>
        <w:t>Hunot</w:t>
      </w:r>
      <w:proofErr w:type="spellEnd"/>
      <w:r>
        <w:rPr>
          <w:rFonts w:ascii="Times New Roman" w:eastAsia="Times New Roman" w:hAnsi="Times New Roman" w:cs="Times New Roman"/>
          <w:sz w:val="24"/>
          <w:szCs w:val="24"/>
        </w:rPr>
        <w:t xml:space="preserve"> and colleagues (2016) found that higher scores on food responsiveness, emotional overeating, and enjoyment of food were significantly associated with increased BMI. In contrast, higher scores on satiety responsiveness, emotional under-eating, and slowness in eating were related to lower BMI. </w:t>
      </w:r>
    </w:p>
    <w:p w14:paraId="0000031F"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study 1, satiety responsiveness subscale was used to explore the association with meal timing. After establishing the role of satiety responsiveness in Study 1, Study 2 aimed to build on these findings by exploring how other eating behaviour traits interact with meal timing and BMI. In addition, emotional eating in the TFEQ and emotional overeating and undereating in the AEBQ were both examined to see if the results varied between the different questionnaires.</w:t>
      </w:r>
    </w:p>
    <w:p w14:paraId="00000320" w14:textId="77777777" w:rsidR="00CB4215" w:rsidRDefault="00CB4215">
      <w:pPr>
        <w:spacing w:line="480" w:lineRule="auto"/>
        <w:rPr>
          <w:rFonts w:ascii="Times New Roman" w:eastAsia="Times New Roman" w:hAnsi="Times New Roman" w:cs="Times New Roman"/>
          <w:sz w:val="24"/>
          <w:szCs w:val="24"/>
        </w:rPr>
      </w:pPr>
    </w:p>
    <w:p w14:paraId="00000321" w14:textId="77777777" w:rsidR="00CB4215" w:rsidRDefault="000530B4">
      <w:pPr>
        <w:pStyle w:val="Heading5"/>
        <w:spacing w:line="480" w:lineRule="auto"/>
        <w:rPr>
          <w:rFonts w:ascii="Times New Roman" w:eastAsia="Times New Roman" w:hAnsi="Times New Roman" w:cs="Times New Roman"/>
          <w:b/>
          <w:color w:val="000000"/>
          <w:sz w:val="24"/>
          <w:szCs w:val="24"/>
        </w:rPr>
      </w:pPr>
      <w:bookmarkStart w:id="57" w:name="_heading=h.1mrcu09" w:colFirst="0" w:colLast="0"/>
      <w:bookmarkEnd w:id="57"/>
      <w:r>
        <w:rPr>
          <w:rFonts w:ascii="Times New Roman" w:eastAsia="Times New Roman" w:hAnsi="Times New Roman" w:cs="Times New Roman"/>
          <w:b/>
          <w:color w:val="000000"/>
          <w:sz w:val="24"/>
          <w:szCs w:val="24"/>
        </w:rPr>
        <w:lastRenderedPageBreak/>
        <w:t>3.7.2.3 Intuitive Eating Scale - 2 (IES-2), reliance on hunger and satiety cues subscale</w:t>
      </w:r>
    </w:p>
    <w:p w14:paraId="00000322" w14:textId="09413B92"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Intuitive eating refers to an adaptable form of eating in response to internal cues of hunger and satiety </w:t>
      </w:r>
      <w:hyperlink r:id="rId42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Tylka</w:t>
        </w:r>
        <w:proofErr w:type="spellEnd"/>
        <w:r w:rsidR="00213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2006)</w:t>
        </w:r>
      </w:hyperlink>
      <w:r>
        <w:rPr>
          <w:rFonts w:ascii="Times New Roman" w:eastAsia="Times New Roman" w:hAnsi="Times New Roman" w:cs="Times New Roman"/>
          <w:sz w:val="24"/>
          <w:szCs w:val="24"/>
        </w:rPr>
        <w:t xml:space="preserve">. The original Intuitive Eating Scale (IES) consists of 21 items. Although the validity and reliability have been shown in college women, the IES-2 was developed to enhance the original version </w:t>
      </w:r>
      <w:hyperlink r:id="rId42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Tylka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Subich</w:t>
        </w:r>
        <w:proofErr w:type="spellEnd"/>
        <w:r w:rsidR="00213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2004)</w:t>
        </w:r>
      </w:hyperlink>
      <w:r>
        <w:rPr>
          <w:rFonts w:ascii="Times New Roman" w:eastAsia="Times New Roman" w:hAnsi="Times New Roman" w:cs="Times New Roman"/>
          <w:sz w:val="24"/>
          <w:szCs w:val="24"/>
        </w:rPr>
        <w:t xml:space="preserve">. This revised 23-item scale integrated 11 items from the initial IES and introduced 12 new items, with responses captured on a 5-point Likert scale ranging from ‘Strongly disagree’ to ‘Strongly agree’. IES-2 comprised four subscales, including eating for physical reasons rather than emotional reasons; unconditional permission to eat (willingness to eat in response to hunger without categorising foods as forbidden); reliance on internal hunger and satiety cues to determine when and how much to eat (the extent to which individuals depend on their internal cues of hunger and fullness for eating decisions) and Body-food choice congruence (the degree to which individual food choices align with bodily needs). Higher scores represent higher levels of intuitive eating. The scale has shown good validity across various samples </w:t>
      </w:r>
      <w:hyperlink r:id="rId428">
        <w:r>
          <w:rPr>
            <w:rFonts w:ascii="Times New Roman" w:eastAsia="Times New Roman" w:hAnsi="Times New Roman" w:cs="Times New Roman"/>
            <w:sz w:val="24"/>
            <w:szCs w:val="24"/>
          </w:rPr>
          <w:t xml:space="preserve">(Duarte et al., 2016; Saunders et al., 2018; </w:t>
        </w:r>
        <w:proofErr w:type="spellStart"/>
        <w:r>
          <w:rPr>
            <w:rFonts w:ascii="Times New Roman" w:eastAsia="Times New Roman" w:hAnsi="Times New Roman" w:cs="Times New Roman"/>
            <w:sz w:val="24"/>
            <w:szCs w:val="24"/>
          </w:rPr>
          <w:t>Tylka</w:t>
        </w:r>
        <w:proofErr w:type="spellEnd"/>
        <w:r>
          <w:rPr>
            <w:rFonts w:ascii="Times New Roman" w:eastAsia="Times New Roman" w:hAnsi="Times New Roman" w:cs="Times New Roman"/>
            <w:sz w:val="24"/>
            <w:szCs w:val="24"/>
          </w:rPr>
          <w:t xml:space="preserve"> and Kroon Van </w:t>
        </w:r>
        <w:proofErr w:type="spellStart"/>
        <w:r>
          <w:rPr>
            <w:rFonts w:ascii="Times New Roman" w:eastAsia="Times New Roman" w:hAnsi="Times New Roman" w:cs="Times New Roman"/>
            <w:sz w:val="24"/>
            <w:szCs w:val="24"/>
          </w:rPr>
          <w:t>Diest</w:t>
        </w:r>
        <w:proofErr w:type="spellEnd"/>
        <w:r w:rsidR="00213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Previous research has reported that lower intuitive eating scores are related to higher BMI (Camilleri et al., 2016, Gast et al., 2015, Madden et al., 2012, </w:t>
      </w:r>
      <w:proofErr w:type="spellStart"/>
      <w:r>
        <w:rPr>
          <w:rFonts w:ascii="Times New Roman" w:eastAsia="Times New Roman" w:hAnsi="Times New Roman" w:cs="Times New Roman"/>
          <w:sz w:val="24"/>
          <w:szCs w:val="24"/>
        </w:rPr>
        <w:t>Özkan</w:t>
      </w:r>
      <w:proofErr w:type="spellEnd"/>
      <w:r>
        <w:rPr>
          <w:rFonts w:ascii="Times New Roman" w:eastAsia="Times New Roman" w:hAnsi="Times New Roman" w:cs="Times New Roman"/>
          <w:sz w:val="24"/>
          <w:szCs w:val="24"/>
        </w:rPr>
        <w:t xml:space="preserve"> et al., 2021). Generally, individuals with poor intuitive eating are more likely to have a more appetitive drive for food. However, there is limited evidence to explore whether there is a relationship between meal timing and intuitive eating. Therefore, IES-2 was used to explore the associations between meal timing, intuitive eating and BMI.</w:t>
      </w:r>
    </w:p>
    <w:p w14:paraId="00000323" w14:textId="77777777" w:rsidR="00CB4215" w:rsidRDefault="00CB4215">
      <w:pPr>
        <w:spacing w:line="480" w:lineRule="auto"/>
        <w:rPr>
          <w:rFonts w:ascii="Times New Roman" w:eastAsia="Times New Roman" w:hAnsi="Times New Roman" w:cs="Times New Roman"/>
          <w:sz w:val="24"/>
          <w:szCs w:val="24"/>
        </w:rPr>
      </w:pPr>
    </w:p>
    <w:p w14:paraId="00000324" w14:textId="1E472B01" w:rsidR="00CB4215" w:rsidRDefault="000530B4">
      <w:pPr>
        <w:pStyle w:val="Heading5"/>
        <w:spacing w:line="480" w:lineRule="auto"/>
        <w:rPr>
          <w:rFonts w:ascii="Times New Roman" w:eastAsia="Times New Roman" w:hAnsi="Times New Roman" w:cs="Times New Roman"/>
          <w:b/>
          <w:color w:val="000000"/>
          <w:sz w:val="24"/>
          <w:szCs w:val="24"/>
        </w:rPr>
      </w:pPr>
      <w:bookmarkStart w:id="58" w:name="_heading=h.46r0co2" w:colFirst="0" w:colLast="0"/>
      <w:bookmarkEnd w:id="58"/>
      <w:r>
        <w:rPr>
          <w:rFonts w:ascii="Times New Roman" w:eastAsia="Times New Roman" w:hAnsi="Times New Roman" w:cs="Times New Roman"/>
          <w:b/>
          <w:color w:val="000000"/>
          <w:sz w:val="24"/>
          <w:szCs w:val="24"/>
        </w:rPr>
        <w:t>3.7.2.4 Control of Eating Questionnaire (</w:t>
      </w:r>
      <w:proofErr w:type="spellStart"/>
      <w:r>
        <w:rPr>
          <w:rFonts w:ascii="Times New Roman" w:eastAsia="Times New Roman" w:hAnsi="Times New Roman" w:cs="Times New Roman"/>
          <w:b/>
          <w:color w:val="000000"/>
          <w:sz w:val="24"/>
          <w:szCs w:val="24"/>
        </w:rPr>
        <w:t>CoEQ</w:t>
      </w:r>
      <w:proofErr w:type="spellEnd"/>
      <w:r>
        <w:rPr>
          <w:rFonts w:ascii="Times New Roman" w:eastAsia="Times New Roman" w:hAnsi="Times New Roman" w:cs="Times New Roman"/>
          <w:b/>
          <w:color w:val="000000"/>
          <w:sz w:val="24"/>
          <w:szCs w:val="24"/>
        </w:rPr>
        <w:t>) - craving control subscale</w:t>
      </w:r>
    </w:p>
    <w:p w14:paraId="0000032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Control of Eating Questionnaire (</w:t>
      </w:r>
      <w:proofErr w:type="spellStart"/>
      <w:r>
        <w:rPr>
          <w:rFonts w:ascii="Times New Roman" w:eastAsia="Times New Roman" w:hAnsi="Times New Roman" w:cs="Times New Roman"/>
          <w:sz w:val="24"/>
          <w:szCs w:val="24"/>
        </w:rPr>
        <w:t>CoEQ</w:t>
      </w:r>
      <w:proofErr w:type="spellEnd"/>
      <w:r>
        <w:rPr>
          <w:rFonts w:ascii="Times New Roman" w:eastAsia="Times New Roman" w:hAnsi="Times New Roman" w:cs="Times New Roman"/>
          <w:sz w:val="24"/>
          <w:szCs w:val="24"/>
        </w:rPr>
        <w:t xml:space="preserve">) consists of 21 items designed to assess the severity and type of food cravings experienced over the previous seven days. It includes four </w:t>
      </w:r>
      <w:r>
        <w:rPr>
          <w:rFonts w:ascii="Times New Roman" w:eastAsia="Times New Roman" w:hAnsi="Times New Roman" w:cs="Times New Roman"/>
          <w:sz w:val="24"/>
          <w:szCs w:val="24"/>
        </w:rPr>
        <w:lastRenderedPageBreak/>
        <w:t xml:space="preserve">subscales: craving control, positive mood, craving for savoury and craving for sweet. Responses on the </w:t>
      </w:r>
      <w:proofErr w:type="spellStart"/>
      <w:r>
        <w:rPr>
          <w:rFonts w:ascii="Times New Roman" w:eastAsia="Times New Roman" w:hAnsi="Times New Roman" w:cs="Times New Roman"/>
          <w:sz w:val="24"/>
          <w:szCs w:val="24"/>
        </w:rPr>
        <w:t>CoEQ</w:t>
      </w:r>
      <w:proofErr w:type="spellEnd"/>
      <w:r>
        <w:rPr>
          <w:rFonts w:ascii="Times New Roman" w:eastAsia="Times New Roman" w:hAnsi="Times New Roman" w:cs="Times New Roman"/>
          <w:sz w:val="24"/>
          <w:szCs w:val="24"/>
        </w:rPr>
        <w:t xml:space="preserve"> are measured using a 100-point visual analogue scale. Research has shown the good internal consistency and validity of the </w:t>
      </w:r>
      <w:proofErr w:type="spellStart"/>
      <w:r>
        <w:rPr>
          <w:rFonts w:ascii="Times New Roman" w:eastAsia="Times New Roman" w:hAnsi="Times New Roman" w:cs="Times New Roman"/>
          <w:sz w:val="24"/>
          <w:szCs w:val="24"/>
        </w:rPr>
        <w:t>CoEQ</w:t>
      </w:r>
      <w:proofErr w:type="spellEnd"/>
      <w:r>
        <w:rPr>
          <w:rFonts w:ascii="Times New Roman" w:eastAsia="Times New Roman" w:hAnsi="Times New Roman" w:cs="Times New Roman"/>
          <w:sz w:val="24"/>
          <w:szCs w:val="24"/>
        </w:rPr>
        <w:t xml:space="preserve"> </w:t>
      </w:r>
      <w:hyperlink r:id="rId429">
        <w:r>
          <w:rPr>
            <w:rFonts w:ascii="Times New Roman" w:eastAsia="Times New Roman" w:hAnsi="Times New Roman" w:cs="Times New Roman"/>
            <w:sz w:val="24"/>
            <w:szCs w:val="24"/>
          </w:rPr>
          <w:t>(Dalton et al., 2015)</w:t>
        </w:r>
      </w:hyperlink>
      <w:r>
        <w:rPr>
          <w:rFonts w:ascii="Times New Roman" w:eastAsia="Times New Roman" w:hAnsi="Times New Roman" w:cs="Times New Roman"/>
          <w:sz w:val="24"/>
          <w:szCs w:val="24"/>
        </w:rPr>
        <w:t xml:space="preserve">. Previous studies have shown that lower scores on craving control are linked to higher levels of binge eating tendencies, disinhibition, susceptibility to hunger, increased BMI scores and greater levels of fat mass </w:t>
      </w:r>
      <w:hyperlink r:id="rId43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Abilés</w:t>
        </w:r>
        <w:proofErr w:type="spellEnd"/>
        <w:r>
          <w:rPr>
            <w:rFonts w:ascii="Times New Roman" w:eastAsia="Times New Roman" w:hAnsi="Times New Roman" w:cs="Times New Roman"/>
            <w:sz w:val="24"/>
            <w:szCs w:val="24"/>
          </w:rPr>
          <w:t xml:space="preserve"> et al., 2010; Delahanty et al., 2002; Hill 2007)</w:t>
        </w:r>
      </w:hyperlink>
      <w:r>
        <w:rPr>
          <w:rFonts w:ascii="Times New Roman" w:eastAsia="Times New Roman" w:hAnsi="Times New Roman" w:cs="Times New Roman"/>
          <w:sz w:val="24"/>
          <w:szCs w:val="24"/>
        </w:rPr>
        <w:t>. In Study 1 and Study 2, craving control was examined to investigate its association with meal timing and BMI and to compare differences between early and late eaters. All scales are presented in Appendix A.</w:t>
      </w:r>
    </w:p>
    <w:p w14:paraId="00000326" w14:textId="77777777" w:rsidR="00CB4215" w:rsidRDefault="00CB4215">
      <w:pPr>
        <w:spacing w:line="480" w:lineRule="auto"/>
        <w:rPr>
          <w:rFonts w:ascii="Times New Roman" w:eastAsia="Times New Roman" w:hAnsi="Times New Roman" w:cs="Times New Roman"/>
          <w:sz w:val="24"/>
          <w:szCs w:val="24"/>
        </w:rPr>
      </w:pPr>
    </w:p>
    <w:p w14:paraId="00000327" w14:textId="77777777" w:rsidR="00CB4215" w:rsidRDefault="000530B4">
      <w:pPr>
        <w:pStyle w:val="Heading4"/>
        <w:spacing w:line="480" w:lineRule="auto"/>
        <w:rPr>
          <w:rFonts w:ascii="Times New Roman" w:eastAsia="Times New Roman" w:hAnsi="Times New Roman" w:cs="Times New Roman"/>
          <w:b/>
          <w:color w:val="000000"/>
        </w:rPr>
      </w:pPr>
      <w:bookmarkStart w:id="59" w:name="_heading=h.2lwamvv" w:colFirst="0" w:colLast="0"/>
      <w:bookmarkEnd w:id="59"/>
      <w:r>
        <w:rPr>
          <w:rFonts w:ascii="Times New Roman" w:eastAsia="Times New Roman" w:hAnsi="Times New Roman" w:cs="Times New Roman"/>
          <w:b/>
          <w:color w:val="000000"/>
        </w:rPr>
        <w:t>3.7.3 Health behaviour assessment</w:t>
      </w:r>
    </w:p>
    <w:p w14:paraId="00000328" w14:textId="77777777" w:rsidR="00CB4215" w:rsidRDefault="000530B4">
      <w:pPr>
        <w:pStyle w:val="Heading5"/>
        <w:spacing w:line="480" w:lineRule="auto"/>
        <w:rPr>
          <w:rFonts w:ascii="Times New Roman" w:eastAsia="Times New Roman" w:hAnsi="Times New Roman" w:cs="Times New Roman"/>
          <w:b/>
          <w:color w:val="000000"/>
          <w:sz w:val="24"/>
          <w:szCs w:val="24"/>
        </w:rPr>
      </w:pPr>
      <w:bookmarkStart w:id="60" w:name="_heading=h.111kx3o" w:colFirst="0" w:colLast="0"/>
      <w:bookmarkEnd w:id="60"/>
      <w:r>
        <w:rPr>
          <w:rFonts w:ascii="Times New Roman" w:eastAsia="Times New Roman" w:hAnsi="Times New Roman" w:cs="Times New Roman"/>
          <w:b/>
          <w:color w:val="000000"/>
          <w:sz w:val="24"/>
          <w:szCs w:val="24"/>
        </w:rPr>
        <w:t>3.7.3.1 Self-reported health behaviour assessment</w:t>
      </w:r>
    </w:p>
    <w:p w14:paraId="00000329" w14:textId="28593D7D" w:rsidR="00CB4215" w:rsidRDefault="000530B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Accurate assessment of health behaviours </w:t>
      </w:r>
      <w:r w:rsidR="00D76D1D">
        <w:rPr>
          <w:rFonts w:ascii="Times New Roman" w:eastAsia="Times New Roman" w:hAnsi="Times New Roman" w:cs="Times New Roman"/>
          <w:sz w:val="24"/>
          <w:szCs w:val="24"/>
          <w:highlight w:val="white"/>
        </w:rPr>
        <w:t xml:space="preserve">such as </w:t>
      </w:r>
      <w:r>
        <w:rPr>
          <w:rFonts w:ascii="Times New Roman" w:eastAsia="Times New Roman" w:hAnsi="Times New Roman" w:cs="Times New Roman"/>
          <w:sz w:val="24"/>
          <w:szCs w:val="24"/>
          <w:highlight w:val="white"/>
        </w:rPr>
        <w:t>dietary intake, physical activity and sleep</w:t>
      </w:r>
      <w:r w:rsidR="00D76D1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is essential for quality research. </w:t>
      </w:r>
      <w:r>
        <w:rPr>
          <w:rFonts w:ascii="Times New Roman" w:eastAsia="Times New Roman" w:hAnsi="Times New Roman" w:cs="Times New Roman"/>
          <w:sz w:val="24"/>
          <w:szCs w:val="24"/>
        </w:rPr>
        <w:t xml:space="preserve">However, one of the biggest challenges in the research is still the consistent and accurate assessment of health behaviour </w:t>
      </w:r>
      <w:hyperlink r:id="rId431">
        <w:r>
          <w:rPr>
            <w:rFonts w:ascii="Times New Roman" w:eastAsia="Times New Roman" w:hAnsi="Times New Roman" w:cs="Times New Roman"/>
            <w:sz w:val="24"/>
            <w:szCs w:val="24"/>
            <w:highlight w:val="white"/>
          </w:rPr>
          <w:t>(McClung et al., 2018)</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Dietary intake is traditionally determined by using self-report measures</w:t>
      </w:r>
      <w:r>
        <w:rPr>
          <w:rFonts w:ascii="Times New Roman" w:eastAsia="Times New Roman" w:hAnsi="Times New Roman" w:cs="Times New Roman"/>
          <w:sz w:val="24"/>
          <w:szCs w:val="24"/>
          <w:highlight w:val="white"/>
        </w:rPr>
        <w:t xml:space="preserve">, e.g., food frequency questionnaires (FFQs), diet records, and recalls </w:t>
      </w:r>
      <w:hyperlink r:id="rId432">
        <w:r>
          <w:rPr>
            <w:rFonts w:ascii="Times New Roman" w:eastAsia="Times New Roman" w:hAnsi="Times New Roman" w:cs="Times New Roman"/>
            <w:sz w:val="24"/>
            <w:szCs w:val="24"/>
            <w:highlight w:val="white"/>
          </w:rPr>
          <w:t>(Chen et al., 2014; O’Neil et al., 2014)</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These self-report measures have been found to underestimate energy intake, which is more common in people with obesity</w:t>
      </w:r>
      <w:r>
        <w:rPr>
          <w:rFonts w:ascii="Times New Roman" w:eastAsia="Times New Roman" w:hAnsi="Times New Roman" w:cs="Times New Roman"/>
          <w:sz w:val="24"/>
          <w:szCs w:val="24"/>
          <w:highlight w:val="white"/>
        </w:rPr>
        <w:t xml:space="preserve"> </w:t>
      </w:r>
      <w:hyperlink r:id="rId433">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Subar</w:t>
        </w:r>
        <w:proofErr w:type="spellEnd"/>
        <w:r>
          <w:rPr>
            <w:rFonts w:ascii="Times New Roman" w:eastAsia="Times New Roman" w:hAnsi="Times New Roman" w:cs="Times New Roman"/>
            <w:sz w:val="24"/>
            <w:szCs w:val="24"/>
            <w:highlight w:val="white"/>
          </w:rPr>
          <w:t xml:space="preserve"> et al., 2003; </w:t>
        </w:r>
        <w:proofErr w:type="spellStart"/>
        <w:r>
          <w:rPr>
            <w:rFonts w:ascii="Times New Roman" w:eastAsia="Times New Roman" w:hAnsi="Times New Roman" w:cs="Times New Roman"/>
            <w:sz w:val="24"/>
            <w:szCs w:val="24"/>
            <w:highlight w:val="white"/>
          </w:rPr>
          <w:t>Trabulsi</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Schoeller</w:t>
        </w:r>
        <w:proofErr w:type="spellEnd"/>
        <w:r>
          <w:rPr>
            <w:rFonts w:ascii="Times New Roman" w:eastAsia="Times New Roman" w:hAnsi="Times New Roman" w:cs="Times New Roman"/>
            <w:sz w:val="24"/>
            <w:szCs w:val="24"/>
            <w:highlight w:val="white"/>
          </w:rPr>
          <w:t xml:space="preserve"> 2001; Freedman et al., 2014)</w:t>
        </w:r>
      </w:hyperlink>
      <w:r>
        <w:rPr>
          <w:rFonts w:ascii="Times New Roman" w:eastAsia="Times New Roman" w:hAnsi="Times New Roman" w:cs="Times New Roman"/>
          <w:sz w:val="24"/>
          <w:szCs w:val="24"/>
          <w:highlight w:val="white"/>
        </w:rPr>
        <w:t xml:space="preserve">. However, </w:t>
      </w:r>
      <w:r>
        <w:rPr>
          <w:rFonts w:ascii="Times New Roman" w:eastAsia="Times New Roman" w:hAnsi="Times New Roman" w:cs="Times New Roman"/>
          <w:sz w:val="24"/>
          <w:szCs w:val="24"/>
        </w:rPr>
        <w:t>traditional measures of dietary intake</w:t>
      </w:r>
      <w:r>
        <w:rPr>
          <w:rFonts w:ascii="Times New Roman" w:eastAsia="Times New Roman" w:hAnsi="Times New Roman" w:cs="Times New Roman"/>
          <w:sz w:val="24"/>
          <w:szCs w:val="24"/>
          <w:highlight w:val="white"/>
        </w:rPr>
        <w:t xml:space="preserve"> (e.g., Food Frequency Questionnaire and dietary recalls) </w:t>
      </w:r>
      <w:r>
        <w:rPr>
          <w:rFonts w:ascii="Times New Roman" w:eastAsia="Times New Roman" w:hAnsi="Times New Roman" w:cs="Times New Roman"/>
          <w:sz w:val="24"/>
          <w:szCs w:val="24"/>
        </w:rPr>
        <w:t>are still the mainstay of the research field because of their low cost and familiarity.</w:t>
      </w:r>
      <w:r>
        <w:t xml:space="preserve"> </w:t>
      </w:r>
      <w:r>
        <w:rPr>
          <w:rFonts w:ascii="Times New Roman" w:eastAsia="Times New Roman" w:hAnsi="Times New Roman" w:cs="Times New Roman"/>
          <w:sz w:val="24"/>
          <w:szCs w:val="24"/>
        </w:rPr>
        <w:t>There is also a need for more objective measures that can provide the complex results that are required</w:t>
      </w:r>
      <w:r>
        <w:rPr>
          <w:rFonts w:ascii="Times New Roman" w:eastAsia="Times New Roman" w:hAnsi="Times New Roman" w:cs="Times New Roman"/>
          <w:sz w:val="24"/>
          <w:szCs w:val="24"/>
          <w:highlight w:val="white"/>
        </w:rPr>
        <w:t xml:space="preserve">. </w:t>
      </w:r>
    </w:p>
    <w:p w14:paraId="0000032A" w14:textId="77777777" w:rsidR="00CB4215" w:rsidRDefault="00CB4215">
      <w:pPr>
        <w:spacing w:line="480" w:lineRule="auto"/>
        <w:rPr>
          <w:rFonts w:ascii="Times New Roman" w:eastAsia="Times New Roman" w:hAnsi="Times New Roman" w:cs="Times New Roman"/>
          <w:sz w:val="24"/>
          <w:szCs w:val="24"/>
        </w:rPr>
      </w:pPr>
    </w:p>
    <w:p w14:paraId="0000032B" w14:textId="0D17F1FA"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physical activity could be assessed by self-report or device-based techniques</w:t>
      </w:r>
      <w:r>
        <w:rPr>
          <w:rFonts w:ascii="Times New Roman" w:eastAsia="Times New Roman" w:hAnsi="Times New Roman" w:cs="Times New Roman"/>
          <w:sz w:val="24"/>
          <w:szCs w:val="24"/>
          <w:highlight w:val="white"/>
        </w:rPr>
        <w:t xml:space="preserve"> </w:t>
      </w:r>
      <w:hyperlink r:id="rId434">
        <w:r>
          <w:rPr>
            <w:rFonts w:ascii="Times New Roman" w:eastAsia="Times New Roman" w:hAnsi="Times New Roman" w:cs="Times New Roman"/>
            <w:sz w:val="24"/>
            <w:szCs w:val="24"/>
            <w:highlight w:val="white"/>
          </w:rPr>
          <w:t>(Ainsworth et al., 2015; Bassett</w:t>
        </w:r>
        <w:r w:rsidR="002133E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2000)</w:t>
        </w:r>
      </w:hyperlink>
      <w:r>
        <w:rPr>
          <w:rFonts w:ascii="Times New Roman" w:eastAsia="Times New Roman" w:hAnsi="Times New Roman" w:cs="Times New Roman"/>
          <w:sz w:val="24"/>
          <w:szCs w:val="24"/>
          <w:highlight w:val="white"/>
        </w:rPr>
        <w:t xml:space="preserve">. Questionnaire-based measures of physical activity are the most widely used methods to assess free-living health behaviours, particularly in large-scale, because they are the most practical and cost-effective method </w:t>
      </w:r>
      <w:hyperlink r:id="rId435">
        <w:r>
          <w:rPr>
            <w:rFonts w:ascii="Times New Roman" w:eastAsia="Times New Roman" w:hAnsi="Times New Roman" w:cs="Times New Roman"/>
            <w:sz w:val="24"/>
            <w:szCs w:val="24"/>
            <w:highlight w:val="white"/>
          </w:rPr>
          <w:t>(Dishman</w:t>
        </w:r>
        <w:r w:rsidR="002133E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2001)</w:t>
        </w:r>
      </w:hyperlink>
      <w:r>
        <w:rPr>
          <w:rFonts w:ascii="Times New Roman" w:eastAsia="Times New Roman" w:hAnsi="Times New Roman" w:cs="Times New Roman"/>
          <w:sz w:val="24"/>
          <w:szCs w:val="24"/>
          <w:highlight w:val="white"/>
        </w:rPr>
        <w:t xml:space="preserve">. However, a systematic review of 173 studies </w:t>
      </w:r>
      <w:r>
        <w:rPr>
          <w:rFonts w:ascii="Times New Roman" w:eastAsia="Times New Roman" w:hAnsi="Times New Roman" w:cs="Times New Roman"/>
          <w:sz w:val="24"/>
          <w:szCs w:val="24"/>
        </w:rPr>
        <w:t xml:space="preserve">found that self-reported assessments of physical activity were either overestimated or underestimated compared to directly measured levels of physical activity </w:t>
      </w:r>
      <w:hyperlink r:id="rId436">
        <w:r>
          <w:rPr>
            <w:rFonts w:ascii="Times New Roman" w:eastAsia="Times New Roman" w:hAnsi="Times New Roman" w:cs="Times New Roman"/>
            <w:sz w:val="24"/>
            <w:szCs w:val="24"/>
            <w:highlight w:val="white"/>
          </w:rPr>
          <w:t>(Prince et al., 2008)</w:t>
        </w:r>
      </w:hyperlink>
      <w:r>
        <w:rPr>
          <w:rFonts w:ascii="Times New Roman" w:eastAsia="Times New Roman" w:hAnsi="Times New Roman" w:cs="Times New Roman"/>
          <w:sz w:val="24"/>
          <w:szCs w:val="24"/>
          <w:highlight w:val="white"/>
        </w:rPr>
        <w:t xml:space="preserve">. Due to the </w:t>
      </w:r>
      <w:r>
        <w:rPr>
          <w:rFonts w:ascii="Times New Roman" w:eastAsia="Times New Roman" w:hAnsi="Times New Roman" w:cs="Times New Roman"/>
          <w:sz w:val="24"/>
          <w:szCs w:val="24"/>
        </w:rPr>
        <w:t>drawbacks of questionnaire-based methods and the high cost and participant burden of direct observation and doubly-labelled water, accelerometery has become the preferred method for objective, valid, and reliable measurement in adults</w:t>
      </w:r>
      <w:r>
        <w:rPr>
          <w:rFonts w:ascii="Times New Roman" w:eastAsia="Times New Roman" w:hAnsi="Times New Roman" w:cs="Times New Roman"/>
          <w:sz w:val="24"/>
          <w:szCs w:val="24"/>
          <w:highlight w:val="white"/>
        </w:rPr>
        <w:t xml:space="preserve"> </w:t>
      </w:r>
      <w:hyperlink r:id="rId437">
        <w:r>
          <w:rPr>
            <w:rFonts w:ascii="Times New Roman" w:eastAsia="Times New Roman" w:hAnsi="Times New Roman" w:cs="Times New Roman"/>
            <w:sz w:val="24"/>
            <w:szCs w:val="24"/>
            <w:highlight w:val="white"/>
          </w:rPr>
          <w:t>(Welk n.d.)</w:t>
        </w:r>
      </w:hyperlink>
      <w:r>
        <w:rPr>
          <w:rFonts w:ascii="Times New Roman" w:eastAsia="Times New Roman" w:hAnsi="Times New Roman" w:cs="Times New Roman"/>
          <w:sz w:val="24"/>
          <w:szCs w:val="24"/>
          <w:highlight w:val="white"/>
        </w:rPr>
        <w:t xml:space="preserve">. Although objectively measured physical activity is considered </w:t>
      </w:r>
      <w:r>
        <w:rPr>
          <w:rFonts w:ascii="Times New Roman" w:eastAsia="Times New Roman" w:hAnsi="Times New Roman" w:cs="Times New Roman"/>
          <w:sz w:val="24"/>
          <w:szCs w:val="24"/>
        </w:rPr>
        <w:t>to be more accurate and less biased than self-reported measures</w:t>
      </w:r>
      <w:r>
        <w:rPr>
          <w:rFonts w:ascii="Times New Roman" w:eastAsia="Times New Roman" w:hAnsi="Times New Roman" w:cs="Times New Roman"/>
          <w:sz w:val="24"/>
          <w:szCs w:val="24"/>
          <w:highlight w:val="white"/>
        </w:rPr>
        <w:t xml:space="preserve"> </w:t>
      </w:r>
      <w:hyperlink r:id="rId438">
        <w:r>
          <w:rPr>
            <w:rFonts w:ascii="Times New Roman" w:eastAsia="Times New Roman" w:hAnsi="Times New Roman" w:cs="Times New Roman"/>
            <w:sz w:val="24"/>
            <w:szCs w:val="24"/>
            <w:highlight w:val="white"/>
          </w:rPr>
          <w:t>(Dowd et al., 2018; Shephard 2003)</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studies have documented several limitations, including the difficulty in capturing all activity types</w:t>
      </w:r>
      <w:r>
        <w:rPr>
          <w:rFonts w:ascii="Times New Roman" w:eastAsia="Times New Roman" w:hAnsi="Times New Roman" w:cs="Times New Roman"/>
          <w:sz w:val="24"/>
          <w:szCs w:val="24"/>
          <w:highlight w:val="white"/>
        </w:rPr>
        <w:t xml:space="preserve">, costly, </w:t>
      </w:r>
      <w:r>
        <w:rPr>
          <w:rFonts w:ascii="Times New Roman" w:eastAsia="Times New Roman" w:hAnsi="Times New Roman" w:cs="Times New Roman"/>
          <w:sz w:val="24"/>
          <w:szCs w:val="24"/>
        </w:rPr>
        <w:t>the burden on participants of wearing the device, and the possibility of high reactivity</w:t>
      </w:r>
      <w:r>
        <w:rPr>
          <w:rFonts w:ascii="Times New Roman" w:eastAsia="Times New Roman" w:hAnsi="Times New Roman" w:cs="Times New Roman"/>
          <w:sz w:val="24"/>
          <w:szCs w:val="24"/>
          <w:highlight w:val="white"/>
        </w:rPr>
        <w:t xml:space="preserve"> (e.g., the impact of wearing a pedometer on increased daily step count) </w:t>
      </w:r>
      <w:hyperlink r:id="rId439">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Silfee</w:t>
        </w:r>
        <w:proofErr w:type="spellEnd"/>
        <w:r>
          <w:rPr>
            <w:rFonts w:ascii="Times New Roman" w:eastAsia="Times New Roman" w:hAnsi="Times New Roman" w:cs="Times New Roman"/>
            <w:sz w:val="24"/>
            <w:szCs w:val="24"/>
            <w:highlight w:val="white"/>
          </w:rPr>
          <w:t xml:space="preserve"> et al., 2018)</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Given the convenience and the cost, the studies reported in this thesis used self-reported assessment of dietary intake, physical activity and sleep. </w:t>
      </w:r>
      <w:r>
        <w:rPr>
          <w:rFonts w:ascii="Times New Roman" w:eastAsia="Times New Roman" w:hAnsi="Times New Roman" w:cs="Times New Roman"/>
          <w:sz w:val="24"/>
          <w:szCs w:val="24"/>
          <w:highlight w:val="white"/>
        </w:rPr>
        <w:t>However, objective measurements of physical activity and sleep were also used in Study 2 (detail in section 3.7.3.2).</w:t>
      </w:r>
    </w:p>
    <w:p w14:paraId="0000032C" w14:textId="77777777" w:rsidR="00CB4215" w:rsidRDefault="00CB4215">
      <w:pPr>
        <w:spacing w:line="480" w:lineRule="auto"/>
        <w:rPr>
          <w:rFonts w:ascii="Times New Roman" w:eastAsia="Times New Roman" w:hAnsi="Times New Roman" w:cs="Times New Roman"/>
          <w:sz w:val="24"/>
          <w:szCs w:val="24"/>
        </w:rPr>
      </w:pPr>
    </w:p>
    <w:p w14:paraId="0000032D" w14:textId="77777777" w:rsidR="00CB4215" w:rsidRDefault="000530B4">
      <w:pPr>
        <w:pStyle w:val="Heading6"/>
        <w:spacing w:line="480" w:lineRule="auto"/>
        <w:rPr>
          <w:rFonts w:ascii="Times New Roman" w:eastAsia="Times New Roman" w:hAnsi="Times New Roman" w:cs="Times New Roman"/>
          <w:b/>
          <w:i w:val="0"/>
          <w:color w:val="000000"/>
          <w:sz w:val="24"/>
          <w:szCs w:val="24"/>
        </w:rPr>
      </w:pPr>
      <w:bookmarkStart w:id="61" w:name="_heading=h.3l18frh" w:colFirst="0" w:colLast="0"/>
      <w:bookmarkEnd w:id="61"/>
      <w:r>
        <w:rPr>
          <w:rFonts w:ascii="Times New Roman" w:eastAsia="Times New Roman" w:hAnsi="Times New Roman" w:cs="Times New Roman"/>
          <w:b/>
          <w:i w:val="0"/>
          <w:color w:val="000000"/>
          <w:sz w:val="24"/>
          <w:szCs w:val="24"/>
        </w:rPr>
        <w:t>3.7.3.1.1 Short-form Food Frequency Questionnaire (SFFFQ)</w:t>
      </w:r>
    </w:p>
    <w:p w14:paraId="0000032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Short-Form Food Frequency Questionnaire (SFFFQ) comprises 20 items to assess dietary quality. Respondents indicate their consumption frequency for each item on a scale ranging from 1 (rarely or never) to 8 (5+ times a day). The SFFFQ focuses on various food groups, including fruit, vegetables, fibre-rich foods, high-fat and high-sugar foods, meat, meat products and fish </w:t>
      </w:r>
      <w:hyperlink r:id="rId440">
        <w:r>
          <w:rPr>
            <w:rFonts w:ascii="Times New Roman" w:eastAsia="Times New Roman" w:hAnsi="Times New Roman" w:cs="Times New Roman"/>
            <w:sz w:val="24"/>
            <w:szCs w:val="24"/>
          </w:rPr>
          <w:t>(Cleghorn et al., 2016)</w:t>
        </w:r>
      </w:hyperlink>
      <w:r>
        <w:rPr>
          <w:rFonts w:ascii="Times New Roman" w:eastAsia="Times New Roman" w:hAnsi="Times New Roman" w:cs="Times New Roman"/>
          <w:sz w:val="24"/>
          <w:szCs w:val="24"/>
        </w:rPr>
        <w:t xml:space="preserve">. The Dietary Quality Score (DQS) is derived </w:t>
      </w:r>
      <w:r>
        <w:rPr>
          <w:rFonts w:ascii="Times New Roman" w:eastAsia="Times New Roman" w:hAnsi="Times New Roman" w:cs="Times New Roman"/>
          <w:sz w:val="24"/>
          <w:szCs w:val="24"/>
        </w:rPr>
        <w:lastRenderedPageBreak/>
        <w:t xml:space="preserve">from this questionnaire, encompassing intakes of fruit, vegetables, oily fish, fat, and non-milk extrinsic sugars. These five components are recognized as indicators of a healthy diet </w:t>
      </w:r>
      <w:hyperlink r:id="rId441">
        <w:r>
          <w:rPr>
            <w:rFonts w:ascii="Times New Roman" w:eastAsia="Times New Roman" w:hAnsi="Times New Roman" w:cs="Times New Roman"/>
            <w:sz w:val="24"/>
            <w:szCs w:val="24"/>
          </w:rPr>
          <w:t>(Who and Consultation 2003)</w:t>
        </w:r>
      </w:hyperlink>
      <w:r>
        <w:rPr>
          <w:rFonts w:ascii="Times New Roman" w:eastAsia="Times New Roman" w:hAnsi="Times New Roman" w:cs="Times New Roman"/>
          <w:sz w:val="24"/>
          <w:szCs w:val="24"/>
        </w:rPr>
        <w:t xml:space="preserve">. Scores of 1–3 are calculated for each component and the maximum score is 15 indicating optimum dietary intake for these foods. Previous research has shown the validity of the SFFFQ </w:t>
      </w:r>
      <w:hyperlink r:id="rId442">
        <w:r>
          <w:rPr>
            <w:rFonts w:ascii="Times New Roman" w:eastAsia="Times New Roman" w:hAnsi="Times New Roman" w:cs="Times New Roman"/>
            <w:sz w:val="24"/>
            <w:szCs w:val="24"/>
          </w:rPr>
          <w:t>(Baranowski et al., 1997; Block et al., 2000; Field et al., 1998)</w:t>
        </w:r>
      </w:hyperlink>
      <w:r>
        <w:rPr>
          <w:rFonts w:ascii="Times New Roman" w:eastAsia="Times New Roman" w:hAnsi="Times New Roman" w:cs="Times New Roman"/>
          <w:sz w:val="24"/>
          <w:szCs w:val="24"/>
        </w:rPr>
        <w:t>. In Study 1 and Study 2, the SFFFQ was used to explore the association between meal timing and dietary quality, as well as to compare dietary quality between early and late eaters.</w:t>
      </w:r>
    </w:p>
    <w:p w14:paraId="0000032F" w14:textId="77777777" w:rsidR="00CB4215" w:rsidRDefault="00CB4215">
      <w:pPr>
        <w:spacing w:line="480" w:lineRule="auto"/>
        <w:rPr>
          <w:rFonts w:ascii="Times New Roman" w:eastAsia="Times New Roman" w:hAnsi="Times New Roman" w:cs="Times New Roman"/>
          <w:sz w:val="24"/>
          <w:szCs w:val="24"/>
        </w:rPr>
      </w:pPr>
    </w:p>
    <w:p w14:paraId="00000330" w14:textId="77777777" w:rsidR="00CB4215" w:rsidRDefault="000530B4">
      <w:pPr>
        <w:pStyle w:val="Heading6"/>
        <w:spacing w:line="480" w:lineRule="auto"/>
        <w:rPr>
          <w:rFonts w:ascii="Times New Roman" w:eastAsia="Times New Roman" w:hAnsi="Times New Roman" w:cs="Times New Roman"/>
          <w:b/>
          <w:i w:val="0"/>
          <w:color w:val="000000"/>
          <w:sz w:val="24"/>
          <w:szCs w:val="24"/>
        </w:rPr>
      </w:pPr>
      <w:bookmarkStart w:id="62" w:name="_heading=h.206ipza" w:colFirst="0" w:colLast="0"/>
      <w:bookmarkEnd w:id="62"/>
      <w:r>
        <w:rPr>
          <w:rFonts w:ascii="Times New Roman" w:eastAsia="Times New Roman" w:hAnsi="Times New Roman" w:cs="Times New Roman"/>
          <w:b/>
          <w:i w:val="0"/>
          <w:color w:val="000000"/>
          <w:sz w:val="24"/>
          <w:szCs w:val="24"/>
        </w:rPr>
        <w:t>3.7.3.1.2 Sleep - Pittsburgh Sleep Quality Index (PSQI)</w:t>
      </w:r>
    </w:p>
    <w:p w14:paraId="00000331"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PSQI comprises 19 self-rated questions and five optional questions answered by a roommate to evaluate sleep quality. These 19 items are divided into seven component scores, weighed equally on a 0-3 scale, and then summed to have a total PSQI score. Higher scores suggest worse sleep quality </w:t>
      </w:r>
      <w:hyperlink r:id="rId44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Buysse</w:t>
        </w:r>
        <w:proofErr w:type="spellEnd"/>
        <w:r>
          <w:rPr>
            <w:rFonts w:ascii="Times New Roman" w:eastAsia="Times New Roman" w:hAnsi="Times New Roman" w:cs="Times New Roman"/>
            <w:sz w:val="24"/>
            <w:szCs w:val="24"/>
          </w:rPr>
          <w:t xml:space="preserve"> et al., 1989)</w:t>
        </w:r>
      </w:hyperlink>
      <w:r>
        <w:rPr>
          <w:rFonts w:ascii="Times New Roman" w:eastAsia="Times New Roman" w:hAnsi="Times New Roman" w:cs="Times New Roman"/>
          <w:sz w:val="24"/>
          <w:szCs w:val="24"/>
        </w:rPr>
        <w:t>. In Study 1, five questions were used to assess sleep habits: the time of going to bed and getting up, how long to fall asleep, how many hours of actual sleep and self-rated sleep quality overall. Study 2, conversely, incorporated all the PSQI questions to investigate the interrelation between sleep quality and meal timing, and to compare the sleep patterns of early and late eaters.</w:t>
      </w:r>
    </w:p>
    <w:p w14:paraId="00000332" w14:textId="77777777" w:rsidR="00CB4215" w:rsidRDefault="00CB4215">
      <w:pPr>
        <w:spacing w:line="480" w:lineRule="auto"/>
        <w:rPr>
          <w:rFonts w:ascii="Times New Roman" w:eastAsia="Times New Roman" w:hAnsi="Times New Roman" w:cs="Times New Roman"/>
          <w:sz w:val="24"/>
          <w:szCs w:val="24"/>
        </w:rPr>
      </w:pPr>
    </w:p>
    <w:p w14:paraId="00000333" w14:textId="77777777" w:rsidR="00CB4215" w:rsidRDefault="000530B4">
      <w:pPr>
        <w:pStyle w:val="Heading6"/>
        <w:spacing w:line="480" w:lineRule="auto"/>
        <w:rPr>
          <w:rFonts w:ascii="Times New Roman" w:eastAsia="Times New Roman" w:hAnsi="Times New Roman" w:cs="Times New Roman"/>
          <w:b/>
          <w:i w:val="0"/>
          <w:color w:val="000000"/>
          <w:sz w:val="24"/>
          <w:szCs w:val="24"/>
        </w:rPr>
      </w:pPr>
      <w:bookmarkStart w:id="63" w:name="_heading=h.4k668n3" w:colFirst="0" w:colLast="0"/>
      <w:bookmarkEnd w:id="63"/>
      <w:r>
        <w:rPr>
          <w:rFonts w:ascii="Times New Roman" w:eastAsia="Times New Roman" w:hAnsi="Times New Roman" w:cs="Times New Roman"/>
          <w:b/>
          <w:i w:val="0"/>
          <w:color w:val="000000"/>
          <w:sz w:val="24"/>
          <w:szCs w:val="24"/>
        </w:rPr>
        <w:t>3.7.3.1.3 Physical activity - single-item measure</w:t>
      </w:r>
    </w:p>
    <w:p w14:paraId="00000334"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single-item measure has been developed to represent a concise and practical approach to assessing physical activity levels. Participants reported the number of days they exercised for at least 30 minutes with a response scale of 0 to 7 on an 8-point scale </w:t>
      </w:r>
      <w:hyperlink r:id="rId444">
        <w:r>
          <w:rPr>
            <w:rFonts w:ascii="Times New Roman" w:eastAsia="Times New Roman" w:hAnsi="Times New Roman" w:cs="Times New Roman"/>
            <w:sz w:val="24"/>
            <w:szCs w:val="24"/>
          </w:rPr>
          <w:t>(Milton et al., 2013)</w:t>
        </w:r>
      </w:hyperlink>
      <w:r>
        <w:rPr>
          <w:rFonts w:ascii="Times New Roman" w:eastAsia="Times New Roman" w:hAnsi="Times New Roman" w:cs="Times New Roman"/>
          <w:sz w:val="24"/>
          <w:szCs w:val="24"/>
        </w:rPr>
        <w:t xml:space="preserve">. This single-item measure has high repeatability and moderately high validity in comparison with other self-report measures for physical activity assessment </w:t>
      </w:r>
      <w:hyperlink r:id="rId445">
        <w:r>
          <w:rPr>
            <w:rFonts w:ascii="Times New Roman" w:eastAsia="Times New Roman" w:hAnsi="Times New Roman" w:cs="Times New Roman"/>
            <w:sz w:val="24"/>
            <w:szCs w:val="24"/>
          </w:rPr>
          <w:t>(Milton et al., 2011)</w:t>
        </w:r>
      </w:hyperlink>
      <w:r>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lastRenderedPageBreak/>
        <w:t xml:space="preserve">Study 1 and Study 2, this single-item measure was used to evaluate and compare physical activity levels across different groups. </w:t>
      </w:r>
    </w:p>
    <w:p w14:paraId="00000335" w14:textId="77777777" w:rsidR="00CB4215" w:rsidRDefault="00CB4215">
      <w:pPr>
        <w:spacing w:line="480" w:lineRule="auto"/>
        <w:rPr>
          <w:rFonts w:ascii="Times New Roman" w:eastAsia="Times New Roman" w:hAnsi="Times New Roman" w:cs="Times New Roman"/>
          <w:sz w:val="24"/>
          <w:szCs w:val="24"/>
        </w:rPr>
      </w:pPr>
    </w:p>
    <w:p w14:paraId="00000336" w14:textId="77777777" w:rsidR="00CB4215" w:rsidRDefault="000530B4">
      <w:pPr>
        <w:pStyle w:val="Heading5"/>
        <w:spacing w:line="480" w:lineRule="auto"/>
        <w:rPr>
          <w:rFonts w:ascii="Times New Roman" w:eastAsia="Times New Roman" w:hAnsi="Times New Roman" w:cs="Times New Roman"/>
          <w:b/>
          <w:color w:val="000000"/>
          <w:sz w:val="24"/>
          <w:szCs w:val="24"/>
        </w:rPr>
      </w:pPr>
      <w:bookmarkStart w:id="64" w:name="_heading=h.2zbgiuw" w:colFirst="0" w:colLast="0"/>
      <w:bookmarkEnd w:id="64"/>
      <w:r>
        <w:rPr>
          <w:rFonts w:ascii="Times New Roman" w:eastAsia="Times New Roman" w:hAnsi="Times New Roman" w:cs="Times New Roman"/>
          <w:b/>
          <w:color w:val="000000"/>
          <w:sz w:val="24"/>
          <w:szCs w:val="24"/>
        </w:rPr>
        <w:t>3.7.3.2 Objective physical activity and sleep assessment</w:t>
      </w:r>
    </w:p>
    <w:p w14:paraId="00000337" w14:textId="3551AD3C" w:rsidR="00CB4215" w:rsidRDefault="000530B4">
      <w:pPr>
        <w:spacing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In order to</w:t>
      </w:r>
      <w:proofErr w:type="gramEnd"/>
      <w:r>
        <w:rPr>
          <w:rFonts w:ascii="Times New Roman" w:eastAsia="Times New Roman" w:hAnsi="Times New Roman" w:cs="Times New Roman"/>
          <w:sz w:val="24"/>
          <w:szCs w:val="24"/>
          <w:highlight w:val="white"/>
        </w:rPr>
        <w:t xml:space="preserve"> increase the accuracy of health behaviour measurement (e.g., physical activity and sleep), participants wore the accelerometers to measure 14-day physical activity (e.g., number of steps) and sleep (e.g., sleep efficiency) as shown in Figure 3.1. The data collected via accelerometers were also used to identify the differences between early and late evening eaters. </w:t>
      </w:r>
      <w:r>
        <w:rPr>
          <w:rFonts w:ascii="Times New Roman" w:eastAsia="Times New Roman" w:hAnsi="Times New Roman" w:cs="Times New Roman"/>
          <w:sz w:val="24"/>
          <w:szCs w:val="24"/>
        </w:rPr>
        <w:t xml:space="preserve">Accelerometers, which are small, lightweight and wearable with very low cost of operation and capable of assessing physical activity, have become increasingly popular as an objective approach to measuring daily physical activity, representing a significant improvement over self-report methods </w:t>
      </w:r>
      <w:hyperlink r:id="rId446">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Dencker</w:t>
        </w:r>
        <w:proofErr w:type="spellEnd"/>
        <w:r>
          <w:rPr>
            <w:rFonts w:ascii="Times New Roman" w:eastAsia="Times New Roman" w:hAnsi="Times New Roman" w:cs="Times New Roman"/>
            <w:sz w:val="24"/>
            <w:szCs w:val="24"/>
            <w:highlight w:val="white"/>
          </w:rPr>
          <w:t xml:space="preserve"> and Andersen</w:t>
        </w:r>
        <w:r w:rsidR="002133E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2011; Kohl et al., 2000; </w:t>
        </w:r>
        <w:proofErr w:type="spellStart"/>
        <w:r>
          <w:rPr>
            <w:rFonts w:ascii="Times New Roman" w:eastAsia="Times New Roman" w:hAnsi="Times New Roman" w:cs="Times New Roman"/>
            <w:sz w:val="24"/>
            <w:szCs w:val="24"/>
            <w:highlight w:val="white"/>
          </w:rPr>
          <w:t>Trost</w:t>
        </w:r>
        <w:proofErr w:type="spellEnd"/>
        <w:r w:rsidR="002133E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2001)</w:t>
        </w:r>
      </w:hyperlink>
      <w:r>
        <w:rPr>
          <w:rFonts w:ascii="Times New Roman" w:eastAsia="Times New Roman" w:hAnsi="Times New Roman" w:cs="Times New Roman"/>
          <w:sz w:val="24"/>
          <w:szCs w:val="24"/>
          <w:highlight w:val="white"/>
        </w:rPr>
        <w:t xml:space="preserve">. Previous research has also indicated that the accelerometer is a valid, non-invasive method of measuring physical activity under free-living conditions </w:t>
      </w:r>
      <w:hyperlink r:id="rId447">
        <w:r>
          <w:rPr>
            <w:rFonts w:ascii="Times New Roman" w:eastAsia="Times New Roman" w:hAnsi="Times New Roman" w:cs="Times New Roman"/>
            <w:sz w:val="24"/>
            <w:szCs w:val="24"/>
            <w:highlight w:val="white"/>
          </w:rPr>
          <w:t xml:space="preserve">(Jacobi et al., 2007; </w:t>
        </w:r>
        <w:proofErr w:type="spellStart"/>
        <w:r>
          <w:rPr>
            <w:rFonts w:ascii="Times New Roman" w:eastAsia="Times New Roman" w:hAnsi="Times New Roman" w:cs="Times New Roman"/>
            <w:sz w:val="24"/>
            <w:szCs w:val="24"/>
            <w:highlight w:val="white"/>
          </w:rPr>
          <w:t>Vanhelst</w:t>
        </w:r>
        <w:proofErr w:type="spellEnd"/>
        <w:r>
          <w:rPr>
            <w:rFonts w:ascii="Times New Roman" w:eastAsia="Times New Roman" w:hAnsi="Times New Roman" w:cs="Times New Roman"/>
            <w:sz w:val="24"/>
            <w:szCs w:val="24"/>
            <w:highlight w:val="white"/>
          </w:rPr>
          <w:t xml:space="preserve"> et al., 2012)</w:t>
        </w:r>
      </w:hyperlink>
      <w:r>
        <w:rPr>
          <w:rFonts w:ascii="Times New Roman" w:eastAsia="Times New Roman" w:hAnsi="Times New Roman" w:cs="Times New Roman"/>
          <w:sz w:val="24"/>
          <w:szCs w:val="24"/>
          <w:highlight w:val="white"/>
        </w:rPr>
        <w:t>. In study 2, sleep and physical activity were also assessed using questionnaires. The primary variable in this research was the data derived from the accelerometers and self-reported data served as a secondary measure, which could also facilitate a comprehensive analysis of the differences between early vs late eaters in both accelerometer-measured data and self-reported data.</w:t>
      </w:r>
    </w:p>
    <w:p w14:paraId="00000338" w14:textId="77777777" w:rsidR="00CB4215" w:rsidRDefault="000530B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507EC2A9" wp14:editId="29FEA909">
            <wp:extent cx="1020179" cy="1369368"/>
            <wp:effectExtent l="0" t="0" r="0" b="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48"/>
                    <a:srcRect/>
                    <a:stretch>
                      <a:fillRect/>
                    </a:stretch>
                  </pic:blipFill>
                  <pic:spPr>
                    <a:xfrm>
                      <a:off x="0" y="0"/>
                      <a:ext cx="1020179" cy="1369368"/>
                    </a:xfrm>
                    <a:prstGeom prst="rect">
                      <a:avLst/>
                    </a:prstGeom>
                    <a:ln/>
                  </pic:spPr>
                </pic:pic>
              </a:graphicData>
            </a:graphic>
          </wp:inline>
        </w:drawing>
      </w:r>
    </w:p>
    <w:p w14:paraId="00000339" w14:textId="77777777" w:rsidR="00CB4215" w:rsidRDefault="000530B4">
      <w:pPr>
        <w:pBdr>
          <w:top w:val="nil"/>
          <w:left w:val="nil"/>
          <w:bottom w:val="nil"/>
          <w:right w:val="nil"/>
          <w:between w:val="nil"/>
        </w:pBdr>
        <w:spacing w:after="200" w:line="240" w:lineRule="auto"/>
        <w:rPr>
          <w:rFonts w:ascii="Times New Roman" w:eastAsia="Times New Roman" w:hAnsi="Times New Roman" w:cs="Times New Roman"/>
          <w:color w:val="000000"/>
          <w:sz w:val="20"/>
          <w:szCs w:val="20"/>
        </w:rPr>
      </w:pPr>
      <w:bookmarkStart w:id="65" w:name="_heading=h.1egqt2p" w:colFirst="0" w:colLast="0"/>
      <w:bookmarkEnd w:id="65"/>
      <w:r>
        <w:rPr>
          <w:rFonts w:ascii="Times New Roman" w:eastAsia="Times New Roman" w:hAnsi="Times New Roman" w:cs="Times New Roman"/>
          <w:i/>
          <w:color w:val="000000"/>
          <w:sz w:val="20"/>
          <w:szCs w:val="20"/>
        </w:rPr>
        <w:t xml:space="preserve">Figure 3.1. </w:t>
      </w:r>
      <w:r>
        <w:rPr>
          <w:rFonts w:ascii="Times New Roman" w:eastAsia="Times New Roman" w:hAnsi="Times New Roman" w:cs="Times New Roman"/>
          <w:color w:val="000000"/>
          <w:sz w:val="20"/>
          <w:szCs w:val="20"/>
          <w:highlight w:val="white"/>
        </w:rPr>
        <w:t>Actigraphy Centrepoint Insight monitor</w:t>
      </w:r>
      <w:r>
        <w:rPr>
          <w:rFonts w:ascii="Times New Roman" w:eastAsia="Times New Roman" w:hAnsi="Times New Roman" w:cs="Times New Roman"/>
          <w:color w:val="000000"/>
          <w:sz w:val="20"/>
          <w:szCs w:val="20"/>
        </w:rPr>
        <w:t>.</w:t>
      </w:r>
    </w:p>
    <w:p w14:paraId="0000033A" w14:textId="77777777" w:rsidR="00CB4215" w:rsidRDefault="00CB4215"/>
    <w:p w14:paraId="0000033B" w14:textId="77777777" w:rsidR="00CB4215" w:rsidRDefault="000530B4">
      <w:pPr>
        <w:pStyle w:val="Heading4"/>
        <w:spacing w:line="480" w:lineRule="auto"/>
        <w:rPr>
          <w:rFonts w:ascii="Times New Roman" w:eastAsia="Times New Roman" w:hAnsi="Times New Roman" w:cs="Times New Roman"/>
          <w:b/>
          <w:color w:val="000000"/>
        </w:rPr>
      </w:pPr>
      <w:bookmarkStart w:id="66" w:name="_heading=h.3ygebqi" w:colFirst="0" w:colLast="0"/>
      <w:bookmarkEnd w:id="66"/>
      <w:r>
        <w:rPr>
          <w:rFonts w:ascii="Times New Roman" w:eastAsia="Times New Roman" w:hAnsi="Times New Roman" w:cs="Times New Roman"/>
          <w:b/>
          <w:color w:val="000000"/>
        </w:rPr>
        <w:lastRenderedPageBreak/>
        <w:t>3.7.4 Stress measurement</w:t>
      </w:r>
    </w:p>
    <w:p w14:paraId="0000033C" w14:textId="77777777" w:rsidR="00CB4215" w:rsidRDefault="000530B4">
      <w:pPr>
        <w:pStyle w:val="Heading5"/>
        <w:spacing w:line="480" w:lineRule="auto"/>
        <w:rPr>
          <w:rFonts w:ascii="Times New Roman" w:eastAsia="Times New Roman" w:hAnsi="Times New Roman" w:cs="Times New Roman"/>
          <w:b/>
          <w:color w:val="000000"/>
          <w:sz w:val="24"/>
          <w:szCs w:val="24"/>
        </w:rPr>
      </w:pPr>
      <w:bookmarkStart w:id="67" w:name="_heading=h.2dlolyb" w:colFirst="0" w:colLast="0"/>
      <w:bookmarkEnd w:id="67"/>
      <w:r>
        <w:rPr>
          <w:rFonts w:ascii="Times New Roman" w:eastAsia="Times New Roman" w:hAnsi="Times New Roman" w:cs="Times New Roman"/>
          <w:b/>
          <w:color w:val="000000"/>
          <w:sz w:val="24"/>
          <w:szCs w:val="24"/>
        </w:rPr>
        <w:t>3.7.4.1 Perceived stress - Perceived Stress Scale (PSS)</w:t>
      </w:r>
    </w:p>
    <w:p w14:paraId="0000033D" w14:textId="4385CAB6" w:rsidR="00CB4215" w:rsidRDefault="000530B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Perceived Stress Scale (PSS) measures the perception of stress and includes ten items, each scored on a 5-point Likert scale that ranges from 0 (Never) to 4 (Very Often), with higher scores indicating higher levels of perceived stress </w:t>
      </w:r>
      <w:hyperlink r:id="rId449">
        <w:r>
          <w:rPr>
            <w:rFonts w:ascii="Times New Roman" w:eastAsia="Times New Roman" w:hAnsi="Times New Roman" w:cs="Times New Roman"/>
            <w:sz w:val="24"/>
            <w:szCs w:val="24"/>
          </w:rPr>
          <w:t>(Cohen et al., 1994)</w:t>
        </w:r>
      </w:hyperlink>
      <w:r>
        <w:rPr>
          <w:rFonts w:ascii="Times New Roman" w:eastAsia="Times New Roman" w:hAnsi="Times New Roman" w:cs="Times New Roman"/>
          <w:sz w:val="24"/>
          <w:szCs w:val="24"/>
        </w:rPr>
        <w:t xml:space="preserve">. The PSS has been translated into numerous languages, e.g., Arabic </w:t>
      </w:r>
      <w:hyperlink r:id="rId45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Chaaya</w:t>
        </w:r>
        <w:proofErr w:type="spellEnd"/>
        <w:r>
          <w:rPr>
            <w:rFonts w:ascii="Times New Roman" w:eastAsia="Times New Roman" w:hAnsi="Times New Roman" w:cs="Times New Roman"/>
            <w:sz w:val="24"/>
            <w:szCs w:val="24"/>
          </w:rPr>
          <w:t xml:space="preserve"> et al., 2010)</w:t>
        </w:r>
      </w:hyperlink>
      <w:r>
        <w:rPr>
          <w:rFonts w:ascii="Times New Roman" w:eastAsia="Times New Roman" w:hAnsi="Times New Roman" w:cs="Times New Roman"/>
          <w:sz w:val="24"/>
          <w:szCs w:val="24"/>
        </w:rPr>
        <w:t xml:space="preserve">, Swedish </w:t>
      </w:r>
      <w:hyperlink r:id="rId45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Eskin</w:t>
        </w:r>
        <w:proofErr w:type="spellEnd"/>
        <w:r>
          <w:rPr>
            <w:rFonts w:ascii="Times New Roman" w:eastAsia="Times New Roman" w:hAnsi="Times New Roman" w:cs="Times New Roman"/>
            <w:sz w:val="24"/>
            <w:szCs w:val="24"/>
          </w:rPr>
          <w:t xml:space="preserve"> and Parr 1996)</w:t>
        </w:r>
      </w:hyperlink>
      <w:r>
        <w:rPr>
          <w:rFonts w:ascii="Times New Roman" w:eastAsia="Times New Roman" w:hAnsi="Times New Roman" w:cs="Times New Roman"/>
          <w:sz w:val="24"/>
          <w:szCs w:val="24"/>
        </w:rPr>
        <w:t xml:space="preserve">, Chinese </w:t>
      </w:r>
      <w:hyperlink r:id="rId452">
        <w:r>
          <w:rPr>
            <w:rFonts w:ascii="Times New Roman" w:eastAsia="Times New Roman" w:hAnsi="Times New Roman" w:cs="Times New Roman"/>
            <w:sz w:val="24"/>
            <w:szCs w:val="24"/>
          </w:rPr>
          <w:t>(Leung et al., 2010)</w:t>
        </w:r>
      </w:hyperlink>
      <w:r>
        <w:rPr>
          <w:rFonts w:ascii="Times New Roman" w:eastAsia="Times New Roman" w:hAnsi="Times New Roman" w:cs="Times New Roman"/>
          <w:sz w:val="24"/>
          <w:szCs w:val="24"/>
        </w:rPr>
        <w:t xml:space="preserve">, and Greece </w:t>
      </w:r>
      <w:hyperlink r:id="rId45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Andreou</w:t>
        </w:r>
        <w:proofErr w:type="spellEnd"/>
        <w:r>
          <w:rPr>
            <w:rFonts w:ascii="Times New Roman" w:eastAsia="Times New Roman" w:hAnsi="Times New Roman" w:cs="Times New Roman"/>
            <w:sz w:val="24"/>
            <w:szCs w:val="24"/>
          </w:rPr>
          <w:t xml:space="preserve"> et al., 2011)</w:t>
        </w:r>
      </w:hyperlink>
      <w:r>
        <w:rPr>
          <w:rFonts w:ascii="Times New Roman" w:eastAsia="Times New Roman" w:hAnsi="Times New Roman" w:cs="Times New Roman"/>
          <w:sz w:val="24"/>
          <w:szCs w:val="24"/>
        </w:rPr>
        <w:t xml:space="preserve">, and has consistently demonstrated good internal and external validity. </w:t>
      </w:r>
      <w:r>
        <w:rPr>
          <w:rFonts w:ascii="Times New Roman" w:eastAsia="Times New Roman" w:hAnsi="Times New Roman" w:cs="Times New Roman"/>
          <w:sz w:val="24"/>
          <w:szCs w:val="24"/>
          <w:highlight w:val="white"/>
        </w:rPr>
        <w:t xml:space="preserve">Early evidence indicated that perceived stress was related to irregular meal planning and increased emotional eating, leading to an increased risk of susceptibility to overconsumption in a community-based sample of African Americans </w:t>
      </w:r>
      <w:hyperlink r:id="rId454">
        <w:r>
          <w:rPr>
            <w:rFonts w:ascii="Times New Roman" w:eastAsia="Times New Roman" w:hAnsi="Times New Roman" w:cs="Times New Roman"/>
            <w:sz w:val="24"/>
            <w:szCs w:val="24"/>
            <w:highlight w:val="white"/>
          </w:rPr>
          <w:t>(Sims et al., 2008)</w:t>
        </w:r>
      </w:hyperlink>
      <w:r>
        <w:rPr>
          <w:rFonts w:ascii="Times New Roman" w:eastAsia="Times New Roman" w:hAnsi="Times New Roman" w:cs="Times New Roman"/>
          <w:sz w:val="24"/>
          <w:szCs w:val="24"/>
          <w:highlight w:val="white"/>
        </w:rPr>
        <w:t xml:space="preserve">. Furthermore, in an observational study, </w:t>
      </w:r>
      <w:proofErr w:type="gramStart"/>
      <w:r>
        <w:rPr>
          <w:rFonts w:ascii="Times New Roman" w:eastAsia="Times New Roman" w:hAnsi="Times New Roman" w:cs="Times New Roman"/>
          <w:sz w:val="24"/>
          <w:szCs w:val="24"/>
          <w:highlight w:val="white"/>
        </w:rPr>
        <w:t>Huh</w:t>
      </w:r>
      <w:proofErr w:type="gramEnd"/>
      <w:r>
        <w:rPr>
          <w:rFonts w:ascii="Times New Roman" w:eastAsia="Times New Roman" w:hAnsi="Times New Roman" w:cs="Times New Roman"/>
          <w:sz w:val="24"/>
          <w:szCs w:val="24"/>
          <w:highlight w:val="white"/>
        </w:rPr>
        <w:t xml:space="preserve"> et al. (2015) observed that perceived stress and the levels of hunger were especially </w:t>
      </w:r>
      <w:r>
        <w:rPr>
          <w:rFonts w:ascii="Times New Roman" w:eastAsia="Times New Roman" w:hAnsi="Times New Roman" w:cs="Times New Roman"/>
          <w:sz w:val="24"/>
          <w:szCs w:val="24"/>
        </w:rPr>
        <w:t>higher in the late afternoon and evening hours</w:t>
      </w:r>
      <w:r>
        <w:rPr>
          <w:rFonts w:ascii="Times New Roman" w:eastAsia="Times New Roman" w:hAnsi="Times New Roman" w:cs="Times New Roman"/>
          <w:sz w:val="24"/>
          <w:szCs w:val="24"/>
          <w:highlight w:val="white"/>
        </w:rPr>
        <w:t xml:space="preserve">. The scale was used in the studies to explore associations between meal timing and perceived stress and to compare group differences. </w:t>
      </w:r>
    </w:p>
    <w:p w14:paraId="7EBE7571" w14:textId="77777777" w:rsidR="00D82D2D" w:rsidRDefault="00D82D2D">
      <w:pPr>
        <w:spacing w:line="480" w:lineRule="auto"/>
        <w:rPr>
          <w:rFonts w:ascii="Times New Roman" w:eastAsia="Times New Roman" w:hAnsi="Times New Roman" w:cs="Times New Roman"/>
          <w:sz w:val="24"/>
          <w:szCs w:val="24"/>
          <w:highlight w:val="white"/>
        </w:rPr>
      </w:pPr>
    </w:p>
    <w:p w14:paraId="0000033E" w14:textId="77777777" w:rsidR="00CB4215" w:rsidRDefault="000530B4">
      <w:pPr>
        <w:pStyle w:val="Heading3"/>
        <w:spacing w:line="480" w:lineRule="auto"/>
        <w:rPr>
          <w:rFonts w:ascii="Times New Roman" w:eastAsia="Times New Roman" w:hAnsi="Times New Roman" w:cs="Times New Roman"/>
          <w:b/>
          <w:color w:val="000000"/>
          <w:highlight w:val="white"/>
        </w:rPr>
      </w:pPr>
      <w:bookmarkStart w:id="68" w:name="_Toc172984795"/>
      <w:r>
        <w:rPr>
          <w:rFonts w:ascii="Times New Roman" w:eastAsia="Times New Roman" w:hAnsi="Times New Roman" w:cs="Times New Roman"/>
          <w:b/>
          <w:color w:val="000000"/>
          <w:highlight w:val="white"/>
        </w:rPr>
        <w:t>3.8 Height, weight and BMI</w:t>
      </w:r>
      <w:bookmarkEnd w:id="68"/>
      <w:r>
        <w:rPr>
          <w:rFonts w:ascii="Times New Roman" w:eastAsia="Times New Roman" w:hAnsi="Times New Roman" w:cs="Times New Roman"/>
          <w:b/>
          <w:color w:val="000000"/>
          <w:highlight w:val="white"/>
        </w:rPr>
        <w:t xml:space="preserve"> </w:t>
      </w:r>
    </w:p>
    <w:p w14:paraId="0000033F" w14:textId="6C231708" w:rsidR="00CB4215" w:rsidRDefault="000530B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study 1, participants self-reported height and weight. </w:t>
      </w:r>
      <w:r>
        <w:rPr>
          <w:rFonts w:ascii="Times New Roman" w:eastAsia="Times New Roman" w:hAnsi="Times New Roman" w:cs="Times New Roman"/>
          <w:sz w:val="24"/>
          <w:szCs w:val="24"/>
        </w:rPr>
        <w:t xml:space="preserve">However, self-report measures are prone to misreporting. Specifically, there is a higher probability of overestimating height and a higher probability of underestimating weight </w:t>
      </w:r>
      <w:hyperlink r:id="rId455">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Ambwani</w:t>
        </w:r>
        <w:proofErr w:type="spellEnd"/>
        <w:r>
          <w:rPr>
            <w:rFonts w:ascii="Times New Roman" w:eastAsia="Times New Roman" w:hAnsi="Times New Roman" w:cs="Times New Roman"/>
            <w:sz w:val="24"/>
            <w:szCs w:val="24"/>
            <w:highlight w:val="white"/>
          </w:rPr>
          <w:t xml:space="preserve"> and Chmielewski</w:t>
        </w:r>
        <w:r w:rsidR="002133E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2013; Connor </w:t>
        </w:r>
        <w:proofErr w:type="spellStart"/>
        <w:r>
          <w:rPr>
            <w:rFonts w:ascii="Times New Roman" w:eastAsia="Times New Roman" w:hAnsi="Times New Roman" w:cs="Times New Roman"/>
            <w:sz w:val="24"/>
            <w:szCs w:val="24"/>
            <w:highlight w:val="white"/>
          </w:rPr>
          <w:t>Gorber</w:t>
        </w:r>
        <w:proofErr w:type="spellEnd"/>
        <w:r>
          <w:rPr>
            <w:rFonts w:ascii="Times New Roman" w:eastAsia="Times New Roman" w:hAnsi="Times New Roman" w:cs="Times New Roman"/>
            <w:sz w:val="24"/>
            <w:szCs w:val="24"/>
            <w:highlight w:val="white"/>
          </w:rPr>
          <w:t xml:space="preserve"> et al., 2007)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In addition, people living with obesity are more likely to report their weight and height inaccurately </w:t>
      </w:r>
      <w:hyperlink r:id="rId456">
        <w:r>
          <w:rPr>
            <w:rFonts w:ascii="Times New Roman" w:eastAsia="Times New Roman" w:hAnsi="Times New Roman" w:cs="Times New Roman"/>
            <w:sz w:val="24"/>
            <w:szCs w:val="24"/>
            <w:highlight w:val="white"/>
          </w:rPr>
          <w:t xml:space="preserve">(Nawaz et al., 2001; </w:t>
        </w:r>
        <w:proofErr w:type="spellStart"/>
        <w:r>
          <w:rPr>
            <w:rFonts w:ascii="Times New Roman" w:eastAsia="Times New Roman" w:hAnsi="Times New Roman" w:cs="Times New Roman"/>
            <w:sz w:val="24"/>
            <w:szCs w:val="24"/>
            <w:highlight w:val="white"/>
          </w:rPr>
          <w:t>Ziebland</w:t>
        </w:r>
        <w:proofErr w:type="spellEnd"/>
        <w:r>
          <w:rPr>
            <w:rFonts w:ascii="Times New Roman" w:eastAsia="Times New Roman" w:hAnsi="Times New Roman" w:cs="Times New Roman"/>
            <w:sz w:val="24"/>
            <w:szCs w:val="24"/>
            <w:highlight w:val="white"/>
          </w:rPr>
          <w:t xml:space="preserve"> et al., 1996)</w:t>
        </w:r>
      </w:hyperlink>
      <w:r>
        <w:rPr>
          <w:rFonts w:ascii="Times New Roman" w:eastAsia="Times New Roman" w:hAnsi="Times New Roman" w:cs="Times New Roman"/>
          <w:sz w:val="24"/>
          <w:szCs w:val="24"/>
          <w:highlight w:val="white"/>
        </w:rPr>
        <w:t xml:space="preserve">. Therefore, weight and height were assessed by the researcher in study 2 to enhance the accuracy of these measurements. </w:t>
      </w:r>
      <w:r>
        <w:rPr>
          <w:rFonts w:ascii="Times New Roman" w:eastAsia="Times New Roman" w:hAnsi="Times New Roman" w:cs="Times New Roman"/>
          <w:sz w:val="24"/>
          <w:szCs w:val="24"/>
        </w:rPr>
        <w:t>Height was measured to the nearest cm using a stadiometer and weight to the nearest 0.1 kg using a digital scale</w:t>
      </w:r>
      <w:r>
        <w:rPr>
          <w:rFonts w:ascii="Times New Roman" w:eastAsia="Times New Roman" w:hAnsi="Times New Roman" w:cs="Times New Roman"/>
          <w:sz w:val="24"/>
          <w:szCs w:val="24"/>
          <w:highlight w:val="white"/>
        </w:rPr>
        <w:t xml:space="preserve"> without shoes and heavy clothes. BMI was calculated </w:t>
      </w:r>
      <w:r>
        <w:rPr>
          <w:rFonts w:ascii="Times New Roman" w:eastAsia="Times New Roman" w:hAnsi="Times New Roman" w:cs="Times New Roman"/>
          <w:sz w:val="24"/>
          <w:szCs w:val="24"/>
          <w:highlight w:val="white"/>
        </w:rPr>
        <w:lastRenderedPageBreak/>
        <w:t>according to the formula [weight (kg)/height (m)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BMI is the </w:t>
      </w:r>
      <w:proofErr w:type="gramStart"/>
      <w:r>
        <w:rPr>
          <w:rFonts w:ascii="Times New Roman" w:eastAsia="Times New Roman" w:hAnsi="Times New Roman" w:cs="Times New Roman"/>
          <w:sz w:val="24"/>
          <w:szCs w:val="24"/>
        </w:rPr>
        <w:t>most commonly used</w:t>
      </w:r>
      <w:proofErr w:type="gramEnd"/>
      <w:r>
        <w:rPr>
          <w:rFonts w:ascii="Times New Roman" w:eastAsia="Times New Roman" w:hAnsi="Times New Roman" w:cs="Times New Roman"/>
          <w:sz w:val="24"/>
          <w:szCs w:val="24"/>
        </w:rPr>
        <w:t xml:space="preserve"> measure of obesity</w:t>
      </w:r>
      <w:r>
        <w:rPr>
          <w:rFonts w:ascii="Times New Roman" w:eastAsia="Times New Roman" w:hAnsi="Times New Roman" w:cs="Times New Roman"/>
          <w:sz w:val="24"/>
          <w:szCs w:val="24"/>
          <w:highlight w:val="white"/>
        </w:rPr>
        <w:t xml:space="preserve"> </w:t>
      </w:r>
      <w:hyperlink r:id="rId457">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Adab</w:t>
        </w:r>
        <w:proofErr w:type="spellEnd"/>
        <w:r>
          <w:rPr>
            <w:rFonts w:ascii="Times New Roman" w:eastAsia="Times New Roman" w:hAnsi="Times New Roman" w:cs="Times New Roman"/>
            <w:sz w:val="24"/>
            <w:szCs w:val="24"/>
            <w:highlight w:val="white"/>
          </w:rPr>
          <w:t xml:space="preserve"> et al., 2018)</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There has been controversy about the accuracy of BMI, as it can be influenced by the presence of muscle mass </w:t>
      </w:r>
      <w:hyperlink r:id="rId458">
        <w:r>
          <w:rPr>
            <w:rFonts w:ascii="Times New Roman" w:eastAsia="Times New Roman" w:hAnsi="Times New Roman" w:cs="Times New Roman"/>
            <w:sz w:val="24"/>
            <w:szCs w:val="24"/>
            <w:highlight w:val="white"/>
          </w:rPr>
          <w:t xml:space="preserve">(Prentice and </w:t>
        </w:r>
        <w:proofErr w:type="spellStart"/>
        <w:r>
          <w:rPr>
            <w:rFonts w:ascii="Times New Roman" w:eastAsia="Times New Roman" w:hAnsi="Times New Roman" w:cs="Times New Roman"/>
            <w:sz w:val="24"/>
            <w:szCs w:val="24"/>
            <w:highlight w:val="white"/>
          </w:rPr>
          <w:t>Jebb</w:t>
        </w:r>
        <w:proofErr w:type="spellEnd"/>
        <w:r w:rsidR="002133E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2001)</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Therefore, it has been suggested that other indicators, such as waist circumference, should be used to </w:t>
      </w:r>
      <w:proofErr w:type="gramStart"/>
      <w:r>
        <w:rPr>
          <w:rFonts w:ascii="Times New Roman" w:eastAsia="Times New Roman" w:hAnsi="Times New Roman" w:cs="Times New Roman"/>
          <w:sz w:val="24"/>
          <w:szCs w:val="24"/>
        </w:rPr>
        <w:t>more accurately identify</w:t>
      </w:r>
      <w:proofErr w:type="gramEnd"/>
      <w:r>
        <w:rPr>
          <w:rFonts w:ascii="Times New Roman" w:eastAsia="Times New Roman" w:hAnsi="Times New Roman" w:cs="Times New Roman"/>
          <w:sz w:val="24"/>
          <w:szCs w:val="24"/>
        </w:rPr>
        <w:t xml:space="preserve"> overweight and obesity </w:t>
      </w:r>
      <w:hyperlink r:id="rId459">
        <w:r>
          <w:rPr>
            <w:rFonts w:ascii="Times New Roman" w:eastAsia="Times New Roman" w:hAnsi="Times New Roman" w:cs="Times New Roman"/>
            <w:sz w:val="24"/>
            <w:szCs w:val="24"/>
            <w:highlight w:val="white"/>
          </w:rPr>
          <w:t>(Janssen et al., 2004)</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Although BMI may not be completely accurate, it has been shown to be a reliable indicator of body fat </w:t>
      </w:r>
      <w:hyperlink r:id="rId460">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Flegal</w:t>
        </w:r>
        <w:proofErr w:type="spellEnd"/>
        <w:r>
          <w:rPr>
            <w:rFonts w:ascii="Times New Roman" w:eastAsia="Times New Roman" w:hAnsi="Times New Roman" w:cs="Times New Roman"/>
            <w:sz w:val="24"/>
            <w:szCs w:val="24"/>
            <w:highlight w:val="white"/>
          </w:rPr>
          <w:t xml:space="preserve"> et al., 2009)</w:t>
        </w:r>
      </w:hyperlink>
      <w:r>
        <w:rPr>
          <w:rFonts w:ascii="Times New Roman" w:eastAsia="Times New Roman" w:hAnsi="Times New Roman" w:cs="Times New Roman"/>
          <w:sz w:val="24"/>
          <w:szCs w:val="24"/>
          <w:highlight w:val="white"/>
        </w:rPr>
        <w:t>. Therefore, BMI was used in the studies reported in this thesis. The aims of study 3 were to explore the reasons for late evening eating and barriers and enablers to changing to earlier evening eating in adults living with overweight and obesity instead of quantitative data analysis. Therefore, in study 3 participants self-reported height and weight via online questionnaire for eligibility screening.</w:t>
      </w:r>
    </w:p>
    <w:p w14:paraId="00000340" w14:textId="77777777" w:rsidR="00CB4215" w:rsidRDefault="00CB4215">
      <w:pPr>
        <w:spacing w:line="480" w:lineRule="auto"/>
        <w:rPr>
          <w:rFonts w:ascii="Times New Roman" w:eastAsia="Times New Roman" w:hAnsi="Times New Roman" w:cs="Times New Roman"/>
          <w:sz w:val="24"/>
          <w:szCs w:val="24"/>
          <w:highlight w:val="white"/>
        </w:rPr>
      </w:pPr>
    </w:p>
    <w:p w14:paraId="00000341" w14:textId="77777777" w:rsidR="00CB4215" w:rsidRDefault="000530B4">
      <w:pPr>
        <w:pStyle w:val="Heading3"/>
        <w:spacing w:line="480" w:lineRule="auto"/>
        <w:rPr>
          <w:rFonts w:ascii="Times New Roman" w:eastAsia="Times New Roman" w:hAnsi="Times New Roman" w:cs="Times New Roman"/>
          <w:b/>
          <w:color w:val="000000"/>
          <w:highlight w:val="white"/>
        </w:rPr>
      </w:pPr>
      <w:bookmarkStart w:id="69" w:name="_Toc172984796"/>
      <w:r>
        <w:rPr>
          <w:rFonts w:ascii="Times New Roman" w:eastAsia="Times New Roman" w:hAnsi="Times New Roman" w:cs="Times New Roman"/>
          <w:b/>
          <w:color w:val="000000"/>
          <w:highlight w:val="white"/>
        </w:rPr>
        <w:t>3.9 Online surveys</w:t>
      </w:r>
      <w:bookmarkEnd w:id="69"/>
    </w:p>
    <w:p w14:paraId="00000342" w14:textId="77B137CD" w:rsidR="00CB4215" w:rsidRPr="00D03B56"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Online surveys were used to collect demographic information and included psychometric measures to </w:t>
      </w:r>
      <w:r>
        <w:rPr>
          <w:rFonts w:ascii="Times New Roman" w:eastAsia="Times New Roman" w:hAnsi="Times New Roman" w:cs="Times New Roman"/>
          <w:sz w:val="24"/>
          <w:szCs w:val="24"/>
        </w:rPr>
        <w:t>assess</w:t>
      </w:r>
      <w:r>
        <w:rPr>
          <w:rFonts w:ascii="Times New Roman" w:eastAsia="Times New Roman" w:hAnsi="Times New Roman" w:cs="Times New Roman"/>
          <w:sz w:val="24"/>
          <w:szCs w:val="24"/>
          <w:highlight w:val="white"/>
        </w:rPr>
        <w:t xml:space="preserve"> individual differences in the studies reported in this thesis. However, there are some limitations associated with </w:t>
      </w:r>
      <w:r w:rsidRPr="00D03B56">
        <w:rPr>
          <w:rFonts w:ascii="Times New Roman" w:eastAsia="Times New Roman" w:hAnsi="Times New Roman" w:cs="Times New Roman"/>
          <w:sz w:val="24"/>
          <w:szCs w:val="24"/>
        </w:rPr>
        <w:t xml:space="preserve">online surveys. Firstly, online surveys are only completed by respondents who </w:t>
      </w:r>
      <w:proofErr w:type="gramStart"/>
      <w:r w:rsidRPr="00D03B56">
        <w:rPr>
          <w:rFonts w:ascii="Times New Roman" w:eastAsia="Times New Roman" w:hAnsi="Times New Roman" w:cs="Times New Roman"/>
          <w:sz w:val="24"/>
          <w:szCs w:val="24"/>
        </w:rPr>
        <w:t>are able to</w:t>
      </w:r>
      <w:proofErr w:type="gramEnd"/>
      <w:r w:rsidRPr="00D03B56">
        <w:rPr>
          <w:rFonts w:ascii="Times New Roman" w:eastAsia="Times New Roman" w:hAnsi="Times New Roman" w:cs="Times New Roman"/>
          <w:sz w:val="24"/>
          <w:szCs w:val="24"/>
        </w:rPr>
        <w:t xml:space="preserve"> access the internet and the willingness to take the time to do the survey, which could result in a biased sample. Secondly, there is a need to validate psychometric questionnaires designed to assess eating behaviour traits especially for online testing </w:t>
      </w:r>
      <w:hyperlink r:id="rId461">
        <w:r w:rsidRPr="00D03B56">
          <w:rPr>
            <w:rFonts w:ascii="Times New Roman" w:eastAsia="Times New Roman" w:hAnsi="Times New Roman" w:cs="Times New Roman"/>
            <w:sz w:val="24"/>
            <w:szCs w:val="24"/>
          </w:rPr>
          <w:t>(Birnbaum</w:t>
        </w:r>
        <w:r w:rsidR="002133EE" w:rsidRPr="00D03B56">
          <w:rPr>
            <w:rFonts w:ascii="Times New Roman" w:eastAsia="Times New Roman" w:hAnsi="Times New Roman" w:cs="Times New Roman"/>
            <w:sz w:val="24"/>
            <w:szCs w:val="24"/>
          </w:rPr>
          <w:t>,</w:t>
        </w:r>
        <w:r w:rsidRPr="00D03B56">
          <w:rPr>
            <w:rFonts w:ascii="Times New Roman" w:eastAsia="Times New Roman" w:hAnsi="Times New Roman" w:cs="Times New Roman"/>
            <w:sz w:val="24"/>
            <w:szCs w:val="24"/>
          </w:rPr>
          <w:t xml:space="preserve"> 2000</w:t>
        </w:r>
        <w:r w:rsidR="002A46D7" w:rsidRPr="00D03B56">
          <w:rPr>
            <w:rFonts w:ascii="Times New Roman" w:eastAsia="Times New Roman" w:hAnsi="Times New Roman" w:cs="Times New Roman"/>
            <w:sz w:val="24"/>
            <w:szCs w:val="24"/>
          </w:rPr>
          <w:t>; Buchanan and Smith, 1999</w:t>
        </w:r>
        <w:r w:rsidRPr="00D03B56">
          <w:rPr>
            <w:rFonts w:ascii="Times New Roman" w:eastAsia="Times New Roman" w:hAnsi="Times New Roman" w:cs="Times New Roman"/>
            <w:sz w:val="24"/>
            <w:szCs w:val="24"/>
          </w:rPr>
          <w:t>)</w:t>
        </w:r>
      </w:hyperlink>
      <w:r w:rsidRPr="00D03B56">
        <w:rPr>
          <w:rFonts w:ascii="Times New Roman" w:eastAsia="Times New Roman" w:hAnsi="Times New Roman" w:cs="Times New Roman"/>
          <w:sz w:val="24"/>
          <w:szCs w:val="24"/>
        </w:rPr>
        <w:t xml:space="preserve">. However, although the drawbacks of online surveys, online surveys are becoming increasingly popular and commonly used for academic studies </w:t>
      </w:r>
      <w:hyperlink r:id="rId462">
        <w:r w:rsidRPr="00D03B56">
          <w:rPr>
            <w:rFonts w:ascii="Times New Roman" w:eastAsia="Times New Roman" w:hAnsi="Times New Roman" w:cs="Times New Roman"/>
            <w:sz w:val="24"/>
            <w:szCs w:val="24"/>
          </w:rPr>
          <w:t xml:space="preserve">(Buchanan and </w:t>
        </w:r>
        <w:proofErr w:type="spellStart"/>
        <w:r w:rsidRPr="00D03B56">
          <w:rPr>
            <w:rFonts w:ascii="Times New Roman" w:eastAsia="Times New Roman" w:hAnsi="Times New Roman" w:cs="Times New Roman"/>
            <w:sz w:val="24"/>
            <w:szCs w:val="24"/>
          </w:rPr>
          <w:t>Hvizdak</w:t>
        </w:r>
        <w:proofErr w:type="spellEnd"/>
        <w:r w:rsidR="002133EE" w:rsidRPr="00D03B56">
          <w:rPr>
            <w:rFonts w:ascii="Times New Roman" w:eastAsia="Times New Roman" w:hAnsi="Times New Roman" w:cs="Times New Roman"/>
            <w:sz w:val="24"/>
            <w:szCs w:val="24"/>
          </w:rPr>
          <w:t>,</w:t>
        </w:r>
        <w:r w:rsidRPr="00D03B56">
          <w:rPr>
            <w:rFonts w:ascii="Times New Roman" w:eastAsia="Times New Roman" w:hAnsi="Times New Roman" w:cs="Times New Roman"/>
            <w:sz w:val="24"/>
            <w:szCs w:val="24"/>
          </w:rPr>
          <w:t xml:space="preserve"> 2009)</w:t>
        </w:r>
      </w:hyperlink>
      <w:r w:rsidRPr="00D03B56">
        <w:rPr>
          <w:rFonts w:ascii="Times New Roman" w:eastAsia="Times New Roman" w:hAnsi="Times New Roman" w:cs="Times New Roman"/>
          <w:sz w:val="24"/>
          <w:szCs w:val="24"/>
        </w:rPr>
        <w:t xml:space="preserve">. Online surveys not only offer the possibility of obtaining large sample sizes but are also timesaving, because data is collected electronically and can be promptly exported into statistical programmes, thereby, </w:t>
      </w:r>
      <w:r w:rsidRPr="00D03B56">
        <w:rPr>
          <w:rFonts w:ascii="Times New Roman" w:eastAsia="Times New Roman" w:hAnsi="Times New Roman" w:cs="Times New Roman"/>
          <w:sz w:val="24"/>
          <w:szCs w:val="24"/>
        </w:rPr>
        <w:lastRenderedPageBreak/>
        <w:t xml:space="preserve">minimizing likelihood of data entry errors </w:t>
      </w:r>
      <w:hyperlink r:id="rId463">
        <w:r w:rsidRPr="00D03B56">
          <w:rPr>
            <w:rFonts w:ascii="Times New Roman" w:eastAsia="Times New Roman" w:hAnsi="Times New Roman" w:cs="Times New Roman"/>
            <w:sz w:val="24"/>
            <w:szCs w:val="24"/>
          </w:rPr>
          <w:t>(Schmidt</w:t>
        </w:r>
        <w:r w:rsidR="002A46D7" w:rsidRPr="00D03B56">
          <w:rPr>
            <w:rFonts w:ascii="Times New Roman" w:eastAsia="Times New Roman" w:hAnsi="Times New Roman" w:cs="Times New Roman"/>
            <w:sz w:val="24"/>
            <w:szCs w:val="24"/>
          </w:rPr>
          <w:t>,</w:t>
        </w:r>
        <w:r w:rsidRPr="00D03B56">
          <w:rPr>
            <w:rFonts w:ascii="Times New Roman" w:eastAsia="Times New Roman" w:hAnsi="Times New Roman" w:cs="Times New Roman"/>
            <w:sz w:val="24"/>
            <w:szCs w:val="24"/>
          </w:rPr>
          <w:t xml:space="preserve"> 1997).</w:t>
        </w:r>
      </w:hyperlink>
      <w:r w:rsidRPr="00D03B56">
        <w:rPr>
          <w:rFonts w:ascii="Times New Roman" w:eastAsia="Times New Roman" w:hAnsi="Times New Roman" w:cs="Times New Roman"/>
          <w:sz w:val="24"/>
          <w:szCs w:val="24"/>
        </w:rPr>
        <w:t xml:space="preserve"> Therefore, considering the sample size and time-efficiency, online surveys were used in Study 1, 2 and 3 (see more details in Chapters 4, 5 and 6), which were designed and distributed using Qualtrics Labs, Inc. </w:t>
      </w:r>
    </w:p>
    <w:p w14:paraId="00000343" w14:textId="77777777" w:rsidR="00CB4215" w:rsidRPr="00D03B56" w:rsidRDefault="00CB4215">
      <w:pPr>
        <w:spacing w:line="480" w:lineRule="auto"/>
        <w:rPr>
          <w:rFonts w:ascii="Times New Roman" w:eastAsia="Times New Roman" w:hAnsi="Times New Roman" w:cs="Times New Roman"/>
          <w:sz w:val="24"/>
          <w:szCs w:val="24"/>
        </w:rPr>
      </w:pPr>
    </w:p>
    <w:p w14:paraId="00000344" w14:textId="77777777" w:rsidR="00CB4215" w:rsidRPr="00D03B56" w:rsidRDefault="000530B4">
      <w:pPr>
        <w:pStyle w:val="Heading3"/>
        <w:spacing w:line="480" w:lineRule="auto"/>
        <w:rPr>
          <w:rFonts w:ascii="Times New Roman" w:eastAsia="Times New Roman" w:hAnsi="Times New Roman" w:cs="Times New Roman"/>
          <w:b/>
          <w:color w:val="000000"/>
          <w:sz w:val="24"/>
          <w:szCs w:val="24"/>
        </w:rPr>
      </w:pPr>
      <w:bookmarkStart w:id="70" w:name="_Toc172984797"/>
      <w:r w:rsidRPr="00D03B56">
        <w:rPr>
          <w:rFonts w:ascii="Times New Roman" w:eastAsia="Times New Roman" w:hAnsi="Times New Roman" w:cs="Times New Roman"/>
          <w:b/>
          <w:color w:val="000000"/>
          <w:sz w:val="24"/>
          <w:szCs w:val="24"/>
        </w:rPr>
        <w:t>3.10 Strategy for data analysis</w:t>
      </w:r>
      <w:bookmarkEnd w:id="70"/>
    </w:p>
    <w:p w14:paraId="30CB8C26" w14:textId="5BEA1A5F" w:rsidR="007822CC" w:rsidRPr="00D03B56"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 xml:space="preserve">All quantitative data was analysed using Statistical Package for the Social Sciences v26 (SPSS; IBM Corporation, Somers, New York). Questionnaire responses were exported to SPSS after downloading from Qualtrics version 2021 (Provo, Utah, USA). The psychometric scales were calculated using Google Excel, following the instructions provided in the surveys, and then transferred to SPSS. </w:t>
      </w:r>
    </w:p>
    <w:p w14:paraId="3F02A75F" w14:textId="63DBC0D3" w:rsidR="007822CC" w:rsidRPr="00D03B56" w:rsidRDefault="007822CC">
      <w:pPr>
        <w:spacing w:line="480" w:lineRule="auto"/>
        <w:rPr>
          <w:rFonts w:ascii="Times New Roman" w:eastAsia="Times New Roman" w:hAnsi="Times New Roman" w:cs="Times New Roman"/>
          <w:sz w:val="24"/>
          <w:szCs w:val="24"/>
        </w:rPr>
      </w:pPr>
    </w:p>
    <w:p w14:paraId="00814C47" w14:textId="4043D8F1" w:rsidR="007822CC" w:rsidRPr="00D03B56" w:rsidRDefault="007822CC">
      <w:pPr>
        <w:spacing w:line="480" w:lineRule="auto"/>
        <w:rPr>
          <w:rFonts w:ascii="Times New Roman" w:eastAsiaTheme="minorEastAsia" w:hAnsi="Times New Roman" w:cs="Times New Roman"/>
          <w:sz w:val="24"/>
          <w:szCs w:val="24"/>
        </w:rPr>
      </w:pPr>
      <w:r w:rsidRPr="00D03B56">
        <w:rPr>
          <w:rFonts w:ascii="Times New Roman" w:eastAsia="Times New Roman" w:hAnsi="Times New Roman" w:cs="Times New Roman"/>
          <w:sz w:val="24"/>
          <w:szCs w:val="24"/>
        </w:rPr>
        <w:t xml:space="preserve">Specifically, </w:t>
      </w:r>
      <w:proofErr w:type="gramStart"/>
      <w:r w:rsidRPr="00D03B56">
        <w:rPr>
          <w:rFonts w:ascii="Times New Roman" w:eastAsia="Times New Roman" w:hAnsi="Times New Roman" w:cs="Times New Roman"/>
          <w:sz w:val="24"/>
          <w:szCs w:val="24"/>
        </w:rPr>
        <w:t>in order to</w:t>
      </w:r>
      <w:proofErr w:type="gramEnd"/>
      <w:r w:rsidRPr="00D03B56">
        <w:rPr>
          <w:rFonts w:ascii="Times New Roman" w:eastAsia="Times New Roman" w:hAnsi="Times New Roman" w:cs="Times New Roman"/>
          <w:sz w:val="24"/>
          <w:szCs w:val="24"/>
        </w:rPr>
        <w:t xml:space="preserve"> compare the differences in eating behaviour traits and health behaviours between early eaters and late eaters reported in this thesis. </w:t>
      </w:r>
      <w:r w:rsidR="004F08D4" w:rsidRPr="00D03B56">
        <w:rPr>
          <w:rFonts w:ascii="Times New Roman" w:eastAsia="Times New Roman" w:hAnsi="Times New Roman" w:cs="Times New Roman"/>
          <w:sz w:val="24"/>
          <w:szCs w:val="24"/>
        </w:rPr>
        <w:t>Hierarchical cluster analysis was conducted to group participants based on the time of last eating episode</w:t>
      </w:r>
      <w:r w:rsidR="00E57DBF" w:rsidRPr="00D03B56">
        <w:rPr>
          <w:rFonts w:ascii="Times New Roman" w:eastAsia="Times New Roman" w:hAnsi="Times New Roman" w:cs="Times New Roman"/>
          <w:sz w:val="24"/>
          <w:szCs w:val="24"/>
        </w:rPr>
        <w:t xml:space="preserve"> in Study </w:t>
      </w:r>
      <w:r w:rsidR="005220DA" w:rsidRPr="00D03B56">
        <w:rPr>
          <w:rFonts w:ascii="Times New Roman" w:eastAsia="Times New Roman" w:hAnsi="Times New Roman" w:cs="Times New Roman"/>
          <w:sz w:val="24"/>
          <w:szCs w:val="24"/>
        </w:rPr>
        <w:t>1.</w:t>
      </w:r>
      <w:r w:rsidR="005220DA" w:rsidRPr="00D03B56">
        <w:t xml:space="preserve"> </w:t>
      </w:r>
      <w:r w:rsidR="005220DA" w:rsidRPr="00D03B56">
        <w:rPr>
          <w:rFonts w:ascii="Times New Roman" w:eastAsia="Times New Roman" w:hAnsi="Times New Roman" w:cs="Times New Roman"/>
          <w:sz w:val="24"/>
          <w:szCs w:val="24"/>
        </w:rPr>
        <w:t xml:space="preserve">Compared to a median split, cluster analysis is a data-driven and exploratory analytical method that enables the classification of participants within a broad sample into groups based on their similarity in the time of their last eating episode. This approach enables us to identify profiles of individuals based on their last eating episode and compare them in terms of eating behaviour traits and health behaviours. Furthermore, </w:t>
      </w:r>
      <w:proofErr w:type="spellStart"/>
      <w:r w:rsidR="003D2433" w:rsidRPr="00D03B56">
        <w:rPr>
          <w:rFonts w:ascii="Times New Roman" w:eastAsia="Times New Roman" w:hAnsi="Times New Roman" w:cs="Times New Roman"/>
          <w:sz w:val="24"/>
          <w:szCs w:val="24"/>
        </w:rPr>
        <w:t>Santonja</w:t>
      </w:r>
      <w:proofErr w:type="spellEnd"/>
      <w:r w:rsidR="003D2433" w:rsidRPr="00D03B56">
        <w:rPr>
          <w:rFonts w:ascii="Times New Roman" w:eastAsia="Times New Roman" w:hAnsi="Times New Roman" w:cs="Times New Roman"/>
          <w:sz w:val="24"/>
          <w:szCs w:val="24"/>
        </w:rPr>
        <w:t xml:space="preserve"> et al. (2023) </w:t>
      </w:r>
      <w:r w:rsidR="005220DA" w:rsidRPr="00D03B56">
        <w:rPr>
          <w:rFonts w:ascii="Times New Roman" w:eastAsia="Times New Roman" w:hAnsi="Times New Roman" w:cs="Times New Roman"/>
          <w:sz w:val="24"/>
          <w:szCs w:val="24"/>
        </w:rPr>
        <w:t xml:space="preserve">also </w:t>
      </w:r>
      <w:r w:rsidR="003D2433" w:rsidRPr="00D03B56">
        <w:rPr>
          <w:rFonts w:ascii="Times New Roman" w:eastAsia="Times New Roman" w:hAnsi="Times New Roman" w:cs="Times New Roman"/>
          <w:sz w:val="24"/>
          <w:szCs w:val="24"/>
        </w:rPr>
        <w:t>us</w:t>
      </w:r>
      <w:r w:rsidR="005220DA" w:rsidRPr="00D03B56">
        <w:rPr>
          <w:rFonts w:ascii="Times New Roman" w:eastAsia="Times New Roman" w:hAnsi="Times New Roman" w:cs="Times New Roman"/>
          <w:sz w:val="24"/>
          <w:szCs w:val="24"/>
        </w:rPr>
        <w:t>ed</w:t>
      </w:r>
      <w:r w:rsidR="003D2433" w:rsidRPr="00D03B56">
        <w:rPr>
          <w:rFonts w:ascii="Times New Roman" w:eastAsia="Times New Roman" w:hAnsi="Times New Roman" w:cs="Times New Roman"/>
          <w:sz w:val="24"/>
          <w:szCs w:val="24"/>
        </w:rPr>
        <w:t xml:space="preserve"> cluster analysis</w:t>
      </w:r>
      <w:r w:rsidR="009463B8" w:rsidRPr="00D03B56">
        <w:rPr>
          <w:rFonts w:ascii="Times New Roman" w:eastAsia="Times New Roman" w:hAnsi="Times New Roman" w:cs="Times New Roman"/>
          <w:sz w:val="24"/>
          <w:szCs w:val="24"/>
        </w:rPr>
        <w:t xml:space="preserve"> to identify meal-timing clusters and explore the associations with sleep and chronic diseases. </w:t>
      </w:r>
      <w:r w:rsidR="00301B58" w:rsidRPr="00D03B56">
        <w:rPr>
          <w:rFonts w:ascii="Times New Roman" w:eastAsia="Times New Roman" w:hAnsi="Times New Roman" w:cs="Times New Roman"/>
          <w:sz w:val="24"/>
          <w:szCs w:val="24"/>
        </w:rPr>
        <w:t xml:space="preserve">A median split, while commonly used for convenience, </w:t>
      </w:r>
      <w:r w:rsidR="00E77C09" w:rsidRPr="00D03B56">
        <w:rPr>
          <w:rFonts w:ascii="Times New Roman" w:eastAsia="Times New Roman" w:hAnsi="Times New Roman" w:cs="Times New Roman"/>
          <w:sz w:val="24"/>
          <w:szCs w:val="24"/>
        </w:rPr>
        <w:t>sets a cut-off point at the median, which requires the data to be split into two groups</w:t>
      </w:r>
      <w:r w:rsidR="00301B58" w:rsidRPr="00D03B56">
        <w:rPr>
          <w:rFonts w:ascii="Times New Roman" w:eastAsia="Times New Roman" w:hAnsi="Times New Roman" w:cs="Times New Roman"/>
          <w:sz w:val="24"/>
          <w:szCs w:val="24"/>
        </w:rPr>
        <w:t xml:space="preserve">. </w:t>
      </w:r>
      <w:r w:rsidR="00E77C09" w:rsidRPr="00D03B56">
        <w:rPr>
          <w:rFonts w:ascii="Times New Roman" w:eastAsia="Times New Roman" w:hAnsi="Times New Roman" w:cs="Times New Roman"/>
          <w:sz w:val="24"/>
          <w:szCs w:val="24"/>
        </w:rPr>
        <w:t xml:space="preserve">In contrast, hierarchical cluster analysis provides greater flexibility in determining the optimal number of clusters based on the structure of the data, rather than restricting the analysis to two predefined groups, which </w:t>
      </w:r>
      <w:r w:rsidR="00E77C09" w:rsidRPr="00D03B56">
        <w:rPr>
          <w:rFonts w:ascii="Times New Roman" w:eastAsia="Times New Roman" w:hAnsi="Times New Roman" w:cs="Times New Roman"/>
          <w:sz w:val="24"/>
          <w:szCs w:val="24"/>
        </w:rPr>
        <w:lastRenderedPageBreak/>
        <w:t xml:space="preserve">could group participants that reflect actual dietary patterns </w:t>
      </w:r>
      <w:r w:rsidR="007010A2" w:rsidRPr="00D03B56">
        <w:rPr>
          <w:rFonts w:ascii="Times New Roman" w:eastAsia="Times New Roman" w:hAnsi="Times New Roman" w:cs="Times New Roman"/>
          <w:sz w:val="24"/>
          <w:szCs w:val="24"/>
        </w:rPr>
        <w:t>(</w:t>
      </w:r>
      <w:proofErr w:type="spellStart"/>
      <w:r w:rsidR="007010A2" w:rsidRPr="00D03B56">
        <w:rPr>
          <w:rFonts w:ascii="Times New Roman" w:eastAsia="Times New Roman" w:hAnsi="Times New Roman" w:cs="Times New Roman"/>
          <w:sz w:val="24"/>
          <w:szCs w:val="24"/>
        </w:rPr>
        <w:t>Yim</w:t>
      </w:r>
      <w:proofErr w:type="spellEnd"/>
      <w:r w:rsidR="007010A2" w:rsidRPr="00D03B56">
        <w:rPr>
          <w:rFonts w:ascii="Times New Roman" w:eastAsia="Times New Roman" w:hAnsi="Times New Roman" w:cs="Times New Roman"/>
          <w:sz w:val="24"/>
          <w:szCs w:val="24"/>
        </w:rPr>
        <w:t xml:space="preserve"> and </w:t>
      </w:r>
      <w:proofErr w:type="spellStart"/>
      <w:r w:rsidR="007010A2" w:rsidRPr="00D03B56">
        <w:rPr>
          <w:rFonts w:ascii="Times New Roman" w:eastAsia="Times New Roman" w:hAnsi="Times New Roman" w:cs="Times New Roman"/>
          <w:sz w:val="24"/>
          <w:szCs w:val="24"/>
        </w:rPr>
        <w:t>Ramdeen</w:t>
      </w:r>
      <w:proofErr w:type="spellEnd"/>
      <w:r w:rsidR="00BB7405" w:rsidRPr="00D03B56">
        <w:rPr>
          <w:rFonts w:ascii="Times New Roman" w:eastAsia="Times New Roman" w:hAnsi="Times New Roman" w:cs="Times New Roman"/>
          <w:sz w:val="24"/>
          <w:szCs w:val="24"/>
        </w:rPr>
        <w:t>,</w:t>
      </w:r>
      <w:r w:rsidR="007010A2" w:rsidRPr="00D03B56">
        <w:rPr>
          <w:rFonts w:ascii="Times New Roman" w:eastAsia="Times New Roman" w:hAnsi="Times New Roman" w:cs="Times New Roman"/>
          <w:sz w:val="24"/>
          <w:szCs w:val="24"/>
        </w:rPr>
        <w:t xml:space="preserve"> 2015</w:t>
      </w:r>
      <w:r w:rsidR="00E77C09" w:rsidRPr="00D03B56">
        <w:rPr>
          <w:rFonts w:ascii="Times New Roman" w:eastAsia="Times New Roman" w:hAnsi="Times New Roman" w:cs="Times New Roman"/>
          <w:sz w:val="24"/>
          <w:szCs w:val="24"/>
        </w:rPr>
        <w:t xml:space="preserve">). </w:t>
      </w:r>
      <w:r w:rsidR="00301B58" w:rsidRPr="00D03B56">
        <w:rPr>
          <w:rFonts w:ascii="Times New Roman" w:eastAsia="Times New Roman" w:hAnsi="Times New Roman" w:cs="Times New Roman"/>
          <w:sz w:val="24"/>
          <w:szCs w:val="24"/>
        </w:rPr>
        <w:t xml:space="preserve">Therefore, hierarchical cluster analysis was used in Study 1 and </w:t>
      </w:r>
      <w:r w:rsidR="00E07568" w:rsidRPr="00D03B56">
        <w:rPr>
          <w:rFonts w:ascii="Times New Roman" w:eastAsia="Times New Roman" w:hAnsi="Times New Roman" w:cs="Times New Roman"/>
          <w:sz w:val="24"/>
          <w:szCs w:val="24"/>
        </w:rPr>
        <w:t xml:space="preserve">the </w:t>
      </w:r>
      <w:r w:rsidR="00301B58" w:rsidRPr="00D03B56">
        <w:rPr>
          <w:rFonts w:ascii="Times New Roman" w:eastAsia="Times New Roman" w:hAnsi="Times New Roman" w:cs="Times New Roman"/>
          <w:sz w:val="24"/>
          <w:szCs w:val="24"/>
        </w:rPr>
        <w:t>cut-off point was used in Study 2 and Study 3 to ensure consistency.</w:t>
      </w:r>
    </w:p>
    <w:p w14:paraId="3AAB6262" w14:textId="77777777" w:rsidR="007822CC" w:rsidRDefault="007822CC">
      <w:pPr>
        <w:spacing w:line="480" w:lineRule="auto"/>
        <w:rPr>
          <w:rFonts w:ascii="Times New Roman" w:eastAsia="Times New Roman" w:hAnsi="Times New Roman" w:cs="Times New Roman"/>
          <w:sz w:val="24"/>
          <w:szCs w:val="24"/>
          <w:highlight w:val="white"/>
        </w:rPr>
      </w:pPr>
    </w:p>
    <w:p w14:paraId="4DEB13DD" w14:textId="128CAF22" w:rsidR="00CB4215" w:rsidRDefault="000530B4" w:rsidP="00301B58">
      <w:pPr>
        <w:spacing w:line="480" w:lineRule="auto"/>
        <w:rPr>
          <w:rFonts w:ascii="Times New Roman" w:eastAsia="Times New Roman" w:hAnsi="Times New Roman" w:cs="Times New Roman"/>
          <w:sz w:val="24"/>
          <w:szCs w:val="24"/>
          <w:highlight w:val="white"/>
        </w:rPr>
        <w:sectPr w:rsidR="00CB4215">
          <w:headerReference w:type="default" r:id="rId464"/>
          <w:pgSz w:w="11909" w:h="16834"/>
          <w:pgMar w:top="1440" w:right="1440" w:bottom="1440" w:left="1440" w:header="720" w:footer="720" w:gutter="0"/>
          <w:cols w:space="720"/>
        </w:sectPr>
      </w:pPr>
      <w:r>
        <w:rPr>
          <w:rFonts w:ascii="Times New Roman" w:eastAsia="Times New Roman" w:hAnsi="Times New Roman" w:cs="Times New Roman"/>
          <w:sz w:val="24"/>
          <w:szCs w:val="24"/>
          <w:highlight w:val="white"/>
        </w:rPr>
        <w:t>Regarding the qualitative study, all interviews were recorded, transcribed by a third party, and subsequently coded using thematic analysis in NVivo. Specific details of the data analysis will be described within each respective study.</w:t>
      </w:r>
      <w:r w:rsidR="004F08D4">
        <w:rPr>
          <w:rFonts w:ascii="Times New Roman" w:eastAsia="Times New Roman" w:hAnsi="Times New Roman" w:cs="Times New Roman"/>
          <w:sz w:val="24"/>
          <w:szCs w:val="24"/>
          <w:highlight w:val="white"/>
        </w:rPr>
        <w:br w:type="page"/>
      </w:r>
    </w:p>
    <w:p w14:paraId="00000346" w14:textId="77777777" w:rsidR="00CB4215" w:rsidRDefault="000530B4">
      <w:pPr>
        <w:pStyle w:val="Heading1"/>
        <w:rPr>
          <w:rFonts w:ascii="Times New Roman" w:eastAsia="Times New Roman" w:hAnsi="Times New Roman" w:cs="Times New Roman"/>
          <w:b/>
          <w:sz w:val="24"/>
          <w:szCs w:val="24"/>
          <w:highlight w:val="white"/>
        </w:rPr>
      </w:pPr>
      <w:bookmarkStart w:id="71" w:name="_Toc172984798"/>
      <w:r>
        <w:rPr>
          <w:rFonts w:ascii="Times New Roman" w:eastAsia="Times New Roman" w:hAnsi="Times New Roman" w:cs="Times New Roman"/>
          <w:b/>
        </w:rPr>
        <w:lastRenderedPageBreak/>
        <w:t>Chapter 4</w:t>
      </w:r>
      <w:bookmarkEnd w:id="71"/>
      <w:r>
        <w:rPr>
          <w:rFonts w:ascii="Times New Roman" w:eastAsia="Times New Roman" w:hAnsi="Times New Roman" w:cs="Times New Roman"/>
          <w:b/>
        </w:rPr>
        <w:t xml:space="preserve"> </w:t>
      </w:r>
    </w:p>
    <w:p w14:paraId="00000347" w14:textId="77777777" w:rsidR="00CB4215" w:rsidRDefault="000530B4">
      <w:pPr>
        <w:pStyle w:val="Heading2"/>
        <w:rPr>
          <w:rFonts w:ascii="Times New Roman" w:eastAsia="Times New Roman" w:hAnsi="Times New Roman" w:cs="Times New Roman"/>
          <w:b/>
        </w:rPr>
      </w:pPr>
      <w:bookmarkStart w:id="72" w:name="_Toc172984799"/>
      <w:r>
        <w:rPr>
          <w:rFonts w:ascii="Times New Roman" w:eastAsia="Times New Roman" w:hAnsi="Times New Roman" w:cs="Times New Roman"/>
          <w:b/>
        </w:rPr>
        <w:t>Study 1: The relationship between meal timing and body mass index (BMI) in UK adults</w:t>
      </w:r>
      <w:bookmarkEnd w:id="72"/>
      <w:r>
        <w:rPr>
          <w:rFonts w:ascii="Times New Roman" w:eastAsia="Times New Roman" w:hAnsi="Times New Roman" w:cs="Times New Roman"/>
          <w:b/>
        </w:rPr>
        <w:t xml:space="preserve"> </w:t>
      </w:r>
    </w:p>
    <w:p w14:paraId="00000348" w14:textId="77777777" w:rsidR="00CB4215" w:rsidRDefault="00CB4215">
      <w:pPr>
        <w:spacing w:line="480" w:lineRule="auto"/>
        <w:rPr>
          <w:rFonts w:ascii="Times New Roman" w:eastAsia="Times New Roman" w:hAnsi="Times New Roman" w:cs="Times New Roman"/>
          <w:sz w:val="24"/>
          <w:szCs w:val="24"/>
        </w:rPr>
      </w:pPr>
    </w:p>
    <w:p w14:paraId="0000034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Having provided an understanding of the factors that influence eating behaviour, as well as a narrative review of the current literature on meal timing (Chapter 2). The current chapter presents the first study, that aimed to explore the associations between late eating, meal patterns and BMI, and to compare eating behaviour traits and health behaviours in each cluster [(early versus later eaters) and (higher versus lower chaotic eaters)].</w:t>
      </w:r>
    </w:p>
    <w:p w14:paraId="0000034A" w14:textId="77777777" w:rsidR="00CB4215" w:rsidRDefault="00CB4215">
      <w:pPr>
        <w:spacing w:line="480" w:lineRule="auto"/>
        <w:rPr>
          <w:rFonts w:ascii="Times New Roman" w:eastAsia="Times New Roman" w:hAnsi="Times New Roman" w:cs="Times New Roman"/>
          <w:sz w:val="24"/>
          <w:szCs w:val="24"/>
        </w:rPr>
      </w:pPr>
    </w:p>
    <w:p w14:paraId="0000034B" w14:textId="77777777" w:rsidR="00CB4215" w:rsidRDefault="000530B4">
      <w:pPr>
        <w:pStyle w:val="Heading3"/>
        <w:rPr>
          <w:rFonts w:ascii="Times New Roman" w:eastAsia="Times New Roman" w:hAnsi="Times New Roman" w:cs="Times New Roman"/>
          <w:b/>
          <w:color w:val="000000"/>
        </w:rPr>
      </w:pPr>
      <w:bookmarkStart w:id="73" w:name="_Toc172984800"/>
      <w:r>
        <w:rPr>
          <w:rFonts w:ascii="Times New Roman" w:eastAsia="Times New Roman" w:hAnsi="Times New Roman" w:cs="Times New Roman"/>
          <w:b/>
          <w:color w:val="000000"/>
        </w:rPr>
        <w:t>4.1 Abstract</w:t>
      </w:r>
      <w:bookmarkEnd w:id="73"/>
    </w:p>
    <w:p w14:paraId="0000034C" w14:textId="77777777" w:rsidR="00CB4215" w:rsidRDefault="00CB4215"/>
    <w:p w14:paraId="0000034D" w14:textId="64A37C09"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evidence indicates late eating can be related to higher BMI. However, findings are inconsistent and the psychological and behavioural characteristics of early versus late eaters are unclear. Thus, this study aimed to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assess the relationship between meal timing, meal pattern and BMI, and ii) compare psychological and behavioural characteristics of early and late evening eaters and higher and lower chaotic eaters. An online survey completed by 300 UK adults (analysed n</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260; 46% female; 37.5</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14.1 years; 26.2</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5.8 kg/m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assessed meal timings (breakfast, lunch, evening meal and snacks), eating behaviour traits (uncontrolled eating, craving control, emotional eating, cognitive restraint, satiety responsiveness and reliance on hunger and satiety cues) and health and weight management behaviours [e.g., physical activity, habitual diet (food frequency questionnaire) and sleep]. ‘Chaotic eating’ was characterised as the tendency to eat at variable times of day. Results showed that later evening consumption was not significantly associated with BMI (r</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-.09, </w:t>
      </w:r>
      <w:r>
        <w:rPr>
          <w:rFonts w:ascii="Times New Roman" w:eastAsia="Times New Roman" w:hAnsi="Times New Roman" w:cs="Times New Roman"/>
          <w:i/>
          <w:sz w:val="24"/>
          <w:szCs w:val="24"/>
        </w:rPr>
        <w:t>p</w:t>
      </w:r>
      <w:r w:rsidR="004C429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lastRenderedPageBreak/>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 Hierarchical cluster analysis grouping participants as early or late eaters, showed that late eaters reported a significantly lower craving control (</w:t>
      </w:r>
      <w:r>
        <w:rPr>
          <w:rFonts w:ascii="Times New Roman" w:eastAsia="Times New Roman" w:hAnsi="Times New Roman" w:cs="Times New Roman"/>
          <w:i/>
          <w:sz w:val="24"/>
          <w:szCs w:val="24"/>
        </w:rPr>
        <w:t>p</w:t>
      </w:r>
      <w:r w:rsidR="004C429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.05) and longer daily consumption window (</w:t>
      </w:r>
      <w:r>
        <w:rPr>
          <w:rFonts w:ascii="Times New Roman" w:eastAsia="Times New Roman" w:hAnsi="Times New Roman" w:cs="Times New Roman"/>
          <w:i/>
          <w:sz w:val="24"/>
          <w:szCs w:val="24"/>
        </w:rPr>
        <w:t>p</w:t>
      </w:r>
      <w:r w:rsidR="004C429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.001). There were no significant differences in BMI, cognitive control, uncontrolled eating, emotional eating, reliance on hunger and satiety cues, satiety responsiveness, physical activity, sleep quality or sleep duration between early and late eaters. Whereas chaotic eating of meals (r</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-.14, </w:t>
      </w:r>
      <w:r>
        <w:rPr>
          <w:rFonts w:ascii="Times New Roman" w:eastAsia="Times New Roman" w:hAnsi="Times New Roman" w:cs="Times New Roman"/>
          <w:i/>
          <w:sz w:val="24"/>
          <w:szCs w:val="24"/>
        </w:rPr>
        <w:t>p</w:t>
      </w:r>
      <w:r w:rsidR="004C429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.02) or snacks (r</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-.15, </w:t>
      </w:r>
      <w:r>
        <w:rPr>
          <w:rFonts w:ascii="Times New Roman" w:eastAsia="Times New Roman" w:hAnsi="Times New Roman" w:cs="Times New Roman"/>
          <w:i/>
          <w:sz w:val="24"/>
          <w:szCs w:val="24"/>
        </w:rPr>
        <w:t>p</w:t>
      </w:r>
      <w:r w:rsidR="004C429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.02) was significantly associated with lower BMI. Hierarchical cluster analysis grouping participants into three meal chaotic eating groups and three snack chaotic eating groups (low, medium and high), showed that high chaotic meal eaters reported significantly lower satiety responsiveness (</w:t>
      </w:r>
      <w:r>
        <w:rPr>
          <w:rFonts w:ascii="Times New Roman" w:eastAsia="Times New Roman" w:hAnsi="Times New Roman" w:cs="Times New Roman"/>
          <w:i/>
          <w:sz w:val="24"/>
          <w:szCs w:val="24"/>
        </w:rPr>
        <w:t>p</w:t>
      </w:r>
      <w:r w:rsidR="004C429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.02), lower reliance on hunger and satiety cues (</w:t>
      </w:r>
      <w:r>
        <w:rPr>
          <w:rFonts w:ascii="Times New Roman" w:eastAsia="Times New Roman" w:hAnsi="Times New Roman" w:cs="Times New Roman"/>
          <w:i/>
          <w:sz w:val="24"/>
          <w:szCs w:val="24"/>
        </w:rPr>
        <w:t>p</w:t>
      </w:r>
      <w:r w:rsidR="004C429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.02) and longer daily consumption window (</w:t>
      </w:r>
      <w:r>
        <w:rPr>
          <w:rFonts w:ascii="Times New Roman" w:eastAsia="Times New Roman" w:hAnsi="Times New Roman" w:cs="Times New Roman"/>
          <w:i/>
          <w:sz w:val="24"/>
          <w:szCs w:val="24"/>
        </w:rPr>
        <w:t>p</w:t>
      </w:r>
      <w:r w:rsidR="004C429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&lt; .001). High chaotic snack eaters reported a longer daily consumption window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 .001) and poorer dietary quality (</w:t>
      </w:r>
      <w:r>
        <w:rPr>
          <w:rFonts w:ascii="Times New Roman" w:eastAsia="Times New Roman" w:hAnsi="Times New Roman" w:cs="Times New Roman"/>
          <w:i/>
          <w:sz w:val="24"/>
          <w:szCs w:val="24"/>
        </w:rPr>
        <w:t>p</w:t>
      </w:r>
      <w:r w:rsidR="004C429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4C4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.002). In this study, eating later was not associated with a higher BMI. However, late eaters may have less control over food intake and may be at increased risk of overconsumption.</w:t>
      </w:r>
    </w:p>
    <w:p w14:paraId="0000034E" w14:textId="77777777" w:rsidR="00CB4215" w:rsidRDefault="00CB4215">
      <w:pPr>
        <w:spacing w:line="480" w:lineRule="auto"/>
        <w:rPr>
          <w:rFonts w:ascii="Times New Roman" w:eastAsia="Times New Roman" w:hAnsi="Times New Roman" w:cs="Times New Roman"/>
          <w:sz w:val="24"/>
          <w:szCs w:val="24"/>
        </w:rPr>
      </w:pPr>
    </w:p>
    <w:p w14:paraId="0000034F" w14:textId="77777777" w:rsidR="00CB4215" w:rsidRDefault="000530B4">
      <w:pPr>
        <w:pStyle w:val="Heading3"/>
        <w:rPr>
          <w:rFonts w:ascii="Times New Roman" w:eastAsia="Times New Roman" w:hAnsi="Times New Roman" w:cs="Times New Roman"/>
          <w:b/>
          <w:color w:val="000000"/>
        </w:rPr>
      </w:pPr>
      <w:bookmarkStart w:id="74" w:name="_Toc172984801"/>
      <w:r>
        <w:rPr>
          <w:rFonts w:ascii="Times New Roman" w:eastAsia="Times New Roman" w:hAnsi="Times New Roman" w:cs="Times New Roman"/>
          <w:b/>
          <w:color w:val="000000"/>
        </w:rPr>
        <w:t>4.2 Introduction</w:t>
      </w:r>
      <w:bookmarkEnd w:id="74"/>
    </w:p>
    <w:p w14:paraId="00000350" w14:textId="77777777" w:rsidR="00CB4215" w:rsidRDefault="00CB4215"/>
    <w:p w14:paraId="00000351" w14:textId="687868EB"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Obesity is a global health problem that increases the risk of several metabolic disorders, including cardiovascular disease, metabolic syndrome, type 2 diabetes and some cancers (Calle et al., 2003). Moreover, obesity is associated with negative psychological consequences, such as body </w:t>
      </w:r>
      <w:r w:rsidRPr="005319A8">
        <w:rPr>
          <w:rFonts w:ascii="Times New Roman" w:eastAsia="Times New Roman" w:hAnsi="Times New Roman" w:cs="Times New Roman"/>
          <w:sz w:val="24"/>
          <w:szCs w:val="24"/>
        </w:rPr>
        <w:t>dissatisfaction (</w:t>
      </w:r>
      <w:proofErr w:type="spellStart"/>
      <w:r w:rsidRPr="005319A8">
        <w:rPr>
          <w:rFonts w:ascii="Times New Roman" w:eastAsia="Times New Roman" w:hAnsi="Times New Roman" w:cs="Times New Roman"/>
          <w:sz w:val="24"/>
          <w:szCs w:val="24"/>
        </w:rPr>
        <w:t>Harriger</w:t>
      </w:r>
      <w:proofErr w:type="spellEnd"/>
      <w:r w:rsidRPr="005319A8">
        <w:rPr>
          <w:rFonts w:ascii="Times New Roman" w:eastAsia="Times New Roman" w:hAnsi="Times New Roman" w:cs="Times New Roman"/>
          <w:sz w:val="24"/>
          <w:szCs w:val="24"/>
        </w:rPr>
        <w:t xml:space="preserve"> </w:t>
      </w:r>
      <w:r w:rsidR="002133EE" w:rsidRPr="005319A8">
        <w:rPr>
          <w:rFonts w:ascii="Times New Roman" w:eastAsia="Times New Roman" w:hAnsi="Times New Roman" w:cs="Times New Roman"/>
          <w:sz w:val="24"/>
          <w:szCs w:val="24"/>
        </w:rPr>
        <w:t>and</w:t>
      </w:r>
      <w:r w:rsidRPr="005319A8">
        <w:rPr>
          <w:rFonts w:ascii="Times New Roman" w:eastAsia="Times New Roman" w:hAnsi="Times New Roman" w:cs="Times New Roman"/>
          <w:sz w:val="24"/>
          <w:szCs w:val="24"/>
        </w:rPr>
        <w:t xml:space="preserve"> Thompson, 2012), eating</w:t>
      </w:r>
      <w:r>
        <w:rPr>
          <w:rFonts w:ascii="Times New Roman" w:eastAsia="Times New Roman" w:hAnsi="Times New Roman" w:cs="Times New Roman"/>
          <w:sz w:val="24"/>
          <w:szCs w:val="24"/>
        </w:rPr>
        <w:t xml:space="preserve"> disorders (</w:t>
      </w:r>
      <w:proofErr w:type="spellStart"/>
      <w:r>
        <w:rPr>
          <w:rFonts w:ascii="Times New Roman" w:eastAsia="Times New Roman" w:hAnsi="Times New Roman" w:cs="Times New Roman"/>
          <w:sz w:val="24"/>
          <w:szCs w:val="24"/>
        </w:rPr>
        <w:t>Neumark-Sztainer</w:t>
      </w:r>
      <w:proofErr w:type="spellEnd"/>
      <w:r>
        <w:rPr>
          <w:rFonts w:ascii="Times New Roman" w:eastAsia="Times New Roman" w:hAnsi="Times New Roman" w:cs="Times New Roman"/>
          <w:sz w:val="24"/>
          <w:szCs w:val="24"/>
        </w:rPr>
        <w:t xml:space="preserve"> et al., 2006) and low self-esteem and depression (</w:t>
      </w:r>
      <w:proofErr w:type="spellStart"/>
      <w:r>
        <w:rPr>
          <w:rFonts w:ascii="Times New Roman" w:eastAsia="Times New Roman" w:hAnsi="Times New Roman" w:cs="Times New Roman"/>
          <w:sz w:val="24"/>
          <w:szCs w:val="24"/>
        </w:rPr>
        <w:t>Heinberg</w:t>
      </w:r>
      <w:proofErr w:type="spellEnd"/>
      <w:r>
        <w:rPr>
          <w:rFonts w:ascii="Times New Roman" w:eastAsia="Times New Roman" w:hAnsi="Times New Roman" w:cs="Times New Roman"/>
          <w:sz w:val="24"/>
          <w:szCs w:val="24"/>
        </w:rPr>
        <w:t xml:space="preserve"> </w:t>
      </w:r>
      <w:r w:rsidR="002133EE">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Thompson, 2009) (see more detail in Chapter 1). The imbalance between energy expenditure and energy consumed is a fundamental cause of overweight and obesity (</w:t>
      </w:r>
      <w:proofErr w:type="spellStart"/>
      <w:r>
        <w:rPr>
          <w:rFonts w:ascii="Times New Roman" w:eastAsia="Times New Roman" w:hAnsi="Times New Roman" w:cs="Times New Roman"/>
          <w:sz w:val="24"/>
          <w:szCs w:val="24"/>
        </w:rPr>
        <w:t>Mogenson</w:t>
      </w:r>
      <w:proofErr w:type="spellEnd"/>
      <w:r>
        <w:rPr>
          <w:rFonts w:ascii="Times New Roman" w:eastAsia="Times New Roman" w:hAnsi="Times New Roman" w:cs="Times New Roman"/>
          <w:sz w:val="24"/>
          <w:szCs w:val="24"/>
        </w:rPr>
        <w:t xml:space="preserve"> et al., 2020). Controlling and regulating food intake is the </w:t>
      </w:r>
      <w:proofErr w:type="gramStart"/>
      <w:r>
        <w:rPr>
          <w:rFonts w:ascii="Times New Roman" w:eastAsia="Times New Roman" w:hAnsi="Times New Roman" w:cs="Times New Roman"/>
          <w:sz w:val="24"/>
          <w:szCs w:val="24"/>
        </w:rPr>
        <w:t>most commonly reported</w:t>
      </w:r>
      <w:proofErr w:type="gramEnd"/>
      <w:r>
        <w:rPr>
          <w:rFonts w:ascii="Times New Roman" w:eastAsia="Times New Roman" w:hAnsi="Times New Roman" w:cs="Times New Roman"/>
          <w:sz w:val="24"/>
          <w:szCs w:val="24"/>
        </w:rPr>
        <w:t xml:space="preserve"> strategy for </w:t>
      </w:r>
      <w:r>
        <w:rPr>
          <w:rFonts w:ascii="Times New Roman" w:eastAsia="Times New Roman" w:hAnsi="Times New Roman" w:cs="Times New Roman"/>
          <w:sz w:val="24"/>
          <w:szCs w:val="24"/>
        </w:rPr>
        <w:lastRenderedPageBreak/>
        <w:t>losing weight, with more than two-thirds of people trying to lose weight using this strategy (Santos et al., 2017). However, when attempting weight loss, many people do not lose weight, and generally, while short-term diets can be effective, long-term sustained weight is challenging (Eliana et al., 2018). Also, individual responses to standardised weight loss programmes are variable and many factors influence the success of a dietary intervention in obesity (Teixeira et al., 2010). Therefore, other factors like meal timing, should be considered for improved appetite control.</w:t>
      </w:r>
    </w:p>
    <w:p w14:paraId="00000352" w14:textId="77777777" w:rsidR="00CB4215" w:rsidRDefault="00CB4215">
      <w:pPr>
        <w:spacing w:line="480" w:lineRule="auto"/>
        <w:rPr>
          <w:rFonts w:ascii="Times New Roman" w:eastAsia="Times New Roman" w:hAnsi="Times New Roman" w:cs="Times New Roman"/>
          <w:sz w:val="24"/>
          <w:szCs w:val="24"/>
        </w:rPr>
      </w:pPr>
    </w:p>
    <w:p w14:paraId="00000353"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Meal timing</w:t>
      </w:r>
    </w:p>
    <w:p w14:paraId="00000354" w14:textId="43EC097C" w:rsidR="00CB4215" w:rsidRDefault="000530B4">
      <w:pPr>
        <w:spacing w:line="480" w:lineRule="auto"/>
        <w:rPr>
          <w:rFonts w:ascii="Microsoft YaHei" w:eastAsia="Microsoft YaHei" w:hAnsi="Microsoft YaHei" w:cs="Microsoft YaHei"/>
          <w:sz w:val="24"/>
          <w:szCs w:val="24"/>
        </w:rPr>
      </w:pPr>
      <w:r>
        <w:rPr>
          <w:rFonts w:ascii="Times New Roman" w:eastAsia="Times New Roman" w:hAnsi="Times New Roman" w:cs="Times New Roman"/>
          <w:sz w:val="24"/>
          <w:szCs w:val="24"/>
        </w:rPr>
        <w:t xml:space="preserve">Meal timing involves the time of day that individuals eat meals and snacks, and some people eat foods at strategic times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achieve specific outcomes (see more details in Chapter 2) (Calle et al., 2003). Not only ‘what’ we consume is crucial but also, ‘when’ to eat is a key point. Current dietary advice for weight management generally assumes that a “calorie is a calorie” regardless of the timing of calorie consumption throughout the day </w:t>
      </w:r>
      <w:hyperlink r:id="rId465">
        <w:r>
          <w:rPr>
            <w:rFonts w:ascii="Times New Roman" w:eastAsia="Times New Roman" w:hAnsi="Times New Roman" w:cs="Times New Roman"/>
            <w:color w:val="000000"/>
            <w:sz w:val="24"/>
            <w:szCs w:val="24"/>
          </w:rPr>
          <w:t>(Ruddick-Collins et al., 2022)</w:t>
        </w:r>
      </w:hyperlink>
      <w:r>
        <w:rPr>
          <w:rFonts w:ascii="Times New Roman" w:eastAsia="Times New Roman" w:hAnsi="Times New Roman" w:cs="Times New Roman"/>
          <w:sz w:val="24"/>
          <w:szCs w:val="24"/>
        </w:rPr>
        <w:t>. To date, some evidence has shown that eating meals later in the day is associated with an increased BMI and poorer weight loss outcomes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St-Onge et al., 2019, Jacob et al., 2020, St-Onge et al., 2017, Fong et al., 2017, </w:t>
      </w:r>
      <w:proofErr w:type="spellStart"/>
      <w:r>
        <w:rPr>
          <w:rFonts w:ascii="Times New Roman" w:eastAsia="Times New Roman" w:hAnsi="Times New Roman" w:cs="Times New Roman"/>
          <w:sz w:val="24"/>
          <w:szCs w:val="24"/>
        </w:rPr>
        <w:t>Almoosawi</w:t>
      </w:r>
      <w:proofErr w:type="spellEnd"/>
      <w:r>
        <w:rPr>
          <w:rFonts w:ascii="Times New Roman" w:eastAsia="Times New Roman" w:hAnsi="Times New Roman" w:cs="Times New Roman"/>
          <w:sz w:val="24"/>
          <w:szCs w:val="24"/>
        </w:rPr>
        <w:t xml:space="preserve"> et al., 2016, Shaw et al., 2019, Ruddick‐Collins et al., 2020). For instance, in a randomised clinical trial, 82 participants with obesity were randomly allocated into an early evening meal group (eating at 19:00-19:30) or late evening meal group (eating at 22:30-23:00). The results showed that the early evening meal group had a greater reduction in weight, BMI and waist circumference compared with the late evening meal group after 12 weeks (</w:t>
      </w:r>
      <w:proofErr w:type="spellStart"/>
      <w:r>
        <w:rPr>
          <w:rFonts w:ascii="Times New Roman" w:eastAsia="Times New Roman" w:hAnsi="Times New Roman" w:cs="Times New Roman"/>
          <w:sz w:val="24"/>
          <w:szCs w:val="24"/>
        </w:rPr>
        <w:t>Madjd</w:t>
      </w:r>
      <w:proofErr w:type="spellEnd"/>
      <w:r>
        <w:rPr>
          <w:rFonts w:ascii="Times New Roman" w:eastAsia="Times New Roman" w:hAnsi="Times New Roman" w:cs="Times New Roman"/>
          <w:sz w:val="24"/>
          <w:szCs w:val="24"/>
        </w:rPr>
        <w:t xml:space="preserve"> et al., 2020). In line with </w:t>
      </w:r>
      <w:proofErr w:type="spellStart"/>
      <w:r>
        <w:rPr>
          <w:rFonts w:ascii="Times New Roman" w:eastAsia="Times New Roman" w:hAnsi="Times New Roman" w:cs="Times New Roman"/>
          <w:sz w:val="24"/>
          <w:szCs w:val="24"/>
        </w:rPr>
        <w:t>Madjd</w:t>
      </w:r>
      <w:proofErr w:type="spellEnd"/>
      <w:r>
        <w:rPr>
          <w:rFonts w:ascii="Times New Roman" w:eastAsia="Times New Roman" w:hAnsi="Times New Roman" w:cs="Times New Roman"/>
          <w:sz w:val="24"/>
          <w:szCs w:val="24"/>
        </w:rPr>
        <w:t xml:space="preserve"> et al. (2020), Okada and colleagues (2019) assessed the association between late evening eating and the prevalence of overweight and obesity using self-administered questionnaires and found that individuals who habitually </w:t>
      </w:r>
      <w:r>
        <w:rPr>
          <w:rFonts w:ascii="Times New Roman" w:eastAsia="Times New Roman" w:hAnsi="Times New Roman" w:cs="Times New Roman"/>
          <w:sz w:val="24"/>
          <w:szCs w:val="24"/>
        </w:rPr>
        <w:lastRenderedPageBreak/>
        <w:t xml:space="preserve">consumed late evening meals or night-time meals were significantly associated with a higher prevalence of overweight/obesity. The mechanism associating late eating with adverse health outcomes is likely to be multifactorial and may involve the influence of late eating on circadian misalignment </w:t>
      </w:r>
      <w:hyperlink r:id="rId46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Wehrens</w:t>
        </w:r>
        <w:proofErr w:type="spellEnd"/>
        <w:r>
          <w:rPr>
            <w:rFonts w:ascii="Times New Roman" w:eastAsia="Times New Roman" w:hAnsi="Times New Roman" w:cs="Times New Roman"/>
            <w:color w:val="000000"/>
            <w:sz w:val="24"/>
            <w:szCs w:val="24"/>
          </w:rPr>
          <w:t xml:space="preserve"> et al., 2017; </w:t>
        </w:r>
        <w:proofErr w:type="spellStart"/>
        <w:r>
          <w:rPr>
            <w:rFonts w:ascii="Times New Roman" w:eastAsia="Times New Roman" w:hAnsi="Times New Roman" w:cs="Times New Roman"/>
            <w:color w:val="000000"/>
            <w:sz w:val="24"/>
            <w:szCs w:val="24"/>
          </w:rPr>
          <w:t>McHill</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a condition in which environmental and behavioural cycles are out of synchronisation with the endogenous circadian system </w:t>
      </w:r>
      <w:hyperlink r:id="rId467">
        <w:r>
          <w:rPr>
            <w:rFonts w:ascii="Times New Roman" w:eastAsia="Times New Roman" w:hAnsi="Times New Roman" w:cs="Times New Roman"/>
            <w:color w:val="000000"/>
            <w:sz w:val="24"/>
            <w:szCs w:val="24"/>
          </w:rPr>
          <w:t>(Morris et al., 2015)</w:t>
        </w:r>
      </w:hyperlink>
      <w:r>
        <w:rPr>
          <w:rFonts w:ascii="Times New Roman" w:eastAsia="Times New Roman" w:hAnsi="Times New Roman" w:cs="Times New Roman"/>
          <w:sz w:val="24"/>
          <w:szCs w:val="24"/>
        </w:rPr>
        <w:t xml:space="preserve">. Indeed, previous research has indicated that acute circadian misalignment, such as that caused by jet lag, shift work and late meal timing, influences energy balance and glycaemic control </w:t>
      </w:r>
      <w:hyperlink r:id="rId46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and Gómez-</w:t>
        </w:r>
        <w:proofErr w:type="spellStart"/>
        <w:r>
          <w:rPr>
            <w:rFonts w:ascii="Times New Roman" w:eastAsia="Times New Roman" w:hAnsi="Times New Roman" w:cs="Times New Roman"/>
            <w:color w:val="000000"/>
            <w:sz w:val="24"/>
            <w:szCs w:val="24"/>
          </w:rPr>
          <w:t>Abellán</w:t>
        </w:r>
        <w:proofErr w:type="spellEnd"/>
        <w:r w:rsidR="006A42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2014; Broussard and Van </w:t>
        </w:r>
        <w:proofErr w:type="spellStart"/>
        <w:r>
          <w:rPr>
            <w:rFonts w:ascii="Times New Roman" w:eastAsia="Times New Roman" w:hAnsi="Times New Roman" w:cs="Times New Roman"/>
            <w:color w:val="000000"/>
            <w:sz w:val="24"/>
            <w:szCs w:val="24"/>
          </w:rPr>
          <w:t>Cauter</w:t>
        </w:r>
        <w:proofErr w:type="spellEnd"/>
        <w:r w:rsidR="006A42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2016; Qian and Scheer</w:t>
        </w:r>
        <w:r w:rsidR="006A42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2020; Qian et al., 2019)</w:t>
        </w:r>
      </w:hyperlink>
      <w:r>
        <w:rPr>
          <w:rFonts w:ascii="Times New Roman" w:eastAsia="Times New Roman" w:hAnsi="Times New Roman" w:cs="Times New Roman"/>
          <w:sz w:val="24"/>
          <w:szCs w:val="24"/>
        </w:rPr>
        <w:t>.</w:t>
      </w:r>
    </w:p>
    <w:p w14:paraId="00000355" w14:textId="77777777" w:rsidR="00CB4215" w:rsidRDefault="00CB4215">
      <w:pPr>
        <w:spacing w:line="480" w:lineRule="auto"/>
        <w:rPr>
          <w:rFonts w:ascii="Times New Roman" w:eastAsia="Times New Roman" w:hAnsi="Times New Roman" w:cs="Times New Roman"/>
          <w:sz w:val="24"/>
          <w:szCs w:val="24"/>
        </w:rPr>
      </w:pPr>
    </w:p>
    <w:p w14:paraId="0000035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some other studies found no relationship between late eating and increased BMI (Kant et al., 1997; </w:t>
      </w:r>
      <w:proofErr w:type="spellStart"/>
      <w:r>
        <w:rPr>
          <w:rFonts w:ascii="Times New Roman" w:eastAsia="Times New Roman" w:hAnsi="Times New Roman" w:cs="Times New Roman"/>
          <w:sz w:val="24"/>
          <w:szCs w:val="24"/>
        </w:rPr>
        <w:t>Mogensen</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Culnan</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Kutsuma</w:t>
      </w:r>
      <w:proofErr w:type="spellEnd"/>
      <w:r>
        <w:rPr>
          <w:rFonts w:ascii="Times New Roman" w:eastAsia="Times New Roman" w:hAnsi="Times New Roman" w:cs="Times New Roman"/>
          <w:sz w:val="24"/>
          <w:szCs w:val="24"/>
        </w:rPr>
        <w:t xml:space="preserve"> et al., 2014; </w:t>
      </w:r>
      <w:proofErr w:type="spellStart"/>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 2019; Sandhu et al., 2017). For instance, a cross-sectional study assessed late evening eating by using a self-reported questionnaire and showed that late evening eating was not significantly related to increased risk of overweight (Lee et al., 2016). Similarly, </w:t>
      </w:r>
      <w:proofErr w:type="spellStart"/>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al.'s observational study indicated that having an evening meal within 2 hours of bedtime was not a predictor of overweight or obesity (</w:t>
      </w:r>
      <w:proofErr w:type="spellStart"/>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 2019). </w:t>
      </w:r>
    </w:p>
    <w:p w14:paraId="00000357" w14:textId="77777777" w:rsidR="00CB4215" w:rsidRDefault="00CB4215">
      <w:pPr>
        <w:spacing w:line="480" w:lineRule="auto"/>
        <w:rPr>
          <w:rFonts w:ascii="Times New Roman" w:eastAsia="Times New Roman" w:hAnsi="Times New Roman" w:cs="Times New Roman"/>
          <w:sz w:val="24"/>
          <w:szCs w:val="24"/>
        </w:rPr>
      </w:pPr>
    </w:p>
    <w:p w14:paraId="00000358"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some possible reasons to explain the discrepant results. Firstly, there is no agreed definition of late eating. Researchers have used a variety of ways to characterise late eating, e.g., using meal names </w:t>
      </w:r>
      <w:r>
        <w:rPr>
          <w:rFonts w:ascii="Times New Roman" w:eastAsia="Times New Roman" w:hAnsi="Times New Roman" w:cs="Times New Roman"/>
          <w:sz w:val="24"/>
          <w:szCs w:val="24"/>
          <w:highlight w:val="white"/>
        </w:rPr>
        <w:t>(</w:t>
      </w:r>
      <w:hyperlink r:id="rId469">
        <w:r>
          <w:rPr>
            <w:rFonts w:ascii="Times New Roman" w:eastAsia="Times New Roman" w:hAnsi="Times New Roman" w:cs="Times New Roman"/>
            <w:color w:val="000000"/>
            <w:sz w:val="24"/>
            <w:szCs w:val="24"/>
          </w:rPr>
          <w:t>Reid et al., 2014</w:t>
        </w:r>
      </w:hyperlink>
      <w:r>
        <w:rPr>
          <w:rFonts w:ascii="Times New Roman" w:eastAsia="Times New Roman" w:hAnsi="Times New Roman" w:cs="Times New Roman"/>
          <w:sz w:val="24"/>
          <w:szCs w:val="24"/>
          <w:highlight w:val="white"/>
        </w:rPr>
        <w:t xml:space="preserve">), or </w:t>
      </w:r>
      <w:r>
        <w:rPr>
          <w:rFonts w:ascii="Times New Roman" w:eastAsia="Times New Roman" w:hAnsi="Times New Roman" w:cs="Times New Roman"/>
          <w:sz w:val="24"/>
          <w:szCs w:val="24"/>
        </w:rPr>
        <w:t>using a specific time of day to characterise early or late meals</w:t>
      </w:r>
      <w:r>
        <w:rPr>
          <w:rFonts w:ascii="Times New Roman" w:eastAsia="Times New Roman" w:hAnsi="Times New Roman" w:cs="Times New Roman"/>
          <w:sz w:val="24"/>
          <w:szCs w:val="24"/>
          <w:highlight w:val="white"/>
        </w:rPr>
        <w:t xml:space="preserve"> (cut-off point as 8 PM: </w:t>
      </w:r>
      <w:hyperlink r:id="rId470">
        <w:r>
          <w:rPr>
            <w:rFonts w:ascii="Times New Roman" w:eastAsia="Times New Roman" w:hAnsi="Times New Roman" w:cs="Times New Roman"/>
            <w:color w:val="000000"/>
            <w:sz w:val="24"/>
            <w:szCs w:val="24"/>
          </w:rPr>
          <w:t>Jacob et al., 2023</w:t>
        </w:r>
      </w:hyperlink>
      <w:r>
        <w:rPr>
          <w:rFonts w:ascii="Times New Roman" w:eastAsia="Times New Roman" w:hAnsi="Times New Roman" w:cs="Times New Roman"/>
          <w:sz w:val="24"/>
          <w:szCs w:val="24"/>
          <w:highlight w:val="white"/>
        </w:rPr>
        <w:t xml:space="preserve">; </w:t>
      </w:r>
      <w:hyperlink r:id="rId471">
        <w:r>
          <w:rPr>
            <w:rFonts w:ascii="Times New Roman" w:eastAsia="Times New Roman" w:hAnsi="Times New Roman" w:cs="Times New Roman"/>
            <w:color w:val="000000"/>
            <w:sz w:val="24"/>
            <w:szCs w:val="24"/>
          </w:rPr>
          <w:t xml:space="preserve">Baron et al., 2011; </w:t>
        </w:r>
      </w:hyperlink>
      <w:r>
        <w:rPr>
          <w:rFonts w:ascii="Times New Roman" w:eastAsia="Times New Roman" w:hAnsi="Times New Roman" w:cs="Times New Roman"/>
          <w:sz w:val="24"/>
          <w:szCs w:val="24"/>
        </w:rPr>
        <w:t>Sandhu et al., 2017</w:t>
      </w:r>
      <w:r>
        <w:rPr>
          <w:rFonts w:ascii="Times New Roman" w:eastAsia="Times New Roman" w:hAnsi="Times New Roman" w:cs="Times New Roman"/>
          <w:sz w:val="24"/>
          <w:szCs w:val="24"/>
          <w:highlight w:val="white"/>
        </w:rPr>
        <w:t xml:space="preserve">, cut-off point as 3 PM </w:t>
      </w:r>
      <w:hyperlink r:id="rId472">
        <w:proofErr w:type="spellStart"/>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et al., 2013; Ruiz-Lozano et al., 2016</w:t>
        </w:r>
      </w:hyperlink>
      <w:hyperlink r:id="rId473">
        <w:r>
          <w:rPr>
            <w:rFonts w:ascii="Times New Roman" w:eastAsia="Times New Roman" w:hAnsi="Times New Roman" w:cs="Times New Roman"/>
            <w:color w:val="000000"/>
            <w:sz w:val="24"/>
            <w:szCs w:val="24"/>
            <w:highlight w:val="white"/>
          </w:rPr>
          <w:t xml:space="preserve">; </w:t>
        </w:r>
      </w:hyperlink>
      <w:r>
        <w:rPr>
          <w:rFonts w:ascii="Times New Roman" w:eastAsia="Times New Roman" w:hAnsi="Times New Roman" w:cs="Times New Roman"/>
          <w:sz w:val="24"/>
          <w:szCs w:val="24"/>
          <w:highlight w:val="white"/>
        </w:rPr>
        <w:t xml:space="preserve">cut-off point as 2:54 PM </w:t>
      </w:r>
      <w:hyperlink r:id="rId474">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highlight w:val="white"/>
        </w:rPr>
        <w:t xml:space="preserve"> or cut-off point as 5 PM </w:t>
      </w:r>
      <w:r>
        <w:rPr>
          <w:rFonts w:ascii="Times New Roman" w:eastAsia="Times New Roman" w:hAnsi="Times New Roman" w:cs="Times New Roman"/>
          <w:sz w:val="24"/>
          <w:szCs w:val="24"/>
        </w:rPr>
        <w:t xml:space="preserve">Kant et al., 1997). Secondly, studies showing no association between late eating and higher BMI are cross-sectional, therefore the </w:t>
      </w:r>
      <w:r>
        <w:rPr>
          <w:rFonts w:ascii="Times New Roman" w:eastAsia="Times New Roman" w:hAnsi="Times New Roman" w:cs="Times New Roman"/>
          <w:sz w:val="24"/>
          <w:szCs w:val="24"/>
        </w:rPr>
        <w:lastRenderedPageBreak/>
        <w:t xml:space="preserve">causality of the relationship cannot be determined. Thirdly, the types of foods consumed in the evening and nutritional content have an influence on total energy intake. Evidence suggests that foods eaten in the evening are likely to have a higher energy density than those consumed earlier in the day </w:t>
      </w:r>
      <w:hyperlink r:id="rId475">
        <w:r>
          <w:rPr>
            <w:rFonts w:ascii="Times New Roman" w:eastAsia="Times New Roman" w:hAnsi="Times New Roman" w:cs="Times New Roman"/>
            <w:color w:val="000000"/>
            <w:sz w:val="24"/>
            <w:szCs w:val="24"/>
          </w:rPr>
          <w:t xml:space="preserve">(de Castro 2004; Kant and </w:t>
        </w:r>
        <w:proofErr w:type="spellStart"/>
        <w:r>
          <w:rPr>
            <w:rFonts w:ascii="Times New Roman" w:eastAsia="Times New Roman" w:hAnsi="Times New Roman" w:cs="Times New Roman"/>
            <w:color w:val="000000"/>
            <w:sz w:val="24"/>
            <w:szCs w:val="24"/>
          </w:rPr>
          <w:t>Graubard</w:t>
        </w:r>
        <w:proofErr w:type="spellEnd"/>
        <w:r>
          <w:rPr>
            <w:rFonts w:ascii="Times New Roman" w:eastAsia="Times New Roman" w:hAnsi="Times New Roman" w:cs="Times New Roman"/>
            <w:color w:val="000000"/>
            <w:sz w:val="24"/>
            <w:szCs w:val="24"/>
          </w:rPr>
          <w:t xml:space="preserve"> 2006)</w:t>
        </w:r>
      </w:hyperlink>
      <w:r>
        <w:rPr>
          <w:rFonts w:ascii="Times New Roman" w:eastAsia="Times New Roman" w:hAnsi="Times New Roman" w:cs="Times New Roman"/>
          <w:sz w:val="24"/>
          <w:szCs w:val="24"/>
        </w:rPr>
        <w:t xml:space="preserve">, which can promote greater energy intake </w:t>
      </w:r>
      <w:hyperlink r:id="rId476">
        <w:r>
          <w:rPr>
            <w:rFonts w:ascii="Times New Roman" w:eastAsia="Times New Roman" w:hAnsi="Times New Roman" w:cs="Times New Roman"/>
            <w:color w:val="000000"/>
            <w:sz w:val="24"/>
            <w:szCs w:val="24"/>
          </w:rPr>
          <w:t xml:space="preserve">(Murakami et al., 2017; </w:t>
        </w:r>
        <w:proofErr w:type="spellStart"/>
        <w:r>
          <w:rPr>
            <w:rFonts w:ascii="Times New Roman" w:eastAsia="Times New Roman" w:hAnsi="Times New Roman" w:cs="Times New Roman"/>
            <w:color w:val="000000"/>
            <w:sz w:val="24"/>
            <w:szCs w:val="24"/>
          </w:rPr>
          <w:t>Ledikwe</w:t>
        </w:r>
        <w:proofErr w:type="spellEnd"/>
        <w:r>
          <w:rPr>
            <w:rFonts w:ascii="Times New Roman" w:eastAsia="Times New Roman" w:hAnsi="Times New Roman" w:cs="Times New Roman"/>
            <w:color w:val="000000"/>
            <w:sz w:val="24"/>
            <w:szCs w:val="24"/>
          </w:rPr>
          <w:t xml:space="preserve"> et al., 2006; Bell et al., 1998)</w:t>
        </w:r>
      </w:hyperlink>
      <w:r>
        <w:rPr>
          <w:rFonts w:ascii="Times New Roman" w:eastAsia="Times New Roman" w:hAnsi="Times New Roman" w:cs="Times New Roman"/>
          <w:sz w:val="24"/>
          <w:szCs w:val="24"/>
        </w:rPr>
        <w:t xml:space="preserve">. However, several studies did not consider total energy intake and types of foods consumed in the evening (Lee et al., 2016; </w:t>
      </w:r>
      <w:proofErr w:type="spellStart"/>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 2019). Therefore, it is difficult to test whether the association between late evening eating and BMI is independent of total energy intake. Finally, studies finding no significant relationships between late eating and increased BMI relied on self-reported measures, such as food diaries, height and weight (Kant et al., 1997; </w:t>
      </w:r>
      <w:proofErr w:type="spellStart"/>
      <w:r>
        <w:rPr>
          <w:rFonts w:ascii="Times New Roman" w:eastAsia="Times New Roman" w:hAnsi="Times New Roman" w:cs="Times New Roman"/>
          <w:sz w:val="24"/>
          <w:szCs w:val="24"/>
        </w:rPr>
        <w:t>Mogensen</w:t>
      </w:r>
      <w:proofErr w:type="spellEnd"/>
      <w:r>
        <w:rPr>
          <w:rFonts w:ascii="Times New Roman" w:eastAsia="Times New Roman" w:hAnsi="Times New Roman" w:cs="Times New Roman"/>
          <w:sz w:val="24"/>
          <w:szCs w:val="24"/>
        </w:rPr>
        <w:t xml:space="preserve"> et al., 2020). Misreporting of energy intake in self-reported dietary assessments is well documented and is recognised as a major limitation in the evaluation of dietary effects on health </w:t>
      </w:r>
      <w:hyperlink r:id="rId477">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Ravelli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Schoeller</w:t>
        </w:r>
        <w:proofErr w:type="spellEnd"/>
        <w:r>
          <w:rPr>
            <w:rFonts w:ascii="Times New Roman" w:eastAsia="Times New Roman" w:hAnsi="Times New Roman" w:cs="Times New Roman"/>
            <w:color w:val="000000"/>
            <w:sz w:val="24"/>
            <w:szCs w:val="24"/>
          </w:rPr>
          <w:t xml:space="preserve"> 2020)</w:t>
        </w:r>
      </w:hyperlink>
      <w:r>
        <w:rPr>
          <w:rFonts w:ascii="Times New Roman" w:eastAsia="Times New Roman" w:hAnsi="Times New Roman" w:cs="Times New Roman"/>
          <w:sz w:val="24"/>
          <w:szCs w:val="24"/>
        </w:rPr>
        <w:t xml:space="preserve">.  </w:t>
      </w:r>
    </w:p>
    <w:p w14:paraId="00000359" w14:textId="77777777" w:rsidR="00CB4215" w:rsidRDefault="00CB4215">
      <w:pPr>
        <w:spacing w:line="480" w:lineRule="auto"/>
        <w:rPr>
          <w:rFonts w:ascii="Times New Roman" w:eastAsia="Times New Roman" w:hAnsi="Times New Roman" w:cs="Times New Roman"/>
          <w:sz w:val="24"/>
          <w:szCs w:val="24"/>
        </w:rPr>
      </w:pPr>
    </w:p>
    <w:p w14:paraId="0000035A"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inconsistent findings, a systematic review of ten observational and experimental studies showed associations between late eating, weight gain, hyperglycaemia and diabetes mellitus and the benefits of early eating in a range of individuals, e.g., post-bariatric surgery patients, individuals with overweight/obesity, and the general population </w:t>
      </w:r>
      <w:hyperlink r:id="rId47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Beccuti</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More broadly, a systematic review of 43 studies found that late chronotype, which reflects people prefer to engage in activities or rest during specific times of the day, is associated with unhealthy eating habits, such as eating late in the evening and consuming more energy dense foods and is also more likely to be increased weight and BMI </w:t>
      </w:r>
      <w:hyperlink r:id="rId479">
        <w:r>
          <w:rPr>
            <w:rFonts w:ascii="Times New Roman" w:eastAsia="Times New Roman" w:hAnsi="Times New Roman" w:cs="Times New Roman"/>
            <w:color w:val="000000"/>
            <w:sz w:val="24"/>
            <w:szCs w:val="24"/>
          </w:rPr>
          <w:t>(Teixeira et al., 2022)</w:t>
        </w:r>
      </w:hyperlink>
      <w:r>
        <w:rPr>
          <w:rFonts w:ascii="Times New Roman" w:eastAsia="Times New Roman" w:hAnsi="Times New Roman" w:cs="Times New Roman"/>
          <w:sz w:val="24"/>
          <w:szCs w:val="24"/>
        </w:rPr>
        <w:t>. Therefore, while there are some inconsistencies in the food timing literature, eating late is identified as a potential risk factor for obesity in the long term.</w:t>
      </w:r>
    </w:p>
    <w:p w14:paraId="0000035B" w14:textId="77777777" w:rsidR="00CB4215" w:rsidRDefault="00CB4215">
      <w:pPr>
        <w:spacing w:line="480" w:lineRule="auto"/>
        <w:rPr>
          <w:rFonts w:ascii="Times New Roman" w:eastAsia="Times New Roman" w:hAnsi="Times New Roman" w:cs="Times New Roman"/>
          <w:sz w:val="24"/>
          <w:szCs w:val="24"/>
        </w:rPr>
      </w:pPr>
    </w:p>
    <w:p w14:paraId="0000035C"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While the timing of food consumption is increasingly recognised as a factor that could influence overall health and potentially contribute to obesity, there is still uncertainty about the specific characteristics and behaviours of late eaters. Early identification of potential barriers to weight loss could enhance the effectiveness of weight loss trials in susceptible population. Research comparing late and early eaters has found that late eaters are more likely to eat under stress, overeat in the evening and eat while watching television than early eaters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Moreover, stressful eating, eating when bored, and low motivation to lose weight have been identified as common barriers to weight-loss barriers that could be targeted in the future </w:t>
      </w:r>
      <w:hyperlink r:id="rId48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Arasu</w:t>
        </w:r>
        <w:proofErr w:type="spellEnd"/>
        <w:r>
          <w:rPr>
            <w:rFonts w:ascii="Times New Roman" w:eastAsia="Times New Roman" w:hAnsi="Times New Roman" w:cs="Times New Roman"/>
            <w:color w:val="000000"/>
            <w:sz w:val="24"/>
            <w:szCs w:val="24"/>
          </w:rPr>
          <w:t xml:space="preserve"> et al., 2019; Sharifi et al., 2013)</w:t>
        </w:r>
      </w:hyperlink>
      <w:r>
        <w:rPr>
          <w:rFonts w:ascii="Times New Roman" w:eastAsia="Times New Roman" w:hAnsi="Times New Roman" w:cs="Times New Roman"/>
          <w:sz w:val="24"/>
          <w:szCs w:val="24"/>
        </w:rPr>
        <w:t xml:space="preserve">. Furthermore, it has been suggested that health behaviours such as sleep, and physical activity influence the time of food intake </w:t>
      </w:r>
      <w:hyperlink r:id="rId481">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2019)</w:t>
        </w:r>
      </w:hyperlink>
      <w:r>
        <w:rPr>
          <w:rFonts w:ascii="Times New Roman" w:eastAsia="Times New Roman" w:hAnsi="Times New Roman" w:cs="Times New Roman"/>
          <w:sz w:val="24"/>
          <w:szCs w:val="24"/>
        </w:rPr>
        <w:t xml:space="preserve">. Specifically, being awake in the evening due to social obligations may be an additional opportunity for food intake. Indeed, epidemiological and experimental studies have shown that sleep influences dietary choices and hunger </w:t>
      </w:r>
      <w:hyperlink r:id="rId48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2015; Al Khatib et al., 2018; </w:t>
        </w:r>
        <w:proofErr w:type="spellStart"/>
        <w:r>
          <w:rPr>
            <w:rFonts w:ascii="Times New Roman" w:eastAsia="Times New Roman" w:hAnsi="Times New Roman" w:cs="Times New Roman"/>
            <w:color w:val="000000"/>
            <w:sz w:val="24"/>
            <w:szCs w:val="24"/>
          </w:rPr>
          <w:t>Tasali</w:t>
        </w:r>
        <w:proofErr w:type="spellEnd"/>
        <w:r>
          <w:rPr>
            <w:rFonts w:ascii="Times New Roman" w:eastAsia="Times New Roman" w:hAnsi="Times New Roman" w:cs="Times New Roman"/>
            <w:color w:val="000000"/>
            <w:sz w:val="24"/>
            <w:szCs w:val="24"/>
          </w:rPr>
          <w:t xml:space="preserve"> et al., 2014)</w:t>
        </w:r>
      </w:hyperlink>
      <w:r>
        <w:rPr>
          <w:rFonts w:ascii="Times New Roman" w:eastAsia="Times New Roman" w:hAnsi="Times New Roman" w:cs="Times New Roman"/>
          <w:sz w:val="24"/>
          <w:szCs w:val="24"/>
        </w:rPr>
        <w:t xml:space="preserve">, and suggest that shorter sleep, leading to longer periods of wakefulness, may foster later eating times and increased frequency of eating by providing more opportunities to eat. Reid et al. (2014) conducted an observational study of healthy adults and found that longer sleep duration was significantly correlated with eating last meals earlier. In addition, another study found that shorter sleep duration was associated with a later dinner time (after 9 pm) in middle-aged Japanese men with obesity </w:t>
      </w:r>
      <w:hyperlink r:id="rId483">
        <w:r>
          <w:rPr>
            <w:rFonts w:ascii="Times New Roman" w:eastAsia="Times New Roman" w:hAnsi="Times New Roman" w:cs="Times New Roman"/>
            <w:color w:val="000000"/>
            <w:sz w:val="24"/>
            <w:szCs w:val="24"/>
          </w:rPr>
          <w:t>(Hsieh et al., 2011)</w:t>
        </w:r>
      </w:hyperlink>
      <w:r>
        <w:rPr>
          <w:rFonts w:ascii="Times New Roman" w:eastAsia="Times New Roman" w:hAnsi="Times New Roman" w:cs="Times New Roman"/>
          <w:sz w:val="24"/>
          <w:szCs w:val="24"/>
        </w:rPr>
        <w:t xml:space="preserve">. The endogenous circadian system may be playing a role in regulating the timing of food intake, and it has been observed that energy expenditure is under the control of the endogenous circadian system </w:t>
      </w:r>
      <w:hyperlink r:id="rId484">
        <w:r>
          <w:rPr>
            <w:rFonts w:ascii="Times New Roman" w:eastAsia="Times New Roman" w:hAnsi="Times New Roman" w:cs="Times New Roman"/>
            <w:color w:val="000000"/>
            <w:sz w:val="24"/>
            <w:szCs w:val="24"/>
          </w:rPr>
          <w:t xml:space="preserve">(Ruddick-Collins et al., 2018; </w:t>
        </w:r>
        <w:proofErr w:type="spellStart"/>
        <w:r>
          <w:rPr>
            <w:rFonts w:ascii="Times New Roman" w:eastAsia="Times New Roman" w:hAnsi="Times New Roman" w:cs="Times New Roman"/>
            <w:color w:val="000000"/>
            <w:sz w:val="24"/>
            <w:szCs w:val="24"/>
          </w:rPr>
          <w:t>Zitting</w:t>
        </w:r>
        <w:proofErr w:type="spellEnd"/>
        <w:r>
          <w:rPr>
            <w:rFonts w:ascii="Times New Roman" w:eastAsia="Times New Roman" w:hAnsi="Times New Roman" w:cs="Times New Roman"/>
            <w:color w:val="000000"/>
            <w:sz w:val="24"/>
            <w:szCs w:val="24"/>
          </w:rPr>
          <w:t xml:space="preserve"> et al., 2018)</w:t>
        </w:r>
      </w:hyperlink>
      <w:r>
        <w:rPr>
          <w:rFonts w:ascii="Times New Roman" w:eastAsia="Times New Roman" w:hAnsi="Times New Roman" w:cs="Times New Roman"/>
          <w:sz w:val="24"/>
          <w:szCs w:val="24"/>
        </w:rPr>
        <w:t>. Therefore, exploring the differences in physical activity and sleep between early and late eaters is necessary to understand the complex interactions between meal timing, circadian rhythms, and health behaviours.</w:t>
      </w:r>
    </w:p>
    <w:p w14:paraId="0000035D" w14:textId="04AA6436"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Eating behaviour traits are considered to be reliable, acquired indices of food-related behaviours </w:t>
      </w:r>
      <w:hyperlink r:id="rId485">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Varady</w:t>
        </w:r>
        <w:proofErr w:type="spellEnd"/>
        <w:r w:rsidR="006A42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2016)</w:t>
        </w:r>
      </w:hyperlink>
      <w:r>
        <w:rPr>
          <w:rFonts w:ascii="Times New Roman" w:eastAsia="Times New Roman" w:hAnsi="Times New Roman" w:cs="Times New Roman"/>
          <w:sz w:val="24"/>
          <w:szCs w:val="24"/>
        </w:rPr>
        <w:t xml:space="preserve"> and have also been extensively investigated to identify potential markers of overconsumption </w:t>
      </w:r>
      <w:hyperlink r:id="rId486">
        <w:r>
          <w:rPr>
            <w:rFonts w:ascii="Times New Roman" w:eastAsia="Times New Roman" w:hAnsi="Times New Roman" w:cs="Times New Roman"/>
            <w:color w:val="000000"/>
            <w:sz w:val="24"/>
            <w:szCs w:val="24"/>
          </w:rPr>
          <w:t>(Bass and Takahashi</w:t>
        </w:r>
        <w:r w:rsidR="006A42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2010)</w:t>
        </w:r>
      </w:hyperlink>
      <w:r>
        <w:rPr>
          <w:rFonts w:ascii="Times New Roman" w:eastAsia="Times New Roman" w:hAnsi="Times New Roman" w:cs="Times New Roman"/>
          <w:sz w:val="24"/>
          <w:szCs w:val="24"/>
        </w:rPr>
        <w:t xml:space="preserve">. Moreover, multiple psychological traits have been associated with eating behaviours, for instance, traits linked with susceptibility to uncontrolled eating (e.g., disinhibition and emotional eating) (Foster et al., 1998). Eating behaviour traits such as disinhibition (the tendency to overeat; </w:t>
      </w:r>
      <w:hyperlink r:id="rId487">
        <w:proofErr w:type="spellStart"/>
        <w:r>
          <w:rPr>
            <w:rFonts w:ascii="Times New Roman" w:eastAsia="Times New Roman" w:hAnsi="Times New Roman" w:cs="Times New Roman"/>
            <w:color w:val="000000"/>
            <w:sz w:val="24"/>
            <w:szCs w:val="24"/>
          </w:rPr>
          <w:t>Westenhoefer</w:t>
        </w:r>
        <w:proofErr w:type="spellEnd"/>
        <w:r>
          <w:rPr>
            <w:rFonts w:ascii="Times New Roman" w:eastAsia="Times New Roman" w:hAnsi="Times New Roman" w:cs="Times New Roman"/>
            <w:color w:val="000000"/>
            <w:sz w:val="24"/>
            <w:szCs w:val="24"/>
          </w:rPr>
          <w:t xml:space="preserve"> et al., 1994)</w:t>
        </w:r>
      </w:hyperlink>
      <w:r>
        <w:rPr>
          <w:rFonts w:ascii="Times New Roman" w:eastAsia="Times New Roman" w:hAnsi="Times New Roman" w:cs="Times New Roman"/>
          <w:sz w:val="24"/>
          <w:szCs w:val="24"/>
        </w:rPr>
        <w:t xml:space="preserve"> and emotional eating have also been associated with increased energy intake, weight gain and obesity </w:t>
      </w:r>
      <w:hyperlink r:id="rId488">
        <w:r>
          <w:rPr>
            <w:rFonts w:ascii="Times New Roman" w:eastAsia="Times New Roman" w:hAnsi="Times New Roman" w:cs="Times New Roman"/>
            <w:color w:val="000000"/>
            <w:sz w:val="24"/>
            <w:szCs w:val="24"/>
          </w:rPr>
          <w:t>(Dakin et al., 2023; Jacob et al., 2018; Bryant et al., 2019)</w:t>
        </w:r>
      </w:hyperlink>
      <w:r>
        <w:rPr>
          <w:rFonts w:ascii="Times New Roman" w:eastAsia="Times New Roman" w:hAnsi="Times New Roman" w:cs="Times New Roman"/>
          <w:sz w:val="24"/>
          <w:szCs w:val="24"/>
        </w:rPr>
        <w:t xml:space="preserve">. In contrast, other research has found that higher scores in cognitive restraint, satiety responsiveness and craving control are related to lower BMIs and decreased risk of overconsumption (Bryant et al., 2012; </w:t>
      </w:r>
      <w:proofErr w:type="spellStart"/>
      <w:r>
        <w:rPr>
          <w:rFonts w:ascii="Times New Roman" w:eastAsia="Times New Roman" w:hAnsi="Times New Roman" w:cs="Times New Roman"/>
          <w:sz w:val="24"/>
          <w:szCs w:val="24"/>
          <w:highlight w:val="white"/>
        </w:rPr>
        <w:t>Arguin</w:t>
      </w:r>
      <w:proofErr w:type="spellEnd"/>
      <w:r>
        <w:rPr>
          <w:rFonts w:ascii="Times New Roman" w:eastAsia="Times New Roman" w:hAnsi="Times New Roman" w:cs="Times New Roman"/>
          <w:sz w:val="24"/>
          <w:szCs w:val="24"/>
          <w:highlight w:val="white"/>
        </w:rPr>
        <w:t xml:space="preserve"> et al., 2017; Chao et al., 2014)</w:t>
      </w:r>
      <w:r>
        <w:rPr>
          <w:rFonts w:ascii="Times New Roman" w:eastAsia="Times New Roman" w:hAnsi="Times New Roman" w:cs="Times New Roman"/>
          <w:sz w:val="24"/>
          <w:szCs w:val="24"/>
        </w:rPr>
        <w:t xml:space="preserve">. According to the Behavioural </w:t>
      </w:r>
      <w:r w:rsidRPr="005319A8">
        <w:rPr>
          <w:rFonts w:ascii="Times New Roman" w:eastAsia="Times New Roman" w:hAnsi="Times New Roman" w:cs="Times New Roman"/>
          <w:sz w:val="24"/>
          <w:szCs w:val="24"/>
        </w:rPr>
        <w:t xml:space="preserve">Susceptibility Theory (Llewellyn </w:t>
      </w:r>
      <w:r w:rsidR="006A4262" w:rsidRPr="005319A8">
        <w:rPr>
          <w:rFonts w:ascii="Times New Roman" w:eastAsia="Times New Roman" w:hAnsi="Times New Roman" w:cs="Times New Roman"/>
          <w:sz w:val="24"/>
          <w:szCs w:val="24"/>
        </w:rPr>
        <w:t>and</w:t>
      </w:r>
      <w:r w:rsidRPr="005319A8">
        <w:rPr>
          <w:rFonts w:ascii="Times New Roman" w:eastAsia="Times New Roman" w:hAnsi="Times New Roman" w:cs="Times New Roman"/>
          <w:sz w:val="24"/>
          <w:szCs w:val="24"/>
        </w:rPr>
        <w:t xml:space="preserve"> Wardle, 2015), individuals</w:t>
      </w:r>
      <w:r>
        <w:rPr>
          <w:rFonts w:ascii="Times New Roman" w:eastAsia="Times New Roman" w:hAnsi="Times New Roman" w:cs="Times New Roman"/>
          <w:sz w:val="24"/>
          <w:szCs w:val="24"/>
        </w:rPr>
        <w:t xml:space="preserve"> with a heightened appetitive drive for food and weak responsiveness to satiety cues will be most likely to overconsumption in response to disinhibiting factors. Moreover, a higher proportion of total energy intake consumed as an evening snack was associated with disinhibition and binge eating severity (Leblanc et al., 2012). After pre-registering this study reported in the thesis, Jacob and colleagues (2023) used a three-day food diary and assessed eating behaviour traits: cognitive restraint, disinhibition, susceptibility to hunger and binge eating severity with the Three-Factor Eating Questionnaire (TFEQ) and the Binge Eating Scale (BES). Jacob et al. (2023) found late eating was significantly associated with traits, such as disinhibition and susceptibility to hunger in participants with overweight and obesity. However, Jacob's study limited to use two psychometric questionnaires to explore the associations between late eating and eating behaviour traits. It is unclear whether late eating is associated with other eating behaviour traits related to reduced BMIs, such as craving control. Therefore, the associations between late eating and other eating behaviour traits should be further </w:t>
      </w:r>
      <w:r>
        <w:rPr>
          <w:rFonts w:ascii="Times New Roman" w:eastAsia="Times New Roman" w:hAnsi="Times New Roman" w:cs="Times New Roman"/>
          <w:sz w:val="24"/>
          <w:szCs w:val="24"/>
        </w:rPr>
        <w:lastRenderedPageBreak/>
        <w:t xml:space="preserve">investigated. Insights into the eating behaviour traits and health behaviours related to late eating may be useful in the development of future individualised and successful interventions that target traits linked with overconsumption.  </w:t>
      </w:r>
    </w:p>
    <w:p w14:paraId="0000035E" w14:textId="77777777" w:rsidR="00CB4215" w:rsidRDefault="00CB4215">
      <w:pPr>
        <w:spacing w:line="480" w:lineRule="auto"/>
        <w:rPr>
          <w:rFonts w:ascii="Times New Roman" w:eastAsia="Times New Roman" w:hAnsi="Times New Roman" w:cs="Times New Roman"/>
          <w:sz w:val="24"/>
          <w:szCs w:val="24"/>
        </w:rPr>
      </w:pPr>
    </w:p>
    <w:p w14:paraId="0000035F"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Irregular eating</w:t>
      </w:r>
    </w:p>
    <w:p w14:paraId="00000360" w14:textId="05E66368"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Irregular eating, defined as variability in daily eating frequency, has been shown to be a risk factor for increasing energy density foods intake </w:t>
      </w:r>
      <w:hyperlink r:id="rId489">
        <w:r>
          <w:rPr>
            <w:rFonts w:ascii="Times New Roman" w:eastAsia="Times New Roman" w:hAnsi="Times New Roman" w:cs="Times New Roman"/>
            <w:color w:val="000000"/>
            <w:sz w:val="24"/>
            <w:szCs w:val="24"/>
          </w:rPr>
          <w:t>(Zahra et al., 2014)</w:t>
        </w:r>
      </w:hyperlink>
      <w:r>
        <w:rPr>
          <w:rFonts w:ascii="Times New Roman" w:eastAsia="Times New Roman" w:hAnsi="Times New Roman" w:cs="Times New Roman"/>
          <w:sz w:val="24"/>
          <w:szCs w:val="24"/>
        </w:rPr>
        <w:t xml:space="preserve">, increased weight gain </w:t>
      </w:r>
      <w:hyperlink r:id="rId490">
        <w:r>
          <w:rPr>
            <w:rFonts w:ascii="Times New Roman" w:eastAsia="Times New Roman" w:hAnsi="Times New Roman" w:cs="Times New Roman"/>
            <w:color w:val="000000"/>
            <w:sz w:val="24"/>
            <w:szCs w:val="24"/>
          </w:rPr>
          <w:t>(de Vos et al., 2015)</w:t>
        </w:r>
      </w:hyperlink>
      <w:r>
        <w:rPr>
          <w:rFonts w:ascii="Times New Roman" w:eastAsia="Times New Roman" w:hAnsi="Times New Roman" w:cs="Times New Roman"/>
          <w:sz w:val="24"/>
          <w:szCs w:val="24"/>
        </w:rPr>
        <w:t xml:space="preserve"> and the risk of obesity </w:t>
      </w:r>
      <w:hyperlink r:id="rId491">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Ekmekcioglu</w:t>
        </w:r>
        <w:proofErr w:type="spellEnd"/>
        <w:r>
          <w:rPr>
            <w:rFonts w:ascii="Times New Roman" w:eastAsia="Times New Roman" w:hAnsi="Times New Roman" w:cs="Times New Roman"/>
            <w:color w:val="000000"/>
            <w:sz w:val="24"/>
            <w:szCs w:val="24"/>
          </w:rPr>
          <w:t xml:space="preserve"> and Touitou</w:t>
        </w:r>
        <w:r w:rsidR="00BB740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2011)</w:t>
        </w:r>
      </w:hyperlink>
      <w:r>
        <w:rPr>
          <w:rFonts w:ascii="Times New Roman" w:eastAsia="Times New Roman" w:hAnsi="Times New Roman" w:cs="Times New Roman"/>
          <w:sz w:val="24"/>
          <w:szCs w:val="24"/>
        </w:rPr>
        <w:t xml:space="preserve">. Furthermore, cognitive behavioural therapies (CBT) used for binge eating treatment and obesity often promote the adoption of regular and structured meal patterns </w:t>
      </w:r>
      <w:hyperlink r:id="rId49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Palavras</w:t>
        </w:r>
        <w:proofErr w:type="spellEnd"/>
        <w:r>
          <w:rPr>
            <w:rFonts w:ascii="Times New Roman" w:eastAsia="Times New Roman" w:hAnsi="Times New Roman" w:cs="Times New Roman"/>
            <w:color w:val="000000"/>
            <w:sz w:val="24"/>
            <w:szCs w:val="24"/>
          </w:rPr>
          <w:t xml:space="preserve"> et al., 2015)</w:t>
        </w:r>
      </w:hyperlink>
      <w:r>
        <w:rPr>
          <w:rFonts w:ascii="Times New Roman" w:eastAsia="Times New Roman" w:hAnsi="Times New Roman" w:cs="Times New Roman"/>
          <w:sz w:val="24"/>
          <w:szCs w:val="24"/>
        </w:rPr>
        <w:t xml:space="preserve">. Yet, researchers have used different methods to identify and assess the irregularity of eating patterns. Some studies focus on the variability in the size of individual meals and snacks </w:t>
      </w:r>
      <w:hyperlink r:id="rId493">
        <w:r>
          <w:rPr>
            <w:rFonts w:ascii="Times New Roman" w:eastAsia="Times New Roman" w:hAnsi="Times New Roman" w:cs="Times New Roman"/>
            <w:color w:val="000000"/>
            <w:sz w:val="24"/>
            <w:szCs w:val="24"/>
          </w:rPr>
          <w:t xml:space="preserve">(Pot et al., 2014; </w:t>
        </w:r>
        <w:proofErr w:type="spellStart"/>
        <w:r>
          <w:rPr>
            <w:rFonts w:ascii="Times New Roman" w:eastAsia="Times New Roman" w:hAnsi="Times New Roman" w:cs="Times New Roman"/>
            <w:color w:val="000000"/>
            <w:sz w:val="24"/>
            <w:szCs w:val="24"/>
          </w:rPr>
          <w:t>Timlin</w:t>
        </w:r>
        <w:proofErr w:type="spellEnd"/>
        <w:r>
          <w:rPr>
            <w:rFonts w:ascii="Times New Roman" w:eastAsia="Times New Roman" w:hAnsi="Times New Roman" w:cs="Times New Roman"/>
            <w:color w:val="000000"/>
            <w:sz w:val="24"/>
            <w:szCs w:val="24"/>
          </w:rPr>
          <w:t xml:space="preserve"> and Pereira</w:t>
        </w:r>
        <w:r w:rsidR="006A42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2007; Astbury et al., 2011)</w:t>
        </w:r>
      </w:hyperlink>
      <w:r>
        <w:rPr>
          <w:rFonts w:ascii="Times New Roman" w:eastAsia="Times New Roman" w:hAnsi="Times New Roman" w:cs="Times New Roman"/>
          <w:sz w:val="24"/>
          <w:szCs w:val="24"/>
        </w:rPr>
        <w:t xml:space="preserve">, while others analyse the daily variability in total energy consumption </w:t>
      </w:r>
      <w:hyperlink r:id="rId494">
        <w:r>
          <w:rPr>
            <w:rFonts w:ascii="Times New Roman" w:eastAsia="Times New Roman" w:hAnsi="Times New Roman" w:cs="Times New Roman"/>
            <w:color w:val="000000"/>
            <w:sz w:val="24"/>
            <w:szCs w:val="24"/>
          </w:rPr>
          <w:t xml:space="preserve">(Sierra-Johnson et al., 2008; </w:t>
        </w:r>
        <w:proofErr w:type="spellStart"/>
        <w:r>
          <w:rPr>
            <w:rFonts w:ascii="Times New Roman" w:eastAsia="Times New Roman" w:hAnsi="Times New Roman" w:cs="Times New Roman"/>
            <w:color w:val="000000"/>
            <w:sz w:val="24"/>
            <w:szCs w:val="24"/>
          </w:rPr>
          <w:t>Farshchi</w:t>
        </w:r>
        <w:proofErr w:type="spellEnd"/>
        <w:r>
          <w:rPr>
            <w:rFonts w:ascii="Times New Roman" w:eastAsia="Times New Roman" w:hAnsi="Times New Roman" w:cs="Times New Roman"/>
            <w:color w:val="000000"/>
            <w:sz w:val="24"/>
            <w:szCs w:val="24"/>
          </w:rPr>
          <w:t xml:space="preserve"> et al., 2004; </w:t>
        </w:r>
        <w:proofErr w:type="spellStart"/>
        <w:r>
          <w:rPr>
            <w:rFonts w:ascii="Times New Roman" w:eastAsia="Times New Roman" w:hAnsi="Times New Roman" w:cs="Times New Roman"/>
            <w:color w:val="000000"/>
            <w:sz w:val="24"/>
            <w:szCs w:val="24"/>
          </w:rPr>
          <w:t>Farshchi</w:t>
        </w:r>
        <w:proofErr w:type="spellEnd"/>
        <w:r>
          <w:rPr>
            <w:rFonts w:ascii="Times New Roman" w:eastAsia="Times New Roman" w:hAnsi="Times New Roman" w:cs="Times New Roman"/>
            <w:color w:val="000000"/>
            <w:sz w:val="24"/>
            <w:szCs w:val="24"/>
          </w:rPr>
          <w:t xml:space="preserve"> et al., 2005; al-Isa</w:t>
        </w:r>
        <w:r w:rsidR="006A42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1999)</w:t>
        </w:r>
      </w:hyperlink>
      <w:r>
        <w:rPr>
          <w:rFonts w:ascii="Times New Roman" w:eastAsia="Times New Roman" w:hAnsi="Times New Roman" w:cs="Times New Roman"/>
          <w:sz w:val="24"/>
          <w:szCs w:val="24"/>
        </w:rPr>
        <w:t xml:space="preserve">. The influence of irregular eating patterns appears to be focused on specific meals. For example, research has shown that an irregular breakfast pattern is associated with a higher BMI </w:t>
      </w:r>
      <w:hyperlink r:id="rId495">
        <w:r>
          <w:rPr>
            <w:rFonts w:ascii="Times New Roman" w:eastAsia="Times New Roman" w:hAnsi="Times New Roman" w:cs="Times New Roman"/>
            <w:color w:val="000000"/>
            <w:sz w:val="24"/>
            <w:szCs w:val="24"/>
          </w:rPr>
          <w:t>(Yang et al., 2006; Berkey et al., 2003; Rodrigues et al., 2016)</w:t>
        </w:r>
      </w:hyperlink>
      <w:r>
        <w:rPr>
          <w:rFonts w:ascii="Times New Roman" w:eastAsia="Times New Roman" w:hAnsi="Times New Roman" w:cs="Times New Roman"/>
          <w:sz w:val="24"/>
          <w:szCs w:val="24"/>
        </w:rPr>
        <w:t xml:space="preserve">. However, there is a lack of research on the irregularity in the timing of eating occasions. </w:t>
      </w:r>
    </w:p>
    <w:p w14:paraId="00000361" w14:textId="77777777" w:rsidR="00CB4215" w:rsidRDefault="00CB4215">
      <w:pPr>
        <w:spacing w:line="480" w:lineRule="auto"/>
        <w:rPr>
          <w:rFonts w:ascii="Times New Roman" w:eastAsia="Times New Roman" w:hAnsi="Times New Roman" w:cs="Times New Roman"/>
          <w:sz w:val="24"/>
          <w:szCs w:val="24"/>
        </w:rPr>
      </w:pPr>
    </w:p>
    <w:p w14:paraId="00000362"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Chaotic eating</w:t>
      </w:r>
    </w:p>
    <w:p w14:paraId="00000363"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“chaotic eating”</w:t>
      </w:r>
      <w:r>
        <w:rPr>
          <w:sz w:val="24"/>
          <w:szCs w:val="24"/>
        </w:rPr>
        <w:t xml:space="preserve"> </w:t>
      </w:r>
      <w:r>
        <w:rPr>
          <w:rFonts w:ascii="Times New Roman" w:eastAsia="Times New Roman" w:hAnsi="Times New Roman" w:cs="Times New Roman"/>
          <w:sz w:val="24"/>
          <w:szCs w:val="24"/>
        </w:rPr>
        <w:t xml:space="preserve">was introduced by Zimmerman et al. (2018) referring to the tendency to eat at variable times of day. The chaotic eating index measures chaotic eating by capturing the variability in the timing of individual eating occasions and is calculated by dividing the number of possible 30-minute </w:t>
      </w:r>
      <w:proofErr w:type="gramStart"/>
      <w:r>
        <w:rPr>
          <w:rFonts w:ascii="Times New Roman" w:eastAsia="Times New Roman" w:hAnsi="Times New Roman" w:cs="Times New Roman"/>
          <w:sz w:val="24"/>
          <w:szCs w:val="24"/>
        </w:rPr>
        <w:t>meal time</w:t>
      </w:r>
      <w:proofErr w:type="gramEnd"/>
      <w:r>
        <w:rPr>
          <w:rFonts w:ascii="Times New Roman" w:eastAsia="Times New Roman" w:hAnsi="Times New Roman" w:cs="Times New Roman"/>
          <w:sz w:val="24"/>
          <w:szCs w:val="24"/>
        </w:rPr>
        <w:t xml:space="preserve"> slots by the meal frequency. </w:t>
      </w:r>
      <w:r>
        <w:rPr>
          <w:rFonts w:ascii="Times New Roman" w:eastAsia="Times New Roman" w:hAnsi="Times New Roman" w:cs="Times New Roman"/>
          <w:sz w:val="24"/>
          <w:szCs w:val="24"/>
        </w:rPr>
        <w:lastRenderedPageBreak/>
        <w:t xml:space="preserve">Zimmerman and colleagues (2018) conducted two studies to examine the relationship between BMI, chaotic eating and eating behaviour traits. Study 1 used self-reported height and weight to calculate BMI, and chaotic eating of meals and snacks based on self-reported timing. Using seven-day weighed food diaries from the National Diet and Nutrition Survey (NDNS) in a representative sample of UK adults, Study 2 assessed the associations between BMI, chaotic eating, eating behaviour traits and total energy intake. Results from both study 1 and 2 showed no significant associations between BMI and chaotic consumption of meals and snacks </w:t>
      </w:r>
      <w:hyperlink r:id="rId496">
        <w:r>
          <w:rPr>
            <w:rFonts w:ascii="Times New Roman" w:eastAsia="Times New Roman" w:hAnsi="Times New Roman" w:cs="Times New Roman"/>
            <w:color w:val="000000"/>
            <w:sz w:val="24"/>
            <w:szCs w:val="24"/>
          </w:rPr>
          <w:t>(Zimmerman et al., 2018)</w:t>
        </w:r>
      </w:hyperlink>
      <w:r>
        <w:rPr>
          <w:rFonts w:ascii="Times New Roman" w:eastAsia="Times New Roman" w:hAnsi="Times New Roman" w:cs="Times New Roman"/>
          <w:sz w:val="24"/>
          <w:szCs w:val="24"/>
        </w:rPr>
        <w:t xml:space="preserve">. However, in Study 1, higher scores on cognitive restraint were significantly related to less chaotic snacking, indicating that attempting to reduce food intake promotes regularity. In Study 2, higher scores on emotional, external and cognitive restraint were significantly linked with higher chaotic eating of meals, showing that variable </w:t>
      </w:r>
      <w:proofErr w:type="gramStart"/>
      <w:r>
        <w:rPr>
          <w:rFonts w:ascii="Times New Roman" w:eastAsia="Times New Roman" w:hAnsi="Times New Roman" w:cs="Times New Roman"/>
          <w:sz w:val="24"/>
          <w:szCs w:val="24"/>
        </w:rPr>
        <w:t>meal times</w:t>
      </w:r>
      <w:proofErr w:type="gramEnd"/>
      <w:r>
        <w:rPr>
          <w:rFonts w:ascii="Times New Roman" w:eastAsia="Times New Roman" w:hAnsi="Times New Roman" w:cs="Times New Roman"/>
          <w:sz w:val="24"/>
          <w:szCs w:val="24"/>
        </w:rPr>
        <w:t xml:space="preserve"> can increase the tendency to eat in response to external or emotional cues. Yet, evidence for the link between chaotic eating and BMI is limited. Therefore, the relationship between chaotic eating, BMI and eating behaviour traits should be further explored.</w:t>
      </w:r>
    </w:p>
    <w:p w14:paraId="00000364" w14:textId="77777777" w:rsidR="00CB4215" w:rsidRDefault="00CB4215">
      <w:pPr>
        <w:spacing w:line="480" w:lineRule="auto"/>
        <w:rPr>
          <w:rFonts w:ascii="Times New Roman" w:eastAsia="Times New Roman" w:hAnsi="Times New Roman" w:cs="Times New Roman"/>
          <w:sz w:val="24"/>
          <w:szCs w:val="24"/>
        </w:rPr>
      </w:pPr>
    </w:p>
    <w:p w14:paraId="0000036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Collectively, there is limited evidence exploring the associations between meal timing and a range of eating behaviour traits. Furthermore, there remains uncertainty in the psychological (eating behaviour traits) and behavioural characteristics (health behaviours) of the early and late eaters. As such, this study aimed to explore the associations between meal timing, chaotic eating, eating behaviour traits and BMI in UK adults, and compare the eating behaviour traits and health behaviours of early and late eaters. The hypotheses tested are presented below.</w:t>
      </w:r>
    </w:p>
    <w:p w14:paraId="00000366" w14:textId="77777777" w:rsidR="00CB4215" w:rsidRDefault="00CB4215">
      <w:pPr>
        <w:spacing w:line="480" w:lineRule="auto"/>
        <w:rPr>
          <w:rFonts w:ascii="Times New Roman" w:eastAsia="Times New Roman" w:hAnsi="Times New Roman" w:cs="Times New Roman"/>
          <w:sz w:val="24"/>
          <w:szCs w:val="24"/>
        </w:rPr>
      </w:pPr>
    </w:p>
    <w:p w14:paraId="00000367" w14:textId="77777777" w:rsidR="00CB4215" w:rsidRDefault="00CB4215">
      <w:pPr>
        <w:spacing w:line="480" w:lineRule="auto"/>
        <w:rPr>
          <w:rFonts w:ascii="Times New Roman" w:eastAsia="Times New Roman" w:hAnsi="Times New Roman" w:cs="Times New Roman"/>
          <w:sz w:val="24"/>
          <w:szCs w:val="24"/>
        </w:rPr>
      </w:pPr>
    </w:p>
    <w:p w14:paraId="00000368"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Primary hypothesis is listed below:</w:t>
      </w:r>
    </w:p>
    <w:p w14:paraId="0000036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Meal timing or meal pattern will be associated with BMI. Specifically: </w:t>
      </w:r>
    </w:p>
    <w:p w14:paraId="0000036A"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Late eating will be related to higher BMI.</w:t>
      </w:r>
    </w:p>
    <w:p w14:paraId="0000036B"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Chaotic eating will be related to higher BMI.</w:t>
      </w:r>
    </w:p>
    <w:p w14:paraId="0000036C"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Meal timing will be associated with eating behaviour traits: eating later in the day will be related to score lower in satiety responsiveness, craving control, cognitive restraint, intuitive eating and higher in disinhibition and emotional eating.</w:t>
      </w:r>
    </w:p>
    <w:p w14:paraId="0000036D"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Eating behaviour traits between early eaters and late eaters: It is expected that late eaters will score lower in satiety responsiveness, craving control, cognitive restraint, intuitive eating scores and higher in disinhibition compared to early eaters.</w:t>
      </w:r>
    </w:p>
    <w:p w14:paraId="0000036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Health behaviours between early eaters and late eaters: It is expected that late eaters will report shorter sleep duration, less physical activity and poorer dietary quality compared to early eaters.</w:t>
      </w:r>
    </w:p>
    <w:p w14:paraId="0000036F"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Eating behaviour traits between higher and lower chaotic eating eaters: It is expected that high chaotic eaters will score lower satiety responsiveness, craving control, cognitive restraint, intuitive eating scores and higher in disinhibition compared to low chaotic eaters.   </w:t>
      </w:r>
    </w:p>
    <w:p w14:paraId="00000370"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Health behaviours between higher and lower chaotic eating eaters: It is expected that high chaotic eaters will report shorter sleep duration, less physical activity and poorer dietary quality </w:t>
      </w:r>
    </w:p>
    <w:p w14:paraId="00000371" w14:textId="77777777" w:rsidR="00CB4215" w:rsidRDefault="00CB4215">
      <w:pPr>
        <w:spacing w:line="480" w:lineRule="auto"/>
        <w:rPr>
          <w:rFonts w:ascii="Times New Roman" w:eastAsia="Times New Roman" w:hAnsi="Times New Roman" w:cs="Times New Roman"/>
          <w:sz w:val="24"/>
          <w:szCs w:val="24"/>
        </w:rPr>
      </w:pPr>
    </w:p>
    <w:p w14:paraId="00000372" w14:textId="77777777" w:rsidR="00CB4215" w:rsidRDefault="000530B4">
      <w:pPr>
        <w:pStyle w:val="Heading3"/>
        <w:rPr>
          <w:rFonts w:ascii="Times New Roman" w:eastAsia="Times New Roman" w:hAnsi="Times New Roman" w:cs="Times New Roman"/>
          <w:b/>
          <w:color w:val="000000"/>
        </w:rPr>
      </w:pPr>
      <w:bookmarkStart w:id="75" w:name="_Toc172984802"/>
      <w:r>
        <w:rPr>
          <w:rFonts w:ascii="Times New Roman" w:eastAsia="Times New Roman" w:hAnsi="Times New Roman" w:cs="Times New Roman"/>
          <w:b/>
          <w:color w:val="000000"/>
        </w:rPr>
        <w:t>4.3 Method</w:t>
      </w:r>
      <w:bookmarkEnd w:id="75"/>
    </w:p>
    <w:p w14:paraId="00000374" w14:textId="638A4B53" w:rsidR="00CB4215" w:rsidRDefault="000530B4" w:rsidP="00A04E56">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4.3.1 Participants and recruitment</w:t>
      </w:r>
    </w:p>
    <w:p w14:paraId="4B789EDF" w14:textId="77777777" w:rsidR="00A04E56" w:rsidRPr="00A04E56" w:rsidRDefault="00A04E56" w:rsidP="00A04E56"/>
    <w:p w14:paraId="00000375" w14:textId="77777777" w:rsidR="00CB4215" w:rsidRPr="00A04E56" w:rsidRDefault="007E2DD6" w:rsidP="00A04E56">
      <w:pPr>
        <w:spacing w:line="480"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48"/>
          <w:id w:val="-1608122559"/>
        </w:sdtPr>
        <w:sdtEndPr/>
        <w:sdtContent>
          <w:r w:rsidR="000530B4" w:rsidRPr="00A04E56">
            <w:rPr>
              <w:rFonts w:ascii="Times New Roman" w:eastAsia="Gungsuh" w:hAnsi="Times New Roman" w:cs="Times New Roman"/>
              <w:sz w:val="24"/>
              <w:szCs w:val="24"/>
            </w:rPr>
            <w:t xml:space="preserve">Recruitment strategies targeted adults (≥18 years old) living in the UK. Participants were recruited from the online recruitment platform Prolific Academic between November and </w:t>
          </w:r>
          <w:r w:rsidR="000530B4" w:rsidRPr="00A04E56">
            <w:rPr>
              <w:rFonts w:ascii="Times New Roman" w:eastAsia="Gungsuh" w:hAnsi="Times New Roman" w:cs="Times New Roman"/>
              <w:sz w:val="24"/>
              <w:szCs w:val="24"/>
            </w:rPr>
            <w:lastRenderedPageBreak/>
            <w:t xml:space="preserve">December 2021. To be eligible, participants needed to be aged between 18-80 years and living in the UK. Participants were excluded if they reported a current or history of eating disorders, were pregnant or breastfeeding and incorrectly answered two attention questions. </w:t>
          </w:r>
        </w:sdtContent>
      </w:sdt>
    </w:p>
    <w:p w14:paraId="00000376" w14:textId="77777777" w:rsidR="00CB4215" w:rsidRDefault="00CB4215">
      <w:pPr>
        <w:spacing w:line="480" w:lineRule="auto"/>
        <w:rPr>
          <w:rFonts w:ascii="Times New Roman" w:eastAsia="Times New Roman" w:hAnsi="Times New Roman" w:cs="Times New Roman"/>
          <w:sz w:val="24"/>
          <w:szCs w:val="24"/>
        </w:rPr>
      </w:pPr>
    </w:p>
    <w:p w14:paraId="00000377"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G*Power analysis showed a minimum requirement of n=143 to detect a small effect size (d=0.1), with 80% power at a 5% significance level. However, 300 participants were recruited to provide a high-quality representative sample of both men and women.</w:t>
      </w:r>
    </w:p>
    <w:p w14:paraId="00000378" w14:textId="77777777" w:rsidR="00CB4215" w:rsidRDefault="00CB4215">
      <w:pPr>
        <w:spacing w:line="480" w:lineRule="auto"/>
        <w:rPr>
          <w:rFonts w:ascii="Times New Roman" w:eastAsia="Times New Roman" w:hAnsi="Times New Roman" w:cs="Times New Roman"/>
          <w:sz w:val="24"/>
          <w:szCs w:val="24"/>
        </w:rPr>
      </w:pPr>
    </w:p>
    <w:p w14:paraId="0000037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been ethically approved by the University of Sheffield Ethics Review Procedure administered by the Department of Psychology (Application number: 043873) and the study protocol was pre-registered on Open Science Framework (</w:t>
      </w:r>
      <w:hyperlink r:id="rId497">
        <w:r>
          <w:rPr>
            <w:rFonts w:ascii="Times New Roman" w:eastAsia="Times New Roman" w:hAnsi="Times New Roman" w:cs="Times New Roman"/>
            <w:color w:val="000000"/>
            <w:sz w:val="24"/>
            <w:szCs w:val="24"/>
          </w:rPr>
          <w:t>https://osf.io/428uh</w:t>
        </w:r>
      </w:hyperlink>
      <w:r>
        <w:rPr>
          <w:rFonts w:ascii="Times New Roman" w:eastAsia="Times New Roman" w:hAnsi="Times New Roman" w:cs="Times New Roman"/>
          <w:sz w:val="24"/>
          <w:szCs w:val="24"/>
        </w:rPr>
        <w:t xml:space="preserve">). </w:t>
      </w:r>
    </w:p>
    <w:p w14:paraId="0000037A" w14:textId="77777777" w:rsidR="00CB4215" w:rsidRDefault="00CB4215">
      <w:pPr>
        <w:spacing w:line="480" w:lineRule="auto"/>
        <w:rPr>
          <w:rFonts w:ascii="Times New Roman" w:eastAsia="Times New Roman" w:hAnsi="Times New Roman" w:cs="Times New Roman"/>
          <w:sz w:val="24"/>
          <w:szCs w:val="24"/>
        </w:rPr>
      </w:pPr>
    </w:p>
    <w:p w14:paraId="0000037B"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4.3.2 Study design</w:t>
      </w:r>
    </w:p>
    <w:p w14:paraId="0000037C" w14:textId="77777777" w:rsidR="00CB4215" w:rsidRDefault="00CB4215"/>
    <w:p w14:paraId="0000037D" w14:textId="69C75FF5"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online survey with adult participants was conducted. The participant information sheet (see Appendix B) was displayed on the first page of the survey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web link provided in the recruitment advertisement.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maintain the confidentiality of the study, participants were informed that the purpose of the research was to investigate the relationship between lifestyle factors and health behaviours in the general population. Concealing the true purpose of the study (i.e. associations with BMI) is important as awareness that height and weight is the outcome (BMI) may influence some participants’ responses (</w:t>
      </w:r>
      <w:hyperlink r:id="rId498">
        <w:r>
          <w:rPr>
            <w:rFonts w:ascii="Times New Roman" w:eastAsia="Times New Roman" w:hAnsi="Times New Roman" w:cs="Times New Roman"/>
            <w:color w:val="000000"/>
            <w:sz w:val="24"/>
            <w:szCs w:val="24"/>
          </w:rPr>
          <w:t xml:space="preserve">Sharpe and </w:t>
        </w:r>
        <w:proofErr w:type="spellStart"/>
        <w:r>
          <w:rPr>
            <w:rFonts w:ascii="Times New Roman" w:eastAsia="Times New Roman" w:hAnsi="Times New Roman" w:cs="Times New Roman"/>
            <w:color w:val="000000"/>
            <w:sz w:val="24"/>
            <w:szCs w:val="24"/>
          </w:rPr>
          <w:t>Whelton</w:t>
        </w:r>
        <w:proofErr w:type="spellEnd"/>
        <w:r w:rsidR="006A42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2016</w:t>
        </w:r>
      </w:hyperlink>
      <w:r>
        <w:rPr>
          <w:rFonts w:ascii="Times New Roman" w:eastAsia="Times New Roman" w:hAnsi="Times New Roman" w:cs="Times New Roman"/>
          <w:sz w:val="24"/>
          <w:szCs w:val="24"/>
        </w:rPr>
        <w:t>) (see more details in section 3.6). The true purpose of this study and the importance of deception were explained to participants in the debrief (see Appendix B). The survey asked participants to provide their age, gender, ethnicity, nationality, postcode (to determine Index of Multiple Deprivation), education level, general health status (</w:t>
      </w:r>
      <w:proofErr w:type="spellStart"/>
      <w:r>
        <w:rPr>
          <w:rFonts w:ascii="Times New Roman" w:eastAsia="Times New Roman" w:hAnsi="Times New Roman" w:cs="Times New Roman"/>
          <w:sz w:val="24"/>
          <w:szCs w:val="24"/>
        </w:rPr>
        <w:t>Jylhä</w:t>
      </w:r>
      <w:proofErr w:type="spellEnd"/>
      <w:r>
        <w:rPr>
          <w:rFonts w:ascii="Times New Roman" w:eastAsia="Times New Roman" w:hAnsi="Times New Roman" w:cs="Times New Roman"/>
          <w:sz w:val="24"/>
          <w:szCs w:val="24"/>
        </w:rPr>
        <w:t>, 2009), previous weight loss attempts (</w:t>
      </w:r>
      <w:proofErr w:type="spellStart"/>
      <w:r>
        <w:rPr>
          <w:rFonts w:ascii="Times New Roman" w:eastAsia="Times New Roman" w:hAnsi="Times New Roman" w:cs="Times New Roman"/>
          <w:sz w:val="24"/>
          <w:szCs w:val="24"/>
        </w:rPr>
        <w:t>Carraça</w:t>
      </w:r>
      <w:proofErr w:type="spellEnd"/>
      <w:r>
        <w:rPr>
          <w:rFonts w:ascii="Times New Roman" w:eastAsia="Times New Roman" w:hAnsi="Times New Roman" w:cs="Times New Roman"/>
          <w:sz w:val="24"/>
          <w:szCs w:val="24"/>
        </w:rPr>
        <w:t xml:space="preserve"> et al., 2018), habitual diet </w:t>
      </w:r>
      <w:r>
        <w:rPr>
          <w:rFonts w:ascii="Times New Roman" w:eastAsia="Times New Roman" w:hAnsi="Times New Roman" w:cs="Times New Roman"/>
          <w:sz w:val="24"/>
          <w:szCs w:val="24"/>
        </w:rPr>
        <w:lastRenderedPageBreak/>
        <w:t>and physical activity levels. The Index of Multiple Deprivation ranks small geographical areas in England, Wales and Scotland. The deciles are presented on a scale from '1 = most deprived' to '10 = least deprived'. Self-reported height and weight were collected to compute BMI (in kg/m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The survey also involved a series of questionnaires in a randomised order, including meal timings (time of day that breakfast, lunch, evening meal and evening snacks were consumed), satiety responsiveness (</w:t>
      </w:r>
      <w:proofErr w:type="spellStart"/>
      <w:r>
        <w:rPr>
          <w:rFonts w:ascii="Times New Roman" w:eastAsia="Times New Roman" w:hAnsi="Times New Roman" w:cs="Times New Roman"/>
          <w:sz w:val="24"/>
          <w:szCs w:val="24"/>
        </w:rPr>
        <w:t>Hunot</w:t>
      </w:r>
      <w:proofErr w:type="spellEnd"/>
      <w:r>
        <w:rPr>
          <w:rFonts w:ascii="Times New Roman" w:eastAsia="Times New Roman" w:hAnsi="Times New Roman" w:cs="Times New Roman"/>
          <w:sz w:val="24"/>
          <w:szCs w:val="24"/>
        </w:rPr>
        <w:t xml:space="preserve"> et al., 2016; </w:t>
      </w:r>
      <w:proofErr w:type="spellStart"/>
      <w:r>
        <w:rPr>
          <w:rFonts w:ascii="Times New Roman" w:eastAsia="Times New Roman" w:hAnsi="Times New Roman" w:cs="Times New Roman"/>
          <w:sz w:val="24"/>
          <w:szCs w:val="24"/>
        </w:rPr>
        <w:t>Tylka</w:t>
      </w:r>
      <w:proofErr w:type="spellEnd"/>
      <w:r>
        <w:rPr>
          <w:rFonts w:ascii="Times New Roman" w:eastAsia="Times New Roman" w:hAnsi="Times New Roman" w:cs="Times New Roman"/>
          <w:sz w:val="24"/>
          <w:szCs w:val="24"/>
        </w:rPr>
        <w:t xml:space="preserve"> </w:t>
      </w:r>
      <w:r w:rsidR="006A4262">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Kroon Van </w:t>
      </w:r>
      <w:proofErr w:type="spellStart"/>
      <w:r>
        <w:rPr>
          <w:rFonts w:ascii="Times New Roman" w:eastAsia="Times New Roman" w:hAnsi="Times New Roman" w:cs="Times New Roman"/>
          <w:sz w:val="24"/>
          <w:szCs w:val="24"/>
        </w:rPr>
        <w:t>Diest</w:t>
      </w:r>
      <w:proofErr w:type="spellEnd"/>
      <w:r>
        <w:rPr>
          <w:rFonts w:ascii="Times New Roman" w:eastAsia="Times New Roman" w:hAnsi="Times New Roman" w:cs="Times New Roman"/>
          <w:sz w:val="24"/>
          <w:szCs w:val="24"/>
        </w:rPr>
        <w:t>, 2013), craving control (Dalton et al., 2015), cognitive restraint, uncontrolled eating, emotional eating (Karlsson et al. 2000), sleep timing and sleep quality (</w:t>
      </w:r>
      <w:proofErr w:type="spellStart"/>
      <w:r>
        <w:rPr>
          <w:rFonts w:ascii="Times New Roman" w:eastAsia="Times New Roman" w:hAnsi="Times New Roman" w:cs="Times New Roman"/>
          <w:sz w:val="24"/>
          <w:szCs w:val="24"/>
        </w:rPr>
        <w:t>Buysse</w:t>
      </w:r>
      <w:proofErr w:type="spellEnd"/>
      <w:r>
        <w:rPr>
          <w:rFonts w:ascii="Times New Roman" w:eastAsia="Times New Roman" w:hAnsi="Times New Roman" w:cs="Times New Roman"/>
          <w:sz w:val="24"/>
          <w:szCs w:val="24"/>
        </w:rPr>
        <w:t xml:space="preserve"> et al., 1989) (see 3.3.3 section). Besides, two attention check questions were included to make sure that survey takers' attention is at a high level throughout the survey. </w:t>
      </w:r>
    </w:p>
    <w:p w14:paraId="0000037E" w14:textId="77777777" w:rsidR="00CB4215" w:rsidRDefault="00CB4215">
      <w:pPr>
        <w:spacing w:line="480" w:lineRule="auto"/>
        <w:rPr>
          <w:rFonts w:ascii="Times New Roman" w:eastAsia="Times New Roman" w:hAnsi="Times New Roman" w:cs="Times New Roman"/>
          <w:sz w:val="24"/>
          <w:szCs w:val="24"/>
        </w:rPr>
      </w:pPr>
    </w:p>
    <w:p w14:paraId="0000037F"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4.3.3 Measures</w:t>
      </w:r>
    </w:p>
    <w:p w14:paraId="00000380" w14:textId="77777777" w:rsidR="00CB4215" w:rsidRDefault="000530B4">
      <w:pPr>
        <w:pStyle w:val="Heading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4.3.3.1 Meal timing and chaotic eating</w:t>
      </w:r>
    </w:p>
    <w:p w14:paraId="00000381" w14:textId="77777777" w:rsidR="00CB4215" w:rsidRDefault="00CB4215">
      <w:pPr>
        <w:rPr>
          <w:rFonts w:ascii="Times New Roman" w:eastAsia="Times New Roman" w:hAnsi="Times New Roman" w:cs="Times New Roman"/>
          <w:sz w:val="24"/>
          <w:szCs w:val="24"/>
        </w:rPr>
      </w:pPr>
    </w:p>
    <w:p w14:paraId="00000382"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time of breakfast, lunch, evening meal, snacks, meal frequency and snack frequency were assessed by self-reported questions. Participants were provided with a list of times and were asked to select all possible times they might consume breakfast, lunch, evening meals and snacks at half-hour intervals on a 24-hour clock. All questions are presented in Appendix A. Participants were also asked to report their meal frequency (e.g., How many meals do you tend to eat on a typical day?). Similar questions on snack consumption were asked in the same way. The chaotic eating index was established by dividing the number of possible 30-minute </w:t>
      </w:r>
      <w:proofErr w:type="gramStart"/>
      <w:r>
        <w:rPr>
          <w:rFonts w:ascii="Times New Roman" w:eastAsia="Times New Roman" w:hAnsi="Times New Roman" w:cs="Times New Roman"/>
          <w:sz w:val="24"/>
          <w:szCs w:val="24"/>
        </w:rPr>
        <w:t>meal time</w:t>
      </w:r>
      <w:proofErr w:type="gramEnd"/>
      <w:r>
        <w:rPr>
          <w:rFonts w:ascii="Times New Roman" w:eastAsia="Times New Roman" w:hAnsi="Times New Roman" w:cs="Times New Roman"/>
          <w:sz w:val="24"/>
          <w:szCs w:val="24"/>
        </w:rPr>
        <w:t xml:space="preserve"> slots by the frequency of meals (Zimmerman et al., 2018). In the same approach, the chaotic snack index was calculated.</w:t>
      </w:r>
    </w:p>
    <w:p w14:paraId="00000383" w14:textId="77777777" w:rsidR="00CB4215" w:rsidRDefault="00CB4215">
      <w:pPr>
        <w:spacing w:line="480" w:lineRule="auto"/>
        <w:rPr>
          <w:rFonts w:ascii="Times New Roman" w:eastAsia="Times New Roman" w:hAnsi="Times New Roman" w:cs="Times New Roman"/>
          <w:sz w:val="24"/>
          <w:szCs w:val="24"/>
        </w:rPr>
      </w:pPr>
    </w:p>
    <w:p w14:paraId="00000384" w14:textId="77777777" w:rsidR="00CB4215" w:rsidRDefault="000530B4">
      <w:pPr>
        <w:pStyle w:val="Heading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4.3.3.2 Eating behaviour traits</w:t>
      </w:r>
    </w:p>
    <w:p w14:paraId="00000385" w14:textId="77777777" w:rsidR="00CB4215" w:rsidRDefault="00CB4215"/>
    <w:p w14:paraId="0000038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short, revised 18-item questionnaire Three-Factor Eating Questionnaire (TFEQ) was used to assess cognitive restraint (CR), uncontrolled eating (UE) and emotional eating (EE). All the subscales showed good internal reliability (Cronbach’s α cognitive restraint = .78; Cronbach’s α uncontrolled eating = .83; Cronbach’s α emotional eating = .85) (Karlsson et al., 2000). Responses were collected on a 4-point scale. The Control of Eating Questionnaire (</w:t>
      </w:r>
      <w:proofErr w:type="spellStart"/>
      <w:r>
        <w:rPr>
          <w:rFonts w:ascii="Times New Roman" w:eastAsia="Times New Roman" w:hAnsi="Times New Roman" w:cs="Times New Roman"/>
          <w:sz w:val="24"/>
          <w:szCs w:val="24"/>
        </w:rPr>
        <w:t>CoEQ</w:t>
      </w:r>
      <w:proofErr w:type="spellEnd"/>
      <w:r>
        <w:rPr>
          <w:rFonts w:ascii="Times New Roman" w:eastAsia="Times New Roman" w:hAnsi="Times New Roman" w:cs="Times New Roman"/>
          <w:sz w:val="24"/>
          <w:szCs w:val="24"/>
        </w:rPr>
        <w:t xml:space="preserve">) (Dalton et al., 2015) was used to measure craving control (CC), with good internal reliability (Cronbach’s α = .90). Items of the </w:t>
      </w:r>
      <w:proofErr w:type="spellStart"/>
      <w:r>
        <w:rPr>
          <w:rFonts w:ascii="Times New Roman" w:eastAsia="Times New Roman" w:hAnsi="Times New Roman" w:cs="Times New Roman"/>
          <w:sz w:val="24"/>
          <w:szCs w:val="24"/>
        </w:rPr>
        <w:t>CoEQ</w:t>
      </w:r>
      <w:proofErr w:type="spellEnd"/>
      <w:r>
        <w:rPr>
          <w:rFonts w:ascii="Times New Roman" w:eastAsia="Times New Roman" w:hAnsi="Times New Roman" w:cs="Times New Roman"/>
          <w:sz w:val="24"/>
          <w:szCs w:val="24"/>
        </w:rPr>
        <w:t xml:space="preserve"> were rated on a 100-point visual analogue scale, with the items being averaged to produce a final score. The 5-item Craving Control subscale was used in the current study. The Adult Eating Behaviour Questionnaire (AEBQ) was used to assess satiety responsiveness (SR), which has shown good internal reliability (Cronbach’s α = .74) (</w:t>
      </w:r>
      <w:proofErr w:type="spellStart"/>
      <w:r>
        <w:rPr>
          <w:rFonts w:ascii="Times New Roman" w:eastAsia="Times New Roman" w:hAnsi="Times New Roman" w:cs="Times New Roman"/>
          <w:sz w:val="24"/>
          <w:szCs w:val="24"/>
        </w:rPr>
        <w:t>Hunot</w:t>
      </w:r>
      <w:proofErr w:type="spellEnd"/>
      <w:r>
        <w:rPr>
          <w:rFonts w:ascii="Times New Roman" w:eastAsia="Times New Roman" w:hAnsi="Times New Roman" w:cs="Times New Roman"/>
          <w:sz w:val="24"/>
          <w:szCs w:val="24"/>
        </w:rPr>
        <w:t xml:space="preserve"> et al., 2016). Responses were collected on a 5-point scale. Reliance on hunger and satiety cues (RHSC) was assessed with a 6-item Reliance on Hunger and Satiety Cues of Intuitive Eating Scale-2 (IES-2) and response were collected on a 5-point scale (Cronbach’s α = .88; </w:t>
      </w:r>
      <w:proofErr w:type="spellStart"/>
      <w:r>
        <w:rPr>
          <w:rFonts w:ascii="Times New Roman" w:eastAsia="Times New Roman" w:hAnsi="Times New Roman" w:cs="Times New Roman"/>
          <w:sz w:val="24"/>
          <w:szCs w:val="24"/>
        </w:rPr>
        <w:t>Tylka</w:t>
      </w:r>
      <w:proofErr w:type="spellEnd"/>
      <w:r>
        <w:rPr>
          <w:rFonts w:ascii="Times New Roman" w:eastAsia="Times New Roman" w:hAnsi="Times New Roman" w:cs="Times New Roman"/>
          <w:sz w:val="24"/>
          <w:szCs w:val="24"/>
        </w:rPr>
        <w:t xml:space="preserve"> et al., 2013). Higher scores on each subscale reflect a higher level of responsiveness to the respective eating behaviour trait (See section 3.7.2 for further discussion of these scales). </w:t>
      </w:r>
    </w:p>
    <w:p w14:paraId="00000387" w14:textId="77777777" w:rsidR="00CB4215" w:rsidRDefault="00CB4215">
      <w:pPr>
        <w:spacing w:line="480" w:lineRule="auto"/>
        <w:rPr>
          <w:rFonts w:ascii="Times New Roman" w:eastAsia="Times New Roman" w:hAnsi="Times New Roman" w:cs="Times New Roman"/>
          <w:sz w:val="24"/>
          <w:szCs w:val="24"/>
        </w:rPr>
      </w:pPr>
    </w:p>
    <w:p w14:paraId="00000388" w14:textId="77777777" w:rsidR="00CB4215" w:rsidRDefault="000530B4">
      <w:pPr>
        <w:pStyle w:val="Heading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4.3.3.3 Health behaviours</w:t>
      </w:r>
    </w:p>
    <w:p w14:paraId="00000389" w14:textId="77777777" w:rsidR="00CB4215" w:rsidRDefault="00CB4215"/>
    <w:p w14:paraId="0000038A"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compare the diet quality, sleep and physical activity between early and late evening eaters, participants completed a short-form Food Frequency Questionnaire (SFFFQ) (Cleghorn et al., 2016), Pittsburgh Sleep Quality Index (PSQI) (</w:t>
      </w:r>
      <w:proofErr w:type="spellStart"/>
      <w:r>
        <w:rPr>
          <w:rFonts w:ascii="Times New Roman" w:eastAsia="Times New Roman" w:hAnsi="Times New Roman" w:cs="Times New Roman"/>
          <w:sz w:val="24"/>
          <w:szCs w:val="24"/>
        </w:rPr>
        <w:t>Buysse</w:t>
      </w:r>
      <w:proofErr w:type="spellEnd"/>
      <w:r>
        <w:rPr>
          <w:rFonts w:ascii="Times New Roman" w:eastAsia="Times New Roman" w:hAnsi="Times New Roman" w:cs="Times New Roman"/>
          <w:sz w:val="24"/>
          <w:szCs w:val="24"/>
        </w:rPr>
        <w:t xml:space="preserve"> et al., 1989) and single-item measure of physical activity (Milton et al., 2010) (see section 3.7.3 for more details).</w:t>
      </w:r>
    </w:p>
    <w:p w14:paraId="0000038B"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4.3.4 Data analysis</w:t>
      </w:r>
    </w:p>
    <w:p w14:paraId="0000038C" w14:textId="77777777" w:rsidR="00CB4215" w:rsidRDefault="00CB4215"/>
    <w:p w14:paraId="0000038D"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Demographic data collected was analysed using descriptive statistics in IBM Statistical Package for the Social Sciences (Version 27). Means ± standard deviations (95% confidence interval) are reported unless specified. To assess correlations between meal timing (24-hour clock), chaotic eating, eating behaviour traits and BMI, bivariate correlations (Pearson’s r) were conducted. Pearson's r correlation coefficients were interpreted as 0.1 small, 0.3 medium and 0.5 large (Cohen, 1992). As a deviation from the pre-registered plan, the Index of Multiple Deprivation was not controlled for the ANCOVA tests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retain as large a sample size as possible. </w:t>
      </w:r>
    </w:p>
    <w:p w14:paraId="0000038E" w14:textId="77777777" w:rsidR="00CB4215" w:rsidRDefault="00CB4215">
      <w:pPr>
        <w:spacing w:line="480" w:lineRule="auto"/>
        <w:rPr>
          <w:rFonts w:ascii="Times New Roman" w:eastAsia="Times New Roman" w:hAnsi="Times New Roman" w:cs="Times New Roman"/>
          <w:sz w:val="24"/>
          <w:szCs w:val="24"/>
        </w:rPr>
      </w:pPr>
    </w:p>
    <w:p w14:paraId="0000038F" w14:textId="728035B0"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explore the differences in eating behaviour traits between meal timing, chaotic eating and BMI. Hierarchical cluster analysis was conducted to group participants based on the time of last eating episode, meal chaotic index and snack chaotic index, by using the agglomerative Ward method </w:t>
      </w:r>
      <w:hyperlink r:id="rId499">
        <w:r>
          <w:rPr>
            <w:rFonts w:ascii="Times New Roman" w:eastAsia="Times New Roman" w:hAnsi="Times New Roman" w:cs="Times New Roman"/>
            <w:color w:val="000000"/>
            <w:sz w:val="24"/>
            <w:szCs w:val="24"/>
          </w:rPr>
          <w:t>(Ward</w:t>
        </w:r>
        <w:r w:rsidR="00BB740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1963)</w:t>
        </w:r>
      </w:hyperlink>
      <w:r>
        <w:rPr>
          <w:rFonts w:ascii="Times New Roman" w:eastAsia="Times New Roman" w:hAnsi="Times New Roman" w:cs="Times New Roman"/>
          <w:sz w:val="24"/>
          <w:szCs w:val="24"/>
        </w:rPr>
        <w:t xml:space="preserve"> combined with the squared Euclidean distance measure </w:t>
      </w:r>
      <w:hyperlink r:id="rId500">
        <w:r>
          <w:rPr>
            <w:rFonts w:ascii="Times New Roman" w:eastAsia="Times New Roman" w:hAnsi="Times New Roman" w:cs="Times New Roman"/>
            <w:color w:val="000000"/>
            <w:sz w:val="24"/>
            <w:szCs w:val="24"/>
          </w:rPr>
          <w:t>(Everitt 2001)</w:t>
        </w:r>
      </w:hyperlink>
      <w:r>
        <w:rPr>
          <w:rFonts w:ascii="Times New Roman" w:eastAsia="Times New Roman" w:hAnsi="Times New Roman" w:cs="Times New Roman"/>
          <w:sz w:val="24"/>
          <w:szCs w:val="24"/>
        </w:rPr>
        <w:t>. Using the Ward method, two clusters were merged at each stage of the clustering process to minimise the variance within clusters. ANCOVAs controlling for age and gender were conducted to compare the differences in eating behaviour traits and health behaviours in each cluster. Partial eta square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is reported for effect sizes and interpreted as 0·01 small, 0·06 moderate and 0·14 large </w:t>
      </w:r>
      <w:hyperlink r:id="rId501">
        <w:r>
          <w:rPr>
            <w:rFonts w:ascii="Times New Roman" w:eastAsia="Times New Roman" w:hAnsi="Times New Roman" w:cs="Times New Roman"/>
            <w:color w:val="000000"/>
            <w:sz w:val="24"/>
            <w:szCs w:val="24"/>
          </w:rPr>
          <w:t>(Field 2005)</w:t>
        </w:r>
      </w:hyperlink>
      <w:r>
        <w:rPr>
          <w:rFonts w:ascii="Times New Roman" w:eastAsia="Times New Roman" w:hAnsi="Times New Roman" w:cs="Times New Roman"/>
          <w:sz w:val="24"/>
          <w:szCs w:val="24"/>
        </w:rPr>
        <w:t xml:space="preserve">. The results of comparisons among chaotic snack eaters are reported in Appendix B.  </w:t>
      </w:r>
    </w:p>
    <w:p w14:paraId="00000390" w14:textId="77777777" w:rsidR="00CB4215" w:rsidRDefault="00CB4215">
      <w:pPr>
        <w:spacing w:line="480" w:lineRule="auto"/>
        <w:rPr>
          <w:rFonts w:ascii="Times New Roman" w:eastAsia="Times New Roman" w:hAnsi="Times New Roman" w:cs="Times New Roman"/>
          <w:sz w:val="24"/>
          <w:szCs w:val="24"/>
        </w:rPr>
      </w:pPr>
    </w:p>
    <w:p w14:paraId="00000391" w14:textId="77777777" w:rsidR="00CB4215" w:rsidRDefault="000530B4">
      <w:pPr>
        <w:pStyle w:val="Heading3"/>
        <w:rPr>
          <w:rFonts w:ascii="Times New Roman" w:eastAsia="Times New Roman" w:hAnsi="Times New Roman" w:cs="Times New Roman"/>
          <w:b/>
          <w:color w:val="000000"/>
        </w:rPr>
      </w:pPr>
      <w:bookmarkStart w:id="76" w:name="_Toc172984803"/>
      <w:r>
        <w:rPr>
          <w:rFonts w:ascii="Times New Roman" w:eastAsia="Times New Roman" w:hAnsi="Times New Roman" w:cs="Times New Roman"/>
          <w:b/>
          <w:color w:val="000000"/>
        </w:rPr>
        <w:t>4.4 Results</w:t>
      </w:r>
      <w:bookmarkEnd w:id="76"/>
    </w:p>
    <w:p w14:paraId="00000392"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4.4.1 Participant Characteristics</w:t>
      </w:r>
    </w:p>
    <w:p w14:paraId="00000393" w14:textId="77777777" w:rsidR="00CB4215" w:rsidRDefault="00CB4215"/>
    <w:p w14:paraId="00000394"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final sample consisted of 260 adults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37.5 ± 14.1 years (35.7, 39.2), range 18 to 79] with a mean BMI of 26.2 ± 5.8 (25.5, 26.9) kg/m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half of whom were males (52%, n = 135; 46% females, n = 120; 0.8% trans male, n = 2; 0.8% prefer not to say, n = 2; 0.4% non-confirming, n = 1). Most of the sample reported having a bachelor's degree.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the sample was White 86% (n = 223). All other measured participant characteristics are displayed in Table 4.1. </w:t>
      </w:r>
    </w:p>
    <w:p w14:paraId="00000395" w14:textId="77777777" w:rsidR="00CB4215" w:rsidRDefault="00CB4215">
      <w:pPr>
        <w:spacing w:line="240" w:lineRule="auto"/>
        <w:rPr>
          <w:rFonts w:ascii="Times New Roman" w:eastAsia="Times New Roman" w:hAnsi="Times New Roman" w:cs="Times New Roman"/>
        </w:rPr>
      </w:pPr>
    </w:p>
    <w:p w14:paraId="00000396"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i/>
          <w:color w:val="000000"/>
          <w:sz w:val="20"/>
          <w:szCs w:val="20"/>
        </w:rPr>
      </w:pPr>
      <w:bookmarkStart w:id="77" w:name="_heading=h.34g0dwd" w:colFirst="0" w:colLast="0"/>
      <w:bookmarkEnd w:id="77"/>
      <w:r>
        <w:rPr>
          <w:rFonts w:ascii="Times New Roman" w:eastAsia="Times New Roman" w:hAnsi="Times New Roman" w:cs="Times New Roman"/>
          <w:i/>
          <w:color w:val="000000"/>
          <w:sz w:val="20"/>
          <w:szCs w:val="20"/>
        </w:rPr>
        <w:t xml:space="preserve">Table 4.1. </w:t>
      </w:r>
      <w:r>
        <w:rPr>
          <w:rFonts w:ascii="Times New Roman" w:eastAsia="Times New Roman" w:hAnsi="Times New Roman" w:cs="Times New Roman"/>
          <w:color w:val="000000"/>
          <w:sz w:val="20"/>
          <w:szCs w:val="20"/>
        </w:rPr>
        <w:t>Participant characteristics.</w:t>
      </w:r>
    </w:p>
    <w:tbl>
      <w:tblPr>
        <w:tblStyle w:val="a5"/>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35"/>
        <w:gridCol w:w="3465"/>
      </w:tblGrid>
      <w:tr w:rsidR="00CB4215" w14:paraId="61760883" w14:textId="77777777">
        <w:tc>
          <w:tcPr>
            <w:tcW w:w="5535" w:type="dxa"/>
            <w:tcBorders>
              <w:top w:val="single" w:sz="8" w:space="0" w:color="000000"/>
              <w:left w:val="nil"/>
              <w:bottom w:val="single" w:sz="8" w:space="0" w:color="000000"/>
              <w:right w:val="nil"/>
            </w:tcBorders>
            <w:tcMar>
              <w:top w:w="100" w:type="dxa"/>
              <w:left w:w="100" w:type="dxa"/>
              <w:bottom w:w="100" w:type="dxa"/>
              <w:right w:w="100" w:type="dxa"/>
            </w:tcMar>
          </w:tcPr>
          <w:p w14:paraId="0000039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Variable (total n)</w:t>
            </w:r>
          </w:p>
        </w:tc>
        <w:tc>
          <w:tcPr>
            <w:tcW w:w="3465" w:type="dxa"/>
            <w:tcBorders>
              <w:top w:val="single" w:sz="8" w:space="0" w:color="000000"/>
              <w:left w:val="nil"/>
              <w:bottom w:val="single" w:sz="8" w:space="0" w:color="000000"/>
              <w:right w:val="nil"/>
            </w:tcBorders>
            <w:tcMar>
              <w:top w:w="100" w:type="dxa"/>
              <w:left w:w="100" w:type="dxa"/>
              <w:bottom w:w="100" w:type="dxa"/>
              <w:right w:w="100" w:type="dxa"/>
            </w:tcMar>
          </w:tcPr>
          <w:p w14:paraId="0000039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 (%) or M ± SD (95% CI)</w:t>
            </w:r>
          </w:p>
        </w:tc>
      </w:tr>
      <w:tr w:rsidR="00CB4215" w14:paraId="083182E7" w14:textId="77777777">
        <w:tc>
          <w:tcPr>
            <w:tcW w:w="5535" w:type="dxa"/>
            <w:tcBorders>
              <w:top w:val="single" w:sz="8" w:space="0" w:color="000000"/>
              <w:left w:val="nil"/>
              <w:bottom w:val="nil"/>
              <w:right w:val="nil"/>
            </w:tcBorders>
            <w:tcMar>
              <w:top w:w="100" w:type="dxa"/>
              <w:left w:w="100" w:type="dxa"/>
              <w:bottom w:w="100" w:type="dxa"/>
              <w:right w:w="100" w:type="dxa"/>
            </w:tcMar>
          </w:tcPr>
          <w:p w14:paraId="00000399" w14:textId="77777777" w:rsidR="00CB4215" w:rsidRDefault="000530B4">
            <w:pPr>
              <w:widowControl w:val="0"/>
              <w:spacing w:line="240" w:lineRule="auto"/>
              <w:rPr>
                <w:rFonts w:ascii="Times New Roman" w:eastAsia="Times New Roman" w:hAnsi="Times New Roman" w:cs="Times New Roman"/>
                <w:b/>
                <w:i/>
              </w:rPr>
            </w:pPr>
            <w:r>
              <w:rPr>
                <w:rFonts w:ascii="Times New Roman" w:eastAsia="Times New Roman" w:hAnsi="Times New Roman" w:cs="Times New Roman"/>
                <w:b/>
                <w:i/>
              </w:rPr>
              <w:t>Education (n = 260)</w:t>
            </w:r>
          </w:p>
        </w:tc>
        <w:tc>
          <w:tcPr>
            <w:tcW w:w="3465" w:type="dxa"/>
            <w:tcBorders>
              <w:top w:val="single" w:sz="8" w:space="0" w:color="000000"/>
              <w:left w:val="nil"/>
              <w:bottom w:val="nil"/>
              <w:right w:val="nil"/>
            </w:tcBorders>
            <w:tcMar>
              <w:top w:w="100" w:type="dxa"/>
              <w:left w:w="100" w:type="dxa"/>
              <w:bottom w:w="100" w:type="dxa"/>
              <w:right w:w="100" w:type="dxa"/>
            </w:tcMar>
          </w:tcPr>
          <w:p w14:paraId="0000039A" w14:textId="77777777" w:rsidR="00CB4215" w:rsidRDefault="00CB4215">
            <w:pPr>
              <w:widowControl w:val="0"/>
              <w:spacing w:line="240" w:lineRule="auto"/>
              <w:rPr>
                <w:rFonts w:ascii="Times New Roman" w:eastAsia="Times New Roman" w:hAnsi="Times New Roman" w:cs="Times New Roman"/>
              </w:rPr>
            </w:pPr>
          </w:p>
        </w:tc>
      </w:tr>
      <w:tr w:rsidR="00CB4215" w14:paraId="6E778E50"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9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 formal qualifications</w:t>
            </w:r>
          </w:p>
        </w:tc>
        <w:tc>
          <w:tcPr>
            <w:tcW w:w="3465" w:type="dxa"/>
            <w:tcBorders>
              <w:top w:val="nil"/>
              <w:left w:val="nil"/>
              <w:bottom w:val="nil"/>
              <w:right w:val="nil"/>
            </w:tcBorders>
            <w:tcMar>
              <w:top w:w="40" w:type="dxa"/>
              <w:left w:w="40" w:type="dxa"/>
              <w:bottom w:w="40" w:type="dxa"/>
              <w:right w:w="40" w:type="dxa"/>
            </w:tcMar>
            <w:vAlign w:val="bottom"/>
          </w:tcPr>
          <w:p w14:paraId="0000039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(2%)</w:t>
            </w:r>
          </w:p>
        </w:tc>
      </w:tr>
      <w:tr w:rsidR="00CB4215" w14:paraId="7B9B8E51"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9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 GCSEs or equivalent qualifications</w:t>
            </w:r>
          </w:p>
        </w:tc>
        <w:tc>
          <w:tcPr>
            <w:tcW w:w="3465" w:type="dxa"/>
            <w:tcBorders>
              <w:top w:val="nil"/>
              <w:left w:val="nil"/>
              <w:bottom w:val="nil"/>
              <w:right w:val="nil"/>
            </w:tcBorders>
            <w:tcMar>
              <w:top w:w="40" w:type="dxa"/>
              <w:left w:w="40" w:type="dxa"/>
              <w:bottom w:w="40" w:type="dxa"/>
              <w:right w:w="40" w:type="dxa"/>
            </w:tcMar>
            <w:vAlign w:val="bottom"/>
          </w:tcPr>
          <w:p w14:paraId="0000039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 (5%)</w:t>
            </w:r>
          </w:p>
        </w:tc>
      </w:tr>
      <w:tr w:rsidR="00CB4215" w14:paraId="19AFB1FD"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9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GCSEs or equivalent qualifications</w:t>
            </w:r>
          </w:p>
        </w:tc>
        <w:tc>
          <w:tcPr>
            <w:tcW w:w="3465" w:type="dxa"/>
            <w:tcBorders>
              <w:top w:val="nil"/>
              <w:left w:val="nil"/>
              <w:bottom w:val="nil"/>
              <w:right w:val="nil"/>
            </w:tcBorders>
            <w:tcMar>
              <w:top w:w="40" w:type="dxa"/>
              <w:left w:w="40" w:type="dxa"/>
              <w:bottom w:w="40" w:type="dxa"/>
              <w:right w:w="40" w:type="dxa"/>
            </w:tcMar>
            <w:vAlign w:val="bottom"/>
          </w:tcPr>
          <w:p w14:paraId="000003A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 (9%)</w:t>
            </w:r>
          </w:p>
        </w:tc>
      </w:tr>
      <w:tr w:rsidR="00CB4215" w14:paraId="044BF46E"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A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or more A-levels or equivalent qualifications</w:t>
            </w:r>
          </w:p>
        </w:tc>
        <w:tc>
          <w:tcPr>
            <w:tcW w:w="3465" w:type="dxa"/>
            <w:tcBorders>
              <w:top w:val="nil"/>
              <w:left w:val="nil"/>
              <w:bottom w:val="nil"/>
              <w:right w:val="nil"/>
            </w:tcBorders>
            <w:tcMar>
              <w:top w:w="40" w:type="dxa"/>
              <w:left w:w="40" w:type="dxa"/>
              <w:bottom w:w="40" w:type="dxa"/>
              <w:right w:w="40" w:type="dxa"/>
            </w:tcMar>
            <w:vAlign w:val="bottom"/>
          </w:tcPr>
          <w:p w14:paraId="000003A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55 (21%)</w:t>
            </w:r>
          </w:p>
        </w:tc>
      </w:tr>
      <w:tr w:rsidR="00CB4215" w14:paraId="70ECD84E"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A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Bachelor's degree or equivalent</w:t>
            </w:r>
          </w:p>
        </w:tc>
        <w:tc>
          <w:tcPr>
            <w:tcW w:w="3465" w:type="dxa"/>
            <w:tcBorders>
              <w:top w:val="nil"/>
              <w:left w:val="nil"/>
              <w:bottom w:val="nil"/>
              <w:right w:val="nil"/>
            </w:tcBorders>
            <w:tcMar>
              <w:top w:w="40" w:type="dxa"/>
              <w:left w:w="40" w:type="dxa"/>
              <w:bottom w:w="40" w:type="dxa"/>
              <w:right w:w="40" w:type="dxa"/>
            </w:tcMar>
            <w:vAlign w:val="bottom"/>
          </w:tcPr>
          <w:p w14:paraId="000003A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123 (47%)</w:t>
            </w:r>
          </w:p>
        </w:tc>
      </w:tr>
      <w:tr w:rsidR="00CB4215" w14:paraId="493318F4"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A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Doctoral or higher education.</w:t>
            </w:r>
          </w:p>
        </w:tc>
        <w:tc>
          <w:tcPr>
            <w:tcW w:w="3465" w:type="dxa"/>
            <w:tcBorders>
              <w:top w:val="nil"/>
              <w:left w:val="nil"/>
              <w:bottom w:val="nil"/>
              <w:right w:val="nil"/>
            </w:tcBorders>
            <w:tcMar>
              <w:top w:w="40" w:type="dxa"/>
              <w:left w:w="40" w:type="dxa"/>
              <w:bottom w:w="40" w:type="dxa"/>
              <w:right w:w="40" w:type="dxa"/>
            </w:tcMar>
            <w:vAlign w:val="bottom"/>
          </w:tcPr>
          <w:p w14:paraId="000003A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30 (12%)</w:t>
            </w:r>
          </w:p>
        </w:tc>
      </w:tr>
      <w:tr w:rsidR="00CB4215" w14:paraId="485122C7"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A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Apprenticeship</w:t>
            </w:r>
          </w:p>
        </w:tc>
        <w:tc>
          <w:tcPr>
            <w:tcW w:w="3465" w:type="dxa"/>
            <w:tcBorders>
              <w:top w:val="nil"/>
              <w:left w:val="nil"/>
              <w:bottom w:val="nil"/>
              <w:right w:val="nil"/>
            </w:tcBorders>
            <w:tcMar>
              <w:top w:w="40" w:type="dxa"/>
              <w:left w:w="40" w:type="dxa"/>
              <w:bottom w:w="40" w:type="dxa"/>
              <w:right w:w="40" w:type="dxa"/>
            </w:tcMar>
            <w:vAlign w:val="bottom"/>
          </w:tcPr>
          <w:p w14:paraId="000003A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(2%)</w:t>
            </w:r>
          </w:p>
        </w:tc>
      </w:tr>
      <w:tr w:rsidR="00CB4215" w14:paraId="6BB019D6"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A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Other qualifications including foreign qualifications</w:t>
            </w:r>
          </w:p>
        </w:tc>
        <w:tc>
          <w:tcPr>
            <w:tcW w:w="3465" w:type="dxa"/>
            <w:tcBorders>
              <w:top w:val="nil"/>
              <w:left w:val="nil"/>
              <w:bottom w:val="nil"/>
              <w:right w:val="nil"/>
            </w:tcBorders>
            <w:tcMar>
              <w:top w:w="40" w:type="dxa"/>
              <w:left w:w="40" w:type="dxa"/>
              <w:bottom w:w="40" w:type="dxa"/>
              <w:right w:w="40" w:type="dxa"/>
            </w:tcMar>
            <w:vAlign w:val="bottom"/>
          </w:tcPr>
          <w:p w14:paraId="000003A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 (2%)</w:t>
            </w:r>
          </w:p>
        </w:tc>
      </w:tr>
      <w:tr w:rsidR="00CB4215" w14:paraId="5DDC1602"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A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Prefer not to say</w:t>
            </w:r>
          </w:p>
        </w:tc>
        <w:tc>
          <w:tcPr>
            <w:tcW w:w="3465" w:type="dxa"/>
            <w:tcBorders>
              <w:top w:val="nil"/>
              <w:left w:val="nil"/>
              <w:bottom w:val="nil"/>
              <w:right w:val="nil"/>
            </w:tcBorders>
            <w:tcMar>
              <w:top w:w="40" w:type="dxa"/>
              <w:left w:w="40" w:type="dxa"/>
              <w:bottom w:w="40" w:type="dxa"/>
              <w:right w:w="40" w:type="dxa"/>
            </w:tcMar>
            <w:vAlign w:val="bottom"/>
          </w:tcPr>
          <w:p w14:paraId="000003A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(0.4%)</w:t>
            </w:r>
          </w:p>
        </w:tc>
      </w:tr>
      <w:tr w:rsidR="00CB4215" w14:paraId="5F4540E3" w14:textId="77777777">
        <w:tc>
          <w:tcPr>
            <w:tcW w:w="5535" w:type="dxa"/>
            <w:tcBorders>
              <w:top w:val="nil"/>
              <w:left w:val="nil"/>
              <w:bottom w:val="nil"/>
              <w:right w:val="nil"/>
            </w:tcBorders>
            <w:tcMar>
              <w:top w:w="100" w:type="dxa"/>
              <w:left w:w="100" w:type="dxa"/>
              <w:bottom w:w="100" w:type="dxa"/>
              <w:right w:w="100" w:type="dxa"/>
            </w:tcMar>
          </w:tcPr>
          <w:p w14:paraId="000003AD" w14:textId="77777777" w:rsidR="00CB4215" w:rsidRDefault="000530B4">
            <w:pPr>
              <w:widowControl w:val="0"/>
              <w:spacing w:line="240" w:lineRule="auto"/>
              <w:rPr>
                <w:rFonts w:ascii="Times New Roman" w:eastAsia="Times New Roman" w:hAnsi="Times New Roman" w:cs="Times New Roman"/>
                <w:b/>
                <w:i/>
              </w:rPr>
            </w:pPr>
            <w:r>
              <w:rPr>
                <w:rFonts w:ascii="Times New Roman" w:eastAsia="Times New Roman" w:hAnsi="Times New Roman" w:cs="Times New Roman"/>
                <w:b/>
                <w:i/>
              </w:rPr>
              <w:t>Index of Multiple Deprivation decile (n=186)</w:t>
            </w:r>
          </w:p>
        </w:tc>
        <w:tc>
          <w:tcPr>
            <w:tcW w:w="3465" w:type="dxa"/>
            <w:tcBorders>
              <w:top w:val="nil"/>
              <w:left w:val="nil"/>
              <w:bottom w:val="nil"/>
              <w:right w:val="nil"/>
            </w:tcBorders>
            <w:tcMar>
              <w:top w:w="100" w:type="dxa"/>
              <w:left w:w="100" w:type="dxa"/>
              <w:bottom w:w="100" w:type="dxa"/>
              <w:right w:w="100" w:type="dxa"/>
            </w:tcMar>
          </w:tcPr>
          <w:p w14:paraId="000003A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5.3 ± 2.8 (4.8, 5.7)</w:t>
            </w:r>
          </w:p>
        </w:tc>
      </w:tr>
      <w:tr w:rsidR="00CB4215" w14:paraId="7ED72F75" w14:textId="77777777">
        <w:tc>
          <w:tcPr>
            <w:tcW w:w="5535" w:type="dxa"/>
            <w:tcBorders>
              <w:top w:val="nil"/>
              <w:left w:val="nil"/>
              <w:bottom w:val="nil"/>
              <w:right w:val="nil"/>
            </w:tcBorders>
            <w:tcMar>
              <w:top w:w="100" w:type="dxa"/>
              <w:left w:w="100" w:type="dxa"/>
              <w:bottom w:w="100" w:type="dxa"/>
              <w:right w:w="100" w:type="dxa"/>
            </w:tcMar>
          </w:tcPr>
          <w:p w14:paraId="000003AF" w14:textId="77777777" w:rsidR="00CB4215" w:rsidRDefault="000530B4">
            <w:pPr>
              <w:widowControl w:val="0"/>
              <w:spacing w:line="240" w:lineRule="auto"/>
              <w:rPr>
                <w:rFonts w:ascii="Times New Roman" w:eastAsia="Times New Roman" w:hAnsi="Times New Roman" w:cs="Times New Roman"/>
                <w:b/>
                <w:i/>
              </w:rPr>
            </w:pPr>
            <w:r>
              <w:rPr>
                <w:rFonts w:ascii="Times New Roman" w:eastAsia="Times New Roman" w:hAnsi="Times New Roman" w:cs="Times New Roman"/>
                <w:b/>
                <w:i/>
              </w:rPr>
              <w:t>Health (n=260, note some participants selected multiple answers)</w:t>
            </w:r>
          </w:p>
        </w:tc>
        <w:tc>
          <w:tcPr>
            <w:tcW w:w="3465" w:type="dxa"/>
            <w:tcBorders>
              <w:top w:val="nil"/>
              <w:left w:val="nil"/>
              <w:bottom w:val="nil"/>
              <w:right w:val="nil"/>
            </w:tcBorders>
            <w:tcMar>
              <w:top w:w="100" w:type="dxa"/>
              <w:left w:w="100" w:type="dxa"/>
              <w:bottom w:w="100" w:type="dxa"/>
              <w:right w:w="100" w:type="dxa"/>
            </w:tcMar>
          </w:tcPr>
          <w:p w14:paraId="000003B0" w14:textId="77777777" w:rsidR="00CB4215" w:rsidRDefault="00CB4215">
            <w:pPr>
              <w:widowControl w:val="0"/>
              <w:spacing w:line="240" w:lineRule="auto"/>
              <w:rPr>
                <w:rFonts w:ascii="Times New Roman" w:eastAsia="Times New Roman" w:hAnsi="Times New Roman" w:cs="Times New Roman"/>
              </w:rPr>
            </w:pPr>
          </w:p>
        </w:tc>
      </w:tr>
      <w:tr w:rsidR="00CB4215" w14:paraId="2044AA65"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B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 health issues</w:t>
            </w:r>
          </w:p>
        </w:tc>
        <w:tc>
          <w:tcPr>
            <w:tcW w:w="3465" w:type="dxa"/>
            <w:tcBorders>
              <w:top w:val="nil"/>
              <w:left w:val="nil"/>
              <w:bottom w:val="nil"/>
              <w:right w:val="nil"/>
            </w:tcBorders>
            <w:tcMar>
              <w:top w:w="40" w:type="dxa"/>
              <w:left w:w="40" w:type="dxa"/>
              <w:bottom w:w="40" w:type="dxa"/>
              <w:right w:w="40" w:type="dxa"/>
            </w:tcMar>
            <w:vAlign w:val="bottom"/>
          </w:tcPr>
          <w:p w14:paraId="000003B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195 (75%)</w:t>
            </w:r>
          </w:p>
        </w:tc>
      </w:tr>
      <w:tr w:rsidR="00CB4215" w14:paraId="0549A728"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B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Have an under or overactive thyroid</w:t>
            </w:r>
          </w:p>
        </w:tc>
        <w:tc>
          <w:tcPr>
            <w:tcW w:w="3465" w:type="dxa"/>
            <w:tcBorders>
              <w:top w:val="nil"/>
              <w:left w:val="nil"/>
              <w:bottom w:val="nil"/>
              <w:right w:val="nil"/>
            </w:tcBorders>
            <w:tcMar>
              <w:top w:w="40" w:type="dxa"/>
              <w:left w:w="40" w:type="dxa"/>
              <w:bottom w:w="40" w:type="dxa"/>
              <w:right w:w="40" w:type="dxa"/>
            </w:tcMar>
            <w:vAlign w:val="bottom"/>
          </w:tcPr>
          <w:p w14:paraId="000003B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 (4%)</w:t>
            </w:r>
          </w:p>
        </w:tc>
      </w:tr>
      <w:tr w:rsidR="00CB4215" w14:paraId="759E616D"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B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Have diabetes</w:t>
            </w:r>
          </w:p>
        </w:tc>
        <w:tc>
          <w:tcPr>
            <w:tcW w:w="3465" w:type="dxa"/>
            <w:tcBorders>
              <w:top w:val="nil"/>
              <w:left w:val="nil"/>
              <w:bottom w:val="nil"/>
              <w:right w:val="nil"/>
            </w:tcBorders>
            <w:tcMar>
              <w:top w:w="40" w:type="dxa"/>
              <w:left w:w="40" w:type="dxa"/>
              <w:bottom w:w="40" w:type="dxa"/>
              <w:right w:w="40" w:type="dxa"/>
            </w:tcMar>
            <w:vAlign w:val="bottom"/>
          </w:tcPr>
          <w:p w14:paraId="000003B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(1%)</w:t>
            </w:r>
          </w:p>
        </w:tc>
      </w:tr>
      <w:tr w:rsidR="00CB4215" w14:paraId="580C7FC4"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B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Regular smoker</w:t>
            </w:r>
          </w:p>
        </w:tc>
        <w:tc>
          <w:tcPr>
            <w:tcW w:w="3465" w:type="dxa"/>
            <w:tcBorders>
              <w:top w:val="nil"/>
              <w:left w:val="nil"/>
              <w:bottom w:val="nil"/>
              <w:right w:val="nil"/>
            </w:tcBorders>
            <w:tcMar>
              <w:top w:w="40" w:type="dxa"/>
              <w:left w:w="40" w:type="dxa"/>
              <w:bottom w:w="40" w:type="dxa"/>
              <w:right w:w="40" w:type="dxa"/>
            </w:tcMar>
            <w:vAlign w:val="bottom"/>
          </w:tcPr>
          <w:p w14:paraId="000003B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27 (10%)</w:t>
            </w:r>
          </w:p>
        </w:tc>
      </w:tr>
      <w:tr w:rsidR="00CB4215" w14:paraId="728E7511" w14:textId="77777777">
        <w:tc>
          <w:tcPr>
            <w:tcW w:w="5535" w:type="dxa"/>
            <w:tcBorders>
              <w:top w:val="nil"/>
              <w:left w:val="nil"/>
              <w:bottom w:val="nil"/>
              <w:right w:val="nil"/>
            </w:tcBorders>
            <w:tcMar>
              <w:top w:w="40" w:type="dxa"/>
              <w:left w:w="40" w:type="dxa"/>
              <w:bottom w:w="40" w:type="dxa"/>
              <w:right w:w="40" w:type="dxa"/>
            </w:tcMar>
            <w:vAlign w:val="bottom"/>
          </w:tcPr>
          <w:p w14:paraId="000003B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Other health condition</w:t>
            </w:r>
          </w:p>
        </w:tc>
        <w:tc>
          <w:tcPr>
            <w:tcW w:w="3465" w:type="dxa"/>
            <w:tcBorders>
              <w:top w:val="nil"/>
              <w:left w:val="nil"/>
              <w:bottom w:val="nil"/>
              <w:right w:val="nil"/>
            </w:tcBorders>
            <w:tcMar>
              <w:top w:w="40" w:type="dxa"/>
              <w:left w:w="40" w:type="dxa"/>
              <w:bottom w:w="40" w:type="dxa"/>
              <w:right w:w="40" w:type="dxa"/>
            </w:tcMar>
            <w:vAlign w:val="bottom"/>
          </w:tcPr>
          <w:p w14:paraId="000003B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 (9%)</w:t>
            </w:r>
          </w:p>
        </w:tc>
      </w:tr>
      <w:tr w:rsidR="00CB4215" w14:paraId="5E2DF879" w14:textId="77777777">
        <w:tc>
          <w:tcPr>
            <w:tcW w:w="5535" w:type="dxa"/>
            <w:tcBorders>
              <w:top w:val="nil"/>
              <w:left w:val="nil"/>
              <w:bottom w:val="nil"/>
              <w:right w:val="nil"/>
            </w:tcBorders>
            <w:tcMar>
              <w:top w:w="40" w:type="dxa"/>
              <w:left w:w="40" w:type="dxa"/>
              <w:bottom w:w="40" w:type="dxa"/>
              <w:right w:w="40" w:type="dxa"/>
            </w:tcMar>
            <w:vAlign w:val="bottom"/>
          </w:tcPr>
          <w:p w14:paraId="000003BB" w14:textId="77777777" w:rsidR="00CB4215" w:rsidRDefault="000530B4">
            <w:pPr>
              <w:widowControl w:val="0"/>
              <w:spacing w:line="240" w:lineRule="auto"/>
              <w:rPr>
                <w:rFonts w:ascii="Times New Roman" w:eastAsia="Times New Roman" w:hAnsi="Times New Roman" w:cs="Times New Roman"/>
                <w:b/>
                <w:i/>
              </w:rPr>
            </w:pPr>
            <w:r>
              <w:rPr>
                <w:rFonts w:ascii="Times New Roman" w:eastAsia="Times New Roman" w:hAnsi="Times New Roman" w:cs="Times New Roman"/>
                <w:b/>
                <w:i/>
              </w:rPr>
              <w:t>Pittsburgh Sleep Quality Index (PSQI)</w:t>
            </w:r>
          </w:p>
        </w:tc>
        <w:tc>
          <w:tcPr>
            <w:tcW w:w="3465" w:type="dxa"/>
            <w:tcBorders>
              <w:top w:val="nil"/>
              <w:left w:val="nil"/>
              <w:bottom w:val="nil"/>
              <w:right w:val="nil"/>
            </w:tcBorders>
            <w:tcMar>
              <w:top w:w="100" w:type="dxa"/>
              <w:left w:w="100" w:type="dxa"/>
              <w:bottom w:w="100" w:type="dxa"/>
              <w:right w:w="100" w:type="dxa"/>
            </w:tcMar>
          </w:tcPr>
          <w:p w14:paraId="000003BC" w14:textId="77777777" w:rsidR="00CB4215" w:rsidRDefault="00CB4215">
            <w:pPr>
              <w:widowControl w:val="0"/>
              <w:spacing w:line="240" w:lineRule="auto"/>
              <w:rPr>
                <w:rFonts w:ascii="Times New Roman" w:eastAsia="Times New Roman" w:hAnsi="Times New Roman" w:cs="Times New Roman"/>
              </w:rPr>
            </w:pPr>
          </w:p>
        </w:tc>
      </w:tr>
      <w:tr w:rsidR="00CB4215" w14:paraId="24A217FE"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B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Wake time (</w:t>
            </w:r>
            <w:proofErr w:type="spellStart"/>
            <w:r>
              <w:rPr>
                <w:rFonts w:ascii="Times New Roman" w:eastAsia="Times New Roman" w:hAnsi="Times New Roman" w:cs="Times New Roman"/>
              </w:rPr>
              <w:t>hh</w:t>
            </w:r>
            <w:proofErr w:type="spellEnd"/>
            <w:r>
              <w:rPr>
                <w:rFonts w:ascii="Times New Roman" w:eastAsia="Times New Roman" w:hAnsi="Times New Roman" w:cs="Times New Roman"/>
              </w:rPr>
              <w:t>: mm) (n = 259)</w:t>
            </w:r>
          </w:p>
        </w:tc>
        <w:tc>
          <w:tcPr>
            <w:tcW w:w="3465" w:type="dxa"/>
            <w:tcBorders>
              <w:top w:val="nil"/>
              <w:left w:val="nil"/>
              <w:bottom w:val="nil"/>
              <w:right w:val="nil"/>
            </w:tcBorders>
            <w:tcMar>
              <w:top w:w="40" w:type="dxa"/>
              <w:left w:w="40" w:type="dxa"/>
              <w:bottom w:w="40" w:type="dxa"/>
              <w:right w:w="40" w:type="dxa"/>
            </w:tcMar>
            <w:vAlign w:val="bottom"/>
          </w:tcPr>
          <w:p w14:paraId="000003B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7:51 ± 1:55 (7:37, 8:05)</w:t>
            </w:r>
          </w:p>
        </w:tc>
      </w:tr>
      <w:tr w:rsidR="00CB4215" w14:paraId="797F4389"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B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Sleep time (</w:t>
            </w:r>
            <w:proofErr w:type="spellStart"/>
            <w:r>
              <w:rPr>
                <w:rFonts w:ascii="Times New Roman" w:eastAsia="Times New Roman" w:hAnsi="Times New Roman" w:cs="Times New Roman"/>
              </w:rPr>
              <w:t>hh</w:t>
            </w:r>
            <w:proofErr w:type="spellEnd"/>
            <w:r>
              <w:rPr>
                <w:rFonts w:ascii="Times New Roman" w:eastAsia="Times New Roman" w:hAnsi="Times New Roman" w:cs="Times New Roman"/>
              </w:rPr>
              <w:t>: mm) (n = 260)</w:t>
            </w:r>
          </w:p>
        </w:tc>
        <w:tc>
          <w:tcPr>
            <w:tcW w:w="3465" w:type="dxa"/>
            <w:tcBorders>
              <w:top w:val="nil"/>
              <w:left w:val="nil"/>
              <w:bottom w:val="nil"/>
              <w:right w:val="nil"/>
            </w:tcBorders>
            <w:tcMar>
              <w:top w:w="40" w:type="dxa"/>
              <w:left w:w="40" w:type="dxa"/>
              <w:bottom w:w="40" w:type="dxa"/>
              <w:right w:w="40" w:type="dxa"/>
            </w:tcMar>
            <w:vAlign w:val="bottom"/>
          </w:tcPr>
          <w:p w14:paraId="000003C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23:29 ± 1:38 (23:17, 23:41)</w:t>
            </w:r>
          </w:p>
        </w:tc>
      </w:tr>
      <w:tr w:rsidR="00CB4215" w14:paraId="224EDDED"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C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Sleep duration (hour) (n = 260)</w:t>
            </w:r>
          </w:p>
        </w:tc>
        <w:tc>
          <w:tcPr>
            <w:tcW w:w="3465" w:type="dxa"/>
            <w:tcBorders>
              <w:top w:val="nil"/>
              <w:left w:val="nil"/>
              <w:bottom w:val="nil"/>
              <w:right w:val="nil"/>
            </w:tcBorders>
            <w:tcMar>
              <w:top w:w="40" w:type="dxa"/>
              <w:left w:w="40" w:type="dxa"/>
              <w:bottom w:w="40" w:type="dxa"/>
              <w:right w:w="40" w:type="dxa"/>
            </w:tcMar>
            <w:vAlign w:val="bottom"/>
          </w:tcPr>
          <w:p w14:paraId="000003C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6.9 ± 1.1 (6.75, 7.02)</w:t>
            </w:r>
          </w:p>
        </w:tc>
      </w:tr>
      <w:tr w:rsidR="00CB4215" w14:paraId="46A48A04" w14:textId="77777777">
        <w:tc>
          <w:tcPr>
            <w:tcW w:w="5535" w:type="dxa"/>
            <w:tcBorders>
              <w:top w:val="nil"/>
              <w:left w:val="nil"/>
              <w:bottom w:val="nil"/>
              <w:right w:val="nil"/>
            </w:tcBorders>
            <w:tcMar>
              <w:top w:w="40" w:type="dxa"/>
              <w:left w:w="40" w:type="dxa"/>
              <w:bottom w:w="40" w:type="dxa"/>
              <w:right w:w="40" w:type="dxa"/>
            </w:tcMar>
            <w:vAlign w:val="bottom"/>
          </w:tcPr>
          <w:p w14:paraId="000003C3" w14:textId="77777777" w:rsidR="00CB4215" w:rsidRDefault="000530B4">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i/>
              </w:rPr>
              <w:t>Meal timing (</w:t>
            </w:r>
            <w:proofErr w:type="spellStart"/>
            <w:r>
              <w:rPr>
                <w:rFonts w:ascii="Times New Roman" w:eastAsia="Times New Roman" w:hAnsi="Times New Roman" w:cs="Times New Roman"/>
                <w:b/>
                <w:i/>
              </w:rPr>
              <w:t>hh</w:t>
            </w:r>
            <w:proofErr w:type="spellEnd"/>
            <w:r>
              <w:rPr>
                <w:rFonts w:ascii="Times New Roman" w:eastAsia="Times New Roman" w:hAnsi="Times New Roman" w:cs="Times New Roman"/>
                <w:b/>
                <w:i/>
              </w:rPr>
              <w:t>: mm)</w:t>
            </w:r>
          </w:p>
        </w:tc>
        <w:tc>
          <w:tcPr>
            <w:tcW w:w="3465" w:type="dxa"/>
            <w:tcBorders>
              <w:top w:val="nil"/>
              <w:left w:val="nil"/>
              <w:bottom w:val="nil"/>
              <w:right w:val="nil"/>
            </w:tcBorders>
            <w:tcMar>
              <w:top w:w="40" w:type="dxa"/>
              <w:left w:w="40" w:type="dxa"/>
              <w:bottom w:w="40" w:type="dxa"/>
              <w:right w:w="40" w:type="dxa"/>
            </w:tcMar>
            <w:vAlign w:val="bottom"/>
          </w:tcPr>
          <w:p w14:paraId="000003C4" w14:textId="77777777" w:rsidR="00CB4215" w:rsidRDefault="00CB4215">
            <w:pPr>
              <w:widowControl w:val="0"/>
              <w:spacing w:line="240" w:lineRule="auto"/>
              <w:rPr>
                <w:rFonts w:ascii="Times New Roman" w:eastAsia="Times New Roman" w:hAnsi="Times New Roman" w:cs="Times New Roman"/>
              </w:rPr>
            </w:pPr>
          </w:p>
        </w:tc>
      </w:tr>
      <w:tr w:rsidR="00CB4215" w14:paraId="314F88C8"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C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First eating episode (n=257)</w:t>
            </w:r>
          </w:p>
        </w:tc>
        <w:tc>
          <w:tcPr>
            <w:tcW w:w="3465" w:type="dxa"/>
            <w:tcBorders>
              <w:top w:val="nil"/>
              <w:left w:val="nil"/>
              <w:bottom w:val="nil"/>
              <w:right w:val="nil"/>
            </w:tcBorders>
            <w:tcMar>
              <w:top w:w="40" w:type="dxa"/>
              <w:left w:w="40" w:type="dxa"/>
              <w:bottom w:w="40" w:type="dxa"/>
              <w:right w:w="40" w:type="dxa"/>
            </w:tcMar>
            <w:vAlign w:val="bottom"/>
          </w:tcPr>
          <w:p w14:paraId="000003C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9:13 ± 2:00 (8:58, 9:28)</w:t>
            </w:r>
          </w:p>
        </w:tc>
      </w:tr>
      <w:tr w:rsidR="00CB4215" w14:paraId="533F2584"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C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Lunchtime (n=234)</w:t>
            </w:r>
          </w:p>
        </w:tc>
        <w:tc>
          <w:tcPr>
            <w:tcW w:w="3465" w:type="dxa"/>
            <w:tcBorders>
              <w:top w:val="nil"/>
              <w:left w:val="nil"/>
              <w:bottom w:val="nil"/>
              <w:right w:val="nil"/>
            </w:tcBorders>
            <w:tcMar>
              <w:top w:w="40" w:type="dxa"/>
              <w:left w:w="40" w:type="dxa"/>
              <w:bottom w:w="40" w:type="dxa"/>
              <w:right w:w="40" w:type="dxa"/>
            </w:tcMar>
            <w:vAlign w:val="bottom"/>
          </w:tcPr>
          <w:p w14:paraId="000003C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12:59 ± 0:52 (12:52, 13:05)</w:t>
            </w:r>
          </w:p>
        </w:tc>
      </w:tr>
      <w:tr w:rsidR="00CB4215" w14:paraId="388F1005"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C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Last eating episode (n =256)</w:t>
            </w:r>
          </w:p>
        </w:tc>
        <w:tc>
          <w:tcPr>
            <w:tcW w:w="3465" w:type="dxa"/>
            <w:tcBorders>
              <w:top w:val="nil"/>
              <w:left w:val="nil"/>
              <w:bottom w:val="nil"/>
              <w:right w:val="nil"/>
            </w:tcBorders>
            <w:tcMar>
              <w:top w:w="40" w:type="dxa"/>
              <w:left w:w="40" w:type="dxa"/>
              <w:bottom w:w="40" w:type="dxa"/>
              <w:right w:w="40" w:type="dxa"/>
            </w:tcMar>
            <w:vAlign w:val="bottom"/>
          </w:tcPr>
          <w:p w14:paraId="000003C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20:04 ± 1:40 (19:52, 20:16) </w:t>
            </w:r>
          </w:p>
        </w:tc>
      </w:tr>
      <w:tr w:rsidR="00CB4215" w14:paraId="63666C33"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C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Daily consumption window (hours) (n =258)</w:t>
            </w:r>
          </w:p>
        </w:tc>
        <w:tc>
          <w:tcPr>
            <w:tcW w:w="3465" w:type="dxa"/>
            <w:tcBorders>
              <w:top w:val="nil"/>
              <w:left w:val="nil"/>
              <w:bottom w:val="nil"/>
              <w:right w:val="nil"/>
            </w:tcBorders>
            <w:tcMar>
              <w:top w:w="40" w:type="dxa"/>
              <w:left w:w="40" w:type="dxa"/>
              <w:bottom w:w="40" w:type="dxa"/>
              <w:right w:w="40" w:type="dxa"/>
            </w:tcMar>
            <w:vAlign w:val="bottom"/>
          </w:tcPr>
          <w:p w14:paraId="000003C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10.7 ± 2.6 (10.3, 11.0)</w:t>
            </w:r>
          </w:p>
        </w:tc>
      </w:tr>
      <w:tr w:rsidR="00CB4215" w14:paraId="6B51DF4E" w14:textId="77777777">
        <w:tc>
          <w:tcPr>
            <w:tcW w:w="5535" w:type="dxa"/>
            <w:tcBorders>
              <w:top w:val="nil"/>
              <w:left w:val="nil"/>
              <w:bottom w:val="nil"/>
              <w:right w:val="nil"/>
            </w:tcBorders>
            <w:tcMar>
              <w:top w:w="40" w:type="dxa"/>
              <w:left w:w="40" w:type="dxa"/>
              <w:bottom w:w="40" w:type="dxa"/>
              <w:right w:w="40" w:type="dxa"/>
            </w:tcMar>
            <w:vAlign w:val="bottom"/>
          </w:tcPr>
          <w:p w14:paraId="000003CD" w14:textId="77777777" w:rsidR="00CB4215" w:rsidRDefault="000530B4">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i/>
              </w:rPr>
              <w:lastRenderedPageBreak/>
              <w:t>Eating behaviour traits (n = 260)</w:t>
            </w:r>
          </w:p>
        </w:tc>
        <w:tc>
          <w:tcPr>
            <w:tcW w:w="3465" w:type="dxa"/>
            <w:tcBorders>
              <w:top w:val="nil"/>
              <w:left w:val="nil"/>
              <w:bottom w:val="nil"/>
              <w:right w:val="nil"/>
            </w:tcBorders>
            <w:tcMar>
              <w:top w:w="40" w:type="dxa"/>
              <w:left w:w="40" w:type="dxa"/>
              <w:bottom w:w="40" w:type="dxa"/>
              <w:right w:w="40" w:type="dxa"/>
            </w:tcMar>
            <w:vAlign w:val="bottom"/>
          </w:tcPr>
          <w:p w14:paraId="000003CE" w14:textId="77777777" w:rsidR="00CB4215" w:rsidRDefault="00CB4215">
            <w:pPr>
              <w:widowControl w:val="0"/>
              <w:spacing w:line="240" w:lineRule="auto"/>
              <w:rPr>
                <w:rFonts w:ascii="Times New Roman" w:eastAsia="Times New Roman" w:hAnsi="Times New Roman" w:cs="Times New Roman"/>
              </w:rPr>
            </w:pPr>
          </w:p>
        </w:tc>
      </w:tr>
      <w:tr w:rsidR="00CB4215" w14:paraId="3EF09A10"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CF" w14:textId="3B12DFAF"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Craving control (C</w:t>
            </w:r>
            <w:r w:rsidR="00A04E56">
              <w:rPr>
                <w:rFonts w:ascii="Times New Roman" w:eastAsia="Times New Roman" w:hAnsi="Times New Roman" w:cs="Times New Roman"/>
              </w:rPr>
              <w:t>O</w:t>
            </w:r>
            <w:r>
              <w:rPr>
                <w:rFonts w:ascii="Times New Roman" w:eastAsia="Times New Roman" w:hAnsi="Times New Roman" w:cs="Times New Roman"/>
              </w:rPr>
              <w:t>EQ)</w:t>
            </w:r>
          </w:p>
        </w:tc>
        <w:tc>
          <w:tcPr>
            <w:tcW w:w="3465" w:type="dxa"/>
            <w:tcBorders>
              <w:top w:val="nil"/>
              <w:left w:val="nil"/>
              <w:bottom w:val="nil"/>
              <w:right w:val="nil"/>
            </w:tcBorders>
            <w:tcMar>
              <w:top w:w="40" w:type="dxa"/>
              <w:left w:w="40" w:type="dxa"/>
              <w:bottom w:w="40" w:type="dxa"/>
              <w:right w:w="40" w:type="dxa"/>
            </w:tcMar>
            <w:vAlign w:val="bottom"/>
          </w:tcPr>
          <w:p w14:paraId="000003D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55.12 ± 23.88 (52.21, 58.04)</w:t>
            </w:r>
          </w:p>
        </w:tc>
      </w:tr>
      <w:tr w:rsidR="00CB4215" w14:paraId="2F5332DA"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D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Uncontrolled eating (TFEQ)</w:t>
            </w:r>
          </w:p>
        </w:tc>
        <w:tc>
          <w:tcPr>
            <w:tcW w:w="3465" w:type="dxa"/>
            <w:tcBorders>
              <w:top w:val="nil"/>
              <w:left w:val="nil"/>
              <w:bottom w:val="nil"/>
              <w:right w:val="nil"/>
            </w:tcBorders>
            <w:tcMar>
              <w:top w:w="40" w:type="dxa"/>
              <w:left w:w="40" w:type="dxa"/>
              <w:bottom w:w="40" w:type="dxa"/>
              <w:right w:w="40" w:type="dxa"/>
            </w:tcMar>
            <w:vAlign w:val="bottom"/>
          </w:tcPr>
          <w:p w14:paraId="000003D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 ± 0.6 (2.1, 2.2)</w:t>
            </w:r>
          </w:p>
        </w:tc>
      </w:tr>
      <w:tr w:rsidR="00CB4215" w14:paraId="25D2A346" w14:textId="77777777">
        <w:tc>
          <w:tcPr>
            <w:tcW w:w="5535" w:type="dxa"/>
            <w:tcBorders>
              <w:top w:val="nil"/>
              <w:left w:val="nil"/>
              <w:bottom w:val="nil"/>
              <w:right w:val="nil"/>
            </w:tcBorders>
            <w:shd w:val="clear" w:color="auto" w:fill="FFFFFF"/>
            <w:tcMar>
              <w:top w:w="40" w:type="dxa"/>
              <w:left w:w="40" w:type="dxa"/>
              <w:bottom w:w="40" w:type="dxa"/>
              <w:right w:w="40" w:type="dxa"/>
            </w:tcMar>
            <w:vAlign w:val="bottom"/>
          </w:tcPr>
          <w:p w14:paraId="000003D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Emotional eating (TFEQ)</w:t>
            </w:r>
          </w:p>
        </w:tc>
        <w:tc>
          <w:tcPr>
            <w:tcW w:w="3465" w:type="dxa"/>
            <w:tcBorders>
              <w:top w:val="nil"/>
              <w:left w:val="nil"/>
              <w:bottom w:val="nil"/>
              <w:right w:val="nil"/>
            </w:tcBorders>
            <w:tcMar>
              <w:top w:w="40" w:type="dxa"/>
              <w:left w:w="40" w:type="dxa"/>
              <w:bottom w:w="40" w:type="dxa"/>
              <w:right w:w="40" w:type="dxa"/>
            </w:tcMar>
            <w:vAlign w:val="bottom"/>
          </w:tcPr>
          <w:p w14:paraId="000003D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 ± 0.9 (2.2, 2.4)</w:t>
            </w:r>
          </w:p>
        </w:tc>
      </w:tr>
      <w:tr w:rsidR="00CB4215" w14:paraId="1CCE723F" w14:textId="77777777">
        <w:tc>
          <w:tcPr>
            <w:tcW w:w="5535" w:type="dxa"/>
            <w:tcBorders>
              <w:top w:val="nil"/>
              <w:left w:val="nil"/>
              <w:bottom w:val="nil"/>
              <w:right w:val="nil"/>
            </w:tcBorders>
            <w:tcMar>
              <w:top w:w="40" w:type="dxa"/>
              <w:left w:w="40" w:type="dxa"/>
              <w:bottom w:w="40" w:type="dxa"/>
              <w:right w:w="40" w:type="dxa"/>
            </w:tcMar>
            <w:vAlign w:val="bottom"/>
          </w:tcPr>
          <w:p w14:paraId="000003D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Cognitive restraint (TFEQ)</w:t>
            </w:r>
          </w:p>
        </w:tc>
        <w:tc>
          <w:tcPr>
            <w:tcW w:w="3465" w:type="dxa"/>
            <w:tcBorders>
              <w:top w:val="nil"/>
              <w:left w:val="nil"/>
              <w:bottom w:val="nil"/>
              <w:right w:val="nil"/>
            </w:tcBorders>
            <w:tcMar>
              <w:top w:w="40" w:type="dxa"/>
              <w:left w:w="40" w:type="dxa"/>
              <w:bottom w:w="40" w:type="dxa"/>
              <w:right w:w="40" w:type="dxa"/>
            </w:tcMar>
            <w:vAlign w:val="bottom"/>
          </w:tcPr>
          <w:p w14:paraId="000003D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 ± 0.5 (2.1, 2.2)</w:t>
            </w:r>
          </w:p>
        </w:tc>
      </w:tr>
      <w:tr w:rsidR="00CB4215" w14:paraId="3701AF1B" w14:textId="77777777">
        <w:tc>
          <w:tcPr>
            <w:tcW w:w="5535" w:type="dxa"/>
            <w:tcBorders>
              <w:top w:val="nil"/>
              <w:left w:val="nil"/>
              <w:bottom w:val="nil"/>
              <w:right w:val="nil"/>
            </w:tcBorders>
            <w:tcMar>
              <w:top w:w="40" w:type="dxa"/>
              <w:left w:w="40" w:type="dxa"/>
              <w:bottom w:w="40" w:type="dxa"/>
              <w:right w:w="40" w:type="dxa"/>
            </w:tcMar>
            <w:vAlign w:val="bottom"/>
          </w:tcPr>
          <w:p w14:paraId="000003D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Satiety responsiveness (AEBQ)</w:t>
            </w:r>
          </w:p>
        </w:tc>
        <w:tc>
          <w:tcPr>
            <w:tcW w:w="3465" w:type="dxa"/>
            <w:tcBorders>
              <w:top w:val="nil"/>
              <w:left w:val="nil"/>
              <w:bottom w:val="nil"/>
              <w:right w:val="nil"/>
            </w:tcBorders>
            <w:tcMar>
              <w:top w:w="40" w:type="dxa"/>
              <w:left w:w="40" w:type="dxa"/>
              <w:bottom w:w="40" w:type="dxa"/>
              <w:right w:w="40" w:type="dxa"/>
            </w:tcMar>
            <w:vAlign w:val="bottom"/>
          </w:tcPr>
          <w:p w14:paraId="000003D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 ± 0.8 (2.2, 2.)</w:t>
            </w:r>
          </w:p>
        </w:tc>
      </w:tr>
      <w:tr w:rsidR="00CB4215" w14:paraId="56A77EF1" w14:textId="77777777">
        <w:tc>
          <w:tcPr>
            <w:tcW w:w="5535" w:type="dxa"/>
            <w:tcBorders>
              <w:top w:val="nil"/>
              <w:left w:val="nil"/>
              <w:bottom w:val="single" w:sz="8" w:space="0" w:color="000000"/>
              <w:right w:val="nil"/>
            </w:tcBorders>
            <w:tcMar>
              <w:top w:w="40" w:type="dxa"/>
              <w:left w:w="40" w:type="dxa"/>
              <w:bottom w:w="40" w:type="dxa"/>
              <w:right w:w="40" w:type="dxa"/>
            </w:tcMar>
            <w:vAlign w:val="bottom"/>
          </w:tcPr>
          <w:p w14:paraId="000003D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Reliance on hunger and satiety cues (IES)</w:t>
            </w:r>
          </w:p>
        </w:tc>
        <w:tc>
          <w:tcPr>
            <w:tcW w:w="3465" w:type="dxa"/>
            <w:tcBorders>
              <w:top w:val="nil"/>
              <w:left w:val="nil"/>
              <w:bottom w:val="single" w:sz="8" w:space="0" w:color="000000"/>
              <w:right w:val="nil"/>
            </w:tcBorders>
            <w:tcMar>
              <w:top w:w="40" w:type="dxa"/>
              <w:left w:w="40" w:type="dxa"/>
              <w:bottom w:w="40" w:type="dxa"/>
              <w:right w:w="40" w:type="dxa"/>
            </w:tcMar>
            <w:vAlign w:val="bottom"/>
          </w:tcPr>
          <w:p w14:paraId="000003D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3.4 ± 0.7 (3.3, 3.4)</w:t>
            </w:r>
          </w:p>
        </w:tc>
      </w:tr>
    </w:tbl>
    <w:p w14:paraId="000003DB" w14:textId="77777777" w:rsidR="00CB4215" w:rsidRDefault="000530B4">
      <w:pPr>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highlight w:val="white"/>
        </w:rPr>
        <w:t>Note</w:t>
      </w:r>
      <w:r>
        <w:rPr>
          <w:rFonts w:ascii="Times New Roman" w:eastAsia="Times New Roman" w:hAnsi="Times New Roman" w:cs="Times New Roman"/>
          <w:sz w:val="20"/>
          <w:szCs w:val="20"/>
          <w:highlight w:val="white"/>
        </w:rPr>
        <w:t>: COEQ = Control of Eating Questionnaire (Dalton et al., 2015); TFEQ = Three Factor Eating Questionnaire, revised version (Karlsson et al., 2000); AEBQ = Adult Eating Behaviour Questionnaire (</w:t>
      </w:r>
      <w:proofErr w:type="spellStart"/>
      <w:r>
        <w:rPr>
          <w:rFonts w:ascii="Times New Roman" w:eastAsia="Times New Roman" w:hAnsi="Times New Roman" w:cs="Times New Roman"/>
          <w:sz w:val="20"/>
          <w:szCs w:val="20"/>
          <w:highlight w:val="white"/>
        </w:rPr>
        <w:t>Hunot</w:t>
      </w:r>
      <w:proofErr w:type="spellEnd"/>
      <w:r>
        <w:rPr>
          <w:rFonts w:ascii="Times New Roman" w:eastAsia="Times New Roman" w:hAnsi="Times New Roman" w:cs="Times New Roman"/>
          <w:sz w:val="20"/>
          <w:szCs w:val="20"/>
          <w:highlight w:val="white"/>
        </w:rPr>
        <w:t xml:space="preserve"> et al., 2016); IES = Intuitive Eating Scale - 2 (Murat et al., 2017).</w:t>
      </w:r>
    </w:p>
    <w:p w14:paraId="000003DC" w14:textId="77777777" w:rsidR="00CB4215" w:rsidRDefault="00CB4215">
      <w:pPr>
        <w:spacing w:after="160" w:line="240" w:lineRule="auto"/>
        <w:rPr>
          <w:rFonts w:ascii="Times New Roman" w:eastAsia="Times New Roman" w:hAnsi="Times New Roman" w:cs="Times New Roman"/>
          <w:sz w:val="20"/>
          <w:szCs w:val="20"/>
        </w:rPr>
      </w:pPr>
    </w:p>
    <w:p w14:paraId="000003DD"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4.4.2 Correlations between meal timing or meal pattern with BMI</w:t>
      </w:r>
    </w:p>
    <w:p w14:paraId="000003DE" w14:textId="77777777" w:rsidR="00CB4215" w:rsidRDefault="00CB4215"/>
    <w:p w14:paraId="000003DF" w14:textId="772D9700"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4.2 shows the correlations between meal timings, including time of breakfast, time of lunch and time of last eating episode, meal patterns and BMI. There were no significant associations between meal timing and BMI (all </w:t>
      </w:r>
      <w:r>
        <w:rPr>
          <w:rFonts w:ascii="Times New Roman" w:eastAsia="Times New Roman" w:hAnsi="Times New Roman" w:cs="Times New Roman"/>
          <w:i/>
          <w:sz w:val="24"/>
          <w:szCs w:val="24"/>
        </w:rPr>
        <w:t>p</w:t>
      </w:r>
      <w:r w:rsidR="00C954FF">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&gt; 0.5). However, higher chaotic eating of meals (r</w:t>
      </w:r>
      <w:r w:rsidR="00C954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C954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-.14, </w:t>
      </w:r>
      <w:r>
        <w:rPr>
          <w:rFonts w:ascii="Times New Roman" w:eastAsia="Times New Roman" w:hAnsi="Times New Roman" w:cs="Times New Roman"/>
          <w:i/>
          <w:sz w:val="24"/>
          <w:szCs w:val="24"/>
        </w:rPr>
        <w:t>p</w:t>
      </w:r>
      <w:r w:rsidR="00C954FF">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C954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.02) or snacks (r</w:t>
      </w:r>
      <w:r w:rsidR="00C954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C954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-.15, </w:t>
      </w:r>
      <w:r>
        <w:rPr>
          <w:rFonts w:ascii="Times New Roman" w:eastAsia="Times New Roman" w:hAnsi="Times New Roman" w:cs="Times New Roman"/>
          <w:i/>
          <w:sz w:val="24"/>
          <w:szCs w:val="24"/>
        </w:rPr>
        <w:t>p</w:t>
      </w:r>
      <w:r w:rsidR="00C954FF">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C954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.02) was significantly associated with lower BMI. Additionally, no significant correlations were found between the meal timings and eating behaviour traits. As for the relationship between eating behaviour traits and BMI, results showed that higher scores on craving control and reliance on hunger and satiety cues were significantly related to lower BMI. Whereas higher scores on uncontrolled eating and emotional eating were significantly associated with higher BMI.  </w:t>
      </w:r>
    </w:p>
    <w:p w14:paraId="000003E0" w14:textId="77777777" w:rsidR="00CB4215" w:rsidRDefault="00CB4215">
      <w:pPr>
        <w:spacing w:line="240" w:lineRule="auto"/>
        <w:rPr>
          <w:rFonts w:ascii="Times New Roman" w:eastAsia="Times New Roman" w:hAnsi="Times New Roman" w:cs="Times New Roman"/>
        </w:rPr>
      </w:pPr>
    </w:p>
    <w:p w14:paraId="000003E1" w14:textId="77777777" w:rsidR="00CB4215" w:rsidRDefault="00CB4215">
      <w:pPr>
        <w:spacing w:line="240" w:lineRule="auto"/>
        <w:rPr>
          <w:rFonts w:ascii="Times New Roman" w:eastAsia="Times New Roman" w:hAnsi="Times New Roman" w:cs="Times New Roman"/>
        </w:rPr>
      </w:pPr>
    </w:p>
    <w:p w14:paraId="000003E2" w14:textId="77777777" w:rsidR="00CB4215" w:rsidRDefault="00CB4215">
      <w:pPr>
        <w:spacing w:line="240" w:lineRule="auto"/>
        <w:rPr>
          <w:rFonts w:ascii="Times New Roman" w:eastAsia="Times New Roman" w:hAnsi="Times New Roman" w:cs="Times New Roman"/>
        </w:rPr>
      </w:pPr>
    </w:p>
    <w:p w14:paraId="000003E3" w14:textId="77777777" w:rsidR="00CB4215" w:rsidRDefault="00CB4215">
      <w:pPr>
        <w:spacing w:line="240" w:lineRule="auto"/>
        <w:rPr>
          <w:rFonts w:ascii="Times New Roman" w:eastAsia="Times New Roman" w:hAnsi="Times New Roman" w:cs="Times New Roman"/>
        </w:rPr>
      </w:pPr>
    </w:p>
    <w:p w14:paraId="000003E4" w14:textId="77777777" w:rsidR="00CB4215" w:rsidRDefault="00CB4215">
      <w:pPr>
        <w:spacing w:line="240" w:lineRule="auto"/>
        <w:rPr>
          <w:rFonts w:ascii="Times New Roman" w:eastAsia="Times New Roman" w:hAnsi="Times New Roman" w:cs="Times New Roman"/>
        </w:rPr>
      </w:pPr>
    </w:p>
    <w:p w14:paraId="000003E5" w14:textId="77777777" w:rsidR="00CB4215" w:rsidRDefault="00CB4215">
      <w:pPr>
        <w:spacing w:line="240" w:lineRule="auto"/>
        <w:rPr>
          <w:rFonts w:ascii="Times New Roman" w:eastAsia="Times New Roman" w:hAnsi="Times New Roman" w:cs="Times New Roman"/>
        </w:rPr>
      </w:pPr>
    </w:p>
    <w:p w14:paraId="000003E6" w14:textId="77777777" w:rsidR="00CB4215" w:rsidRDefault="00CB4215">
      <w:pPr>
        <w:spacing w:line="240" w:lineRule="auto"/>
        <w:rPr>
          <w:rFonts w:ascii="Times New Roman" w:eastAsia="Times New Roman" w:hAnsi="Times New Roman" w:cs="Times New Roman"/>
        </w:rPr>
      </w:pPr>
    </w:p>
    <w:p w14:paraId="000003E7" w14:textId="77777777" w:rsidR="00CB4215" w:rsidRDefault="00CB4215">
      <w:pPr>
        <w:spacing w:line="240" w:lineRule="auto"/>
        <w:rPr>
          <w:rFonts w:ascii="Times New Roman" w:eastAsia="Times New Roman" w:hAnsi="Times New Roman" w:cs="Times New Roman"/>
        </w:rPr>
      </w:pPr>
    </w:p>
    <w:p w14:paraId="000003E8" w14:textId="77777777" w:rsidR="00CB4215" w:rsidRDefault="00CB4215">
      <w:pPr>
        <w:spacing w:line="240" w:lineRule="auto"/>
        <w:rPr>
          <w:rFonts w:ascii="Times New Roman" w:eastAsia="Times New Roman" w:hAnsi="Times New Roman" w:cs="Times New Roman"/>
        </w:rPr>
      </w:pPr>
    </w:p>
    <w:p w14:paraId="000003E9" w14:textId="77777777" w:rsidR="00CB4215" w:rsidRDefault="00CB4215">
      <w:pPr>
        <w:spacing w:line="240" w:lineRule="auto"/>
        <w:rPr>
          <w:rFonts w:ascii="Times New Roman" w:eastAsia="Times New Roman" w:hAnsi="Times New Roman" w:cs="Times New Roman"/>
        </w:rPr>
      </w:pPr>
    </w:p>
    <w:p w14:paraId="000003EA" w14:textId="77777777" w:rsidR="00CB4215" w:rsidRDefault="00CB4215">
      <w:pPr>
        <w:spacing w:line="240" w:lineRule="auto"/>
        <w:rPr>
          <w:rFonts w:ascii="Times New Roman" w:eastAsia="Times New Roman" w:hAnsi="Times New Roman" w:cs="Times New Roman"/>
        </w:rPr>
      </w:pPr>
    </w:p>
    <w:p w14:paraId="000003EB" w14:textId="77777777" w:rsidR="00CB4215" w:rsidRDefault="00CB4215">
      <w:pPr>
        <w:spacing w:line="240" w:lineRule="auto"/>
        <w:rPr>
          <w:rFonts w:ascii="Times New Roman" w:eastAsia="Times New Roman" w:hAnsi="Times New Roman" w:cs="Times New Roman"/>
        </w:rPr>
      </w:pPr>
    </w:p>
    <w:p w14:paraId="000003EF" w14:textId="77777777" w:rsidR="00CB4215" w:rsidRDefault="00CB4215">
      <w:pPr>
        <w:spacing w:line="240" w:lineRule="auto"/>
        <w:rPr>
          <w:rFonts w:ascii="Times New Roman" w:eastAsia="Times New Roman" w:hAnsi="Times New Roman" w:cs="Times New Roman"/>
        </w:rPr>
        <w:sectPr w:rsidR="00CB4215">
          <w:headerReference w:type="default" r:id="rId502"/>
          <w:pgSz w:w="11909" w:h="16834"/>
          <w:pgMar w:top="1440" w:right="1440" w:bottom="1440" w:left="1440" w:header="720" w:footer="720" w:gutter="0"/>
          <w:cols w:space="720"/>
        </w:sectPr>
      </w:pPr>
    </w:p>
    <w:p w14:paraId="000003F0"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78" w:name="_heading=h.1jlao46" w:colFirst="0" w:colLast="0"/>
      <w:bookmarkEnd w:id="78"/>
      <w:r>
        <w:rPr>
          <w:rFonts w:ascii="Times New Roman" w:eastAsia="Times New Roman" w:hAnsi="Times New Roman" w:cs="Times New Roman"/>
          <w:i/>
          <w:color w:val="000000"/>
          <w:sz w:val="20"/>
          <w:szCs w:val="20"/>
        </w:rPr>
        <w:lastRenderedPageBreak/>
        <w:t xml:space="preserve">Table 4.2. </w:t>
      </w:r>
      <w:r>
        <w:rPr>
          <w:rFonts w:ascii="Times New Roman" w:eastAsia="Times New Roman" w:hAnsi="Times New Roman" w:cs="Times New Roman"/>
          <w:color w:val="000000"/>
          <w:sz w:val="20"/>
          <w:szCs w:val="20"/>
        </w:rPr>
        <w:t>Correlations between BMI, meal timing, meal pattern and eating behaviour traits.</w:t>
      </w:r>
    </w:p>
    <w:tbl>
      <w:tblPr>
        <w:tblStyle w:val="a6"/>
        <w:tblW w:w="13873" w:type="dxa"/>
        <w:tblBorders>
          <w:insideH w:val="nil"/>
          <w:insideV w:val="nil"/>
        </w:tblBorders>
        <w:tblLayout w:type="fixed"/>
        <w:tblLook w:val="0600" w:firstRow="0" w:lastRow="0" w:firstColumn="0" w:lastColumn="0" w:noHBand="1" w:noVBand="1"/>
      </w:tblPr>
      <w:tblGrid>
        <w:gridCol w:w="3828"/>
        <w:gridCol w:w="992"/>
        <w:gridCol w:w="850"/>
        <w:gridCol w:w="851"/>
        <w:gridCol w:w="850"/>
        <w:gridCol w:w="851"/>
        <w:gridCol w:w="850"/>
        <w:gridCol w:w="709"/>
        <w:gridCol w:w="304"/>
        <w:gridCol w:w="547"/>
        <w:gridCol w:w="850"/>
        <w:gridCol w:w="851"/>
        <w:gridCol w:w="951"/>
        <w:gridCol w:w="589"/>
      </w:tblGrid>
      <w:tr w:rsidR="00CB4215" w14:paraId="74599406" w14:textId="77777777" w:rsidTr="00CB5D1A">
        <w:trPr>
          <w:trHeight w:val="14"/>
        </w:trPr>
        <w:tc>
          <w:tcPr>
            <w:tcW w:w="3828" w:type="dxa"/>
            <w:tcBorders>
              <w:top w:val="single" w:sz="8" w:space="0" w:color="000000"/>
              <w:left w:val="nil"/>
              <w:bottom w:val="single" w:sz="8" w:space="0" w:color="000000"/>
              <w:right w:val="nil"/>
            </w:tcBorders>
            <w:tcMar>
              <w:top w:w="100" w:type="dxa"/>
              <w:left w:w="100" w:type="dxa"/>
              <w:bottom w:w="100" w:type="dxa"/>
              <w:right w:w="100" w:type="dxa"/>
            </w:tcMar>
          </w:tcPr>
          <w:p w14:paraId="000003F1" w14:textId="77777777" w:rsidR="00CB4215" w:rsidRDefault="00CB4215">
            <w:pPr>
              <w:spacing w:line="240" w:lineRule="auto"/>
              <w:rPr>
                <w:rFonts w:ascii="Times New Roman" w:eastAsia="Times New Roman" w:hAnsi="Times New Roman" w:cs="Times New Roman"/>
              </w:rPr>
            </w:pPr>
          </w:p>
        </w:tc>
        <w:tc>
          <w:tcPr>
            <w:tcW w:w="992" w:type="dxa"/>
            <w:tcBorders>
              <w:top w:val="single" w:sz="8" w:space="0" w:color="000000"/>
              <w:left w:val="nil"/>
              <w:bottom w:val="single" w:sz="8" w:space="0" w:color="000000"/>
              <w:right w:val="nil"/>
            </w:tcBorders>
            <w:tcMar>
              <w:top w:w="100" w:type="dxa"/>
              <w:left w:w="100" w:type="dxa"/>
              <w:bottom w:w="100" w:type="dxa"/>
              <w:right w:w="100" w:type="dxa"/>
            </w:tcMar>
          </w:tcPr>
          <w:p w14:paraId="000003F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850" w:type="dxa"/>
            <w:tcBorders>
              <w:top w:val="single" w:sz="8" w:space="0" w:color="000000"/>
              <w:left w:val="nil"/>
              <w:bottom w:val="single" w:sz="8" w:space="0" w:color="000000"/>
              <w:right w:val="nil"/>
            </w:tcBorders>
            <w:tcMar>
              <w:top w:w="100" w:type="dxa"/>
              <w:left w:w="100" w:type="dxa"/>
              <w:bottom w:w="100" w:type="dxa"/>
              <w:right w:w="100" w:type="dxa"/>
            </w:tcMar>
          </w:tcPr>
          <w:p w14:paraId="000003F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8" w:space="0" w:color="000000"/>
              <w:left w:val="nil"/>
              <w:bottom w:val="single" w:sz="8" w:space="0" w:color="000000"/>
              <w:right w:val="nil"/>
            </w:tcBorders>
            <w:tcMar>
              <w:top w:w="100" w:type="dxa"/>
              <w:left w:w="100" w:type="dxa"/>
              <w:bottom w:w="100" w:type="dxa"/>
              <w:right w:w="100" w:type="dxa"/>
            </w:tcMar>
          </w:tcPr>
          <w:p w14:paraId="000003F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850" w:type="dxa"/>
            <w:tcBorders>
              <w:top w:val="single" w:sz="8" w:space="0" w:color="000000"/>
              <w:left w:val="nil"/>
              <w:bottom w:val="single" w:sz="8" w:space="0" w:color="000000"/>
              <w:right w:val="nil"/>
            </w:tcBorders>
            <w:tcMar>
              <w:top w:w="100" w:type="dxa"/>
              <w:left w:w="100" w:type="dxa"/>
              <w:bottom w:w="100" w:type="dxa"/>
              <w:right w:w="100" w:type="dxa"/>
            </w:tcMar>
          </w:tcPr>
          <w:p w14:paraId="000003F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851" w:type="dxa"/>
            <w:tcBorders>
              <w:top w:val="single" w:sz="8" w:space="0" w:color="000000"/>
              <w:left w:val="nil"/>
              <w:bottom w:val="single" w:sz="8" w:space="0" w:color="000000"/>
              <w:right w:val="nil"/>
            </w:tcBorders>
            <w:tcMar>
              <w:top w:w="100" w:type="dxa"/>
              <w:left w:w="100" w:type="dxa"/>
              <w:bottom w:w="100" w:type="dxa"/>
              <w:right w:w="100" w:type="dxa"/>
            </w:tcMar>
          </w:tcPr>
          <w:p w14:paraId="000003F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850" w:type="dxa"/>
            <w:tcBorders>
              <w:top w:val="single" w:sz="8" w:space="0" w:color="000000"/>
              <w:left w:val="nil"/>
              <w:bottom w:val="single" w:sz="8" w:space="0" w:color="000000"/>
              <w:right w:val="nil"/>
            </w:tcBorders>
            <w:tcMar>
              <w:top w:w="100" w:type="dxa"/>
              <w:left w:w="100" w:type="dxa"/>
              <w:bottom w:w="100" w:type="dxa"/>
              <w:right w:w="100" w:type="dxa"/>
            </w:tcMar>
          </w:tcPr>
          <w:p w14:paraId="000003F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709" w:type="dxa"/>
            <w:tcBorders>
              <w:top w:val="single" w:sz="8" w:space="0" w:color="000000"/>
              <w:left w:val="nil"/>
              <w:bottom w:val="single" w:sz="8" w:space="0" w:color="000000"/>
              <w:right w:val="nil"/>
            </w:tcBorders>
            <w:tcMar>
              <w:top w:w="100" w:type="dxa"/>
              <w:left w:w="100" w:type="dxa"/>
              <w:bottom w:w="100" w:type="dxa"/>
              <w:right w:w="100" w:type="dxa"/>
            </w:tcMar>
          </w:tcPr>
          <w:p w14:paraId="000003F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7</w:t>
            </w:r>
          </w:p>
        </w:tc>
        <w:tc>
          <w:tcPr>
            <w:tcW w:w="851"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000003F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8</w:t>
            </w:r>
          </w:p>
        </w:tc>
        <w:tc>
          <w:tcPr>
            <w:tcW w:w="850" w:type="dxa"/>
            <w:tcBorders>
              <w:top w:val="single" w:sz="8" w:space="0" w:color="000000"/>
              <w:left w:val="nil"/>
              <w:bottom w:val="single" w:sz="8" w:space="0" w:color="000000"/>
              <w:right w:val="nil"/>
            </w:tcBorders>
            <w:tcMar>
              <w:top w:w="100" w:type="dxa"/>
              <w:left w:w="100" w:type="dxa"/>
              <w:bottom w:w="100" w:type="dxa"/>
              <w:right w:w="100" w:type="dxa"/>
            </w:tcMar>
          </w:tcPr>
          <w:p w14:paraId="000003F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9</w:t>
            </w:r>
          </w:p>
        </w:tc>
        <w:tc>
          <w:tcPr>
            <w:tcW w:w="851" w:type="dxa"/>
            <w:tcBorders>
              <w:top w:val="single" w:sz="8" w:space="0" w:color="000000"/>
              <w:left w:val="nil"/>
              <w:bottom w:val="single" w:sz="8" w:space="0" w:color="000000"/>
              <w:right w:val="nil"/>
            </w:tcBorders>
            <w:tcMar>
              <w:top w:w="100" w:type="dxa"/>
              <w:left w:w="100" w:type="dxa"/>
              <w:bottom w:w="100" w:type="dxa"/>
              <w:right w:w="100" w:type="dxa"/>
            </w:tcMar>
          </w:tcPr>
          <w:p w14:paraId="000003F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951" w:type="dxa"/>
            <w:tcBorders>
              <w:top w:val="single" w:sz="8" w:space="0" w:color="000000"/>
              <w:left w:val="nil"/>
              <w:bottom w:val="single" w:sz="8" w:space="0" w:color="000000"/>
              <w:right w:val="nil"/>
            </w:tcBorders>
            <w:tcMar>
              <w:top w:w="100" w:type="dxa"/>
              <w:left w:w="100" w:type="dxa"/>
              <w:bottom w:w="100" w:type="dxa"/>
              <w:right w:w="100" w:type="dxa"/>
            </w:tcMar>
          </w:tcPr>
          <w:p w14:paraId="000003F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11</w:t>
            </w:r>
          </w:p>
        </w:tc>
        <w:tc>
          <w:tcPr>
            <w:tcW w:w="589" w:type="dxa"/>
            <w:tcBorders>
              <w:top w:val="single" w:sz="8" w:space="0" w:color="000000"/>
              <w:left w:val="nil"/>
              <w:bottom w:val="single" w:sz="8" w:space="0" w:color="000000"/>
              <w:right w:val="nil"/>
            </w:tcBorders>
            <w:tcMar>
              <w:top w:w="100" w:type="dxa"/>
              <w:left w:w="100" w:type="dxa"/>
              <w:bottom w:w="100" w:type="dxa"/>
              <w:right w:w="100" w:type="dxa"/>
            </w:tcMar>
          </w:tcPr>
          <w:p w14:paraId="000003F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12</w:t>
            </w:r>
          </w:p>
        </w:tc>
      </w:tr>
      <w:tr w:rsidR="00CB4215" w14:paraId="2B9097F4" w14:textId="77777777" w:rsidTr="00CB5D1A">
        <w:trPr>
          <w:trHeight w:val="14"/>
        </w:trPr>
        <w:tc>
          <w:tcPr>
            <w:tcW w:w="3828" w:type="dxa"/>
            <w:tcBorders>
              <w:top w:val="single" w:sz="8" w:space="0" w:color="000000"/>
              <w:left w:val="nil"/>
              <w:bottom w:val="nil"/>
              <w:right w:val="nil"/>
            </w:tcBorders>
            <w:tcMar>
              <w:top w:w="100" w:type="dxa"/>
              <w:left w:w="100" w:type="dxa"/>
              <w:bottom w:w="100" w:type="dxa"/>
              <w:right w:w="100" w:type="dxa"/>
            </w:tcMar>
          </w:tcPr>
          <w:p w14:paraId="000003F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 BMI</w:t>
            </w:r>
          </w:p>
        </w:tc>
        <w:tc>
          <w:tcPr>
            <w:tcW w:w="992" w:type="dxa"/>
            <w:tcBorders>
              <w:top w:val="single" w:sz="8" w:space="0" w:color="000000"/>
              <w:left w:val="nil"/>
              <w:bottom w:val="nil"/>
              <w:right w:val="nil"/>
            </w:tcBorders>
            <w:tcMar>
              <w:top w:w="100" w:type="dxa"/>
              <w:left w:w="100" w:type="dxa"/>
              <w:bottom w:w="100" w:type="dxa"/>
              <w:right w:w="100" w:type="dxa"/>
            </w:tcMar>
          </w:tcPr>
          <w:p w14:paraId="0000040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single" w:sz="8" w:space="0" w:color="000000"/>
              <w:left w:val="nil"/>
              <w:bottom w:val="nil"/>
              <w:right w:val="nil"/>
            </w:tcBorders>
            <w:tcMar>
              <w:top w:w="100" w:type="dxa"/>
              <w:left w:w="100" w:type="dxa"/>
              <w:bottom w:w="100" w:type="dxa"/>
              <w:right w:w="100" w:type="dxa"/>
            </w:tcMar>
          </w:tcPr>
          <w:p w14:paraId="0000040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single" w:sz="8" w:space="0" w:color="000000"/>
              <w:left w:val="nil"/>
              <w:bottom w:val="nil"/>
              <w:right w:val="nil"/>
            </w:tcBorders>
            <w:tcMar>
              <w:top w:w="100" w:type="dxa"/>
              <w:left w:w="100" w:type="dxa"/>
              <w:bottom w:w="100" w:type="dxa"/>
              <w:right w:w="100" w:type="dxa"/>
            </w:tcMar>
          </w:tcPr>
          <w:p w14:paraId="0000040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single" w:sz="8" w:space="0" w:color="000000"/>
              <w:left w:val="nil"/>
              <w:bottom w:val="nil"/>
              <w:right w:val="nil"/>
            </w:tcBorders>
            <w:tcMar>
              <w:top w:w="100" w:type="dxa"/>
              <w:left w:w="100" w:type="dxa"/>
              <w:bottom w:w="100" w:type="dxa"/>
              <w:right w:w="100" w:type="dxa"/>
            </w:tcMar>
          </w:tcPr>
          <w:p w14:paraId="0000040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single" w:sz="8" w:space="0" w:color="000000"/>
              <w:left w:val="nil"/>
              <w:bottom w:val="nil"/>
              <w:right w:val="nil"/>
            </w:tcBorders>
            <w:tcMar>
              <w:top w:w="100" w:type="dxa"/>
              <w:left w:w="100" w:type="dxa"/>
              <w:bottom w:w="100" w:type="dxa"/>
              <w:right w:w="100" w:type="dxa"/>
            </w:tcMar>
          </w:tcPr>
          <w:p w14:paraId="0000040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single" w:sz="8" w:space="0" w:color="000000"/>
              <w:left w:val="nil"/>
              <w:bottom w:val="nil"/>
              <w:right w:val="nil"/>
            </w:tcBorders>
            <w:tcMar>
              <w:top w:w="100" w:type="dxa"/>
              <w:left w:w="100" w:type="dxa"/>
              <w:bottom w:w="100" w:type="dxa"/>
              <w:right w:w="100" w:type="dxa"/>
            </w:tcMar>
          </w:tcPr>
          <w:p w14:paraId="0000040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13" w:type="dxa"/>
            <w:gridSpan w:val="2"/>
            <w:tcBorders>
              <w:top w:val="single" w:sz="8" w:space="0" w:color="000000"/>
              <w:left w:val="nil"/>
              <w:bottom w:val="nil"/>
              <w:right w:val="nil"/>
            </w:tcBorders>
            <w:tcMar>
              <w:top w:w="100" w:type="dxa"/>
              <w:left w:w="100" w:type="dxa"/>
              <w:bottom w:w="100" w:type="dxa"/>
              <w:right w:w="100" w:type="dxa"/>
            </w:tcMar>
          </w:tcPr>
          <w:p w14:paraId="0000040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47" w:type="dxa"/>
            <w:tcBorders>
              <w:top w:val="single" w:sz="8" w:space="0" w:color="000000"/>
              <w:left w:val="nil"/>
              <w:bottom w:val="nil"/>
              <w:right w:val="nil"/>
            </w:tcBorders>
            <w:tcMar>
              <w:top w:w="100" w:type="dxa"/>
              <w:left w:w="100" w:type="dxa"/>
              <w:bottom w:w="100" w:type="dxa"/>
              <w:right w:w="100" w:type="dxa"/>
            </w:tcMar>
          </w:tcPr>
          <w:p w14:paraId="0000040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single" w:sz="8" w:space="0" w:color="000000"/>
              <w:left w:val="nil"/>
              <w:bottom w:val="nil"/>
              <w:right w:val="nil"/>
            </w:tcBorders>
            <w:tcMar>
              <w:top w:w="100" w:type="dxa"/>
              <w:left w:w="100" w:type="dxa"/>
              <w:bottom w:w="100" w:type="dxa"/>
              <w:right w:w="100" w:type="dxa"/>
            </w:tcMar>
          </w:tcPr>
          <w:p w14:paraId="0000040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single" w:sz="8" w:space="0" w:color="000000"/>
              <w:left w:val="nil"/>
              <w:bottom w:val="nil"/>
              <w:right w:val="nil"/>
            </w:tcBorders>
            <w:tcMar>
              <w:top w:w="100" w:type="dxa"/>
              <w:left w:w="100" w:type="dxa"/>
              <w:bottom w:w="100" w:type="dxa"/>
              <w:right w:w="100" w:type="dxa"/>
            </w:tcMar>
          </w:tcPr>
          <w:p w14:paraId="0000040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51" w:type="dxa"/>
            <w:tcBorders>
              <w:top w:val="single" w:sz="8" w:space="0" w:color="000000"/>
              <w:left w:val="nil"/>
              <w:bottom w:val="nil"/>
              <w:right w:val="nil"/>
            </w:tcBorders>
            <w:tcMar>
              <w:top w:w="100" w:type="dxa"/>
              <w:left w:w="100" w:type="dxa"/>
              <w:bottom w:w="100" w:type="dxa"/>
              <w:right w:w="100" w:type="dxa"/>
            </w:tcMar>
          </w:tcPr>
          <w:p w14:paraId="0000040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single" w:sz="8" w:space="0" w:color="000000"/>
              <w:left w:val="nil"/>
              <w:bottom w:val="nil"/>
              <w:right w:val="nil"/>
            </w:tcBorders>
            <w:tcMar>
              <w:top w:w="100" w:type="dxa"/>
              <w:left w:w="100" w:type="dxa"/>
              <w:bottom w:w="100" w:type="dxa"/>
              <w:right w:w="100" w:type="dxa"/>
            </w:tcMar>
          </w:tcPr>
          <w:p w14:paraId="0000040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4215" w14:paraId="65222329" w14:textId="77777777" w:rsidTr="00CB5D1A">
        <w:trPr>
          <w:trHeight w:val="23"/>
        </w:trPr>
        <w:tc>
          <w:tcPr>
            <w:tcW w:w="3828" w:type="dxa"/>
            <w:tcBorders>
              <w:top w:val="nil"/>
              <w:left w:val="nil"/>
              <w:bottom w:val="nil"/>
              <w:right w:val="nil"/>
            </w:tcBorders>
            <w:tcMar>
              <w:top w:w="100" w:type="dxa"/>
              <w:left w:w="100" w:type="dxa"/>
              <w:bottom w:w="100" w:type="dxa"/>
              <w:right w:w="100" w:type="dxa"/>
            </w:tcMar>
          </w:tcPr>
          <w:p w14:paraId="0000040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 First eating episode time</w:t>
            </w:r>
          </w:p>
        </w:tc>
        <w:tc>
          <w:tcPr>
            <w:tcW w:w="992" w:type="dxa"/>
            <w:tcBorders>
              <w:top w:val="nil"/>
              <w:left w:val="nil"/>
              <w:bottom w:val="nil"/>
              <w:right w:val="nil"/>
            </w:tcBorders>
            <w:tcMar>
              <w:top w:w="100" w:type="dxa"/>
              <w:left w:w="100" w:type="dxa"/>
              <w:bottom w:w="100" w:type="dxa"/>
              <w:right w:w="100" w:type="dxa"/>
            </w:tcMar>
          </w:tcPr>
          <w:p w14:paraId="0000040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.04</w:t>
            </w:r>
          </w:p>
        </w:tc>
        <w:tc>
          <w:tcPr>
            <w:tcW w:w="850" w:type="dxa"/>
            <w:tcBorders>
              <w:top w:val="nil"/>
              <w:left w:val="nil"/>
              <w:bottom w:val="nil"/>
              <w:right w:val="nil"/>
            </w:tcBorders>
            <w:tcMar>
              <w:top w:w="100" w:type="dxa"/>
              <w:left w:w="100" w:type="dxa"/>
              <w:bottom w:w="100" w:type="dxa"/>
              <w:right w:w="100" w:type="dxa"/>
            </w:tcMar>
          </w:tcPr>
          <w:p w14:paraId="0000040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1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1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1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1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13" w:type="dxa"/>
            <w:gridSpan w:val="2"/>
            <w:tcBorders>
              <w:top w:val="nil"/>
              <w:left w:val="nil"/>
              <w:bottom w:val="nil"/>
              <w:right w:val="nil"/>
            </w:tcBorders>
            <w:tcMar>
              <w:top w:w="100" w:type="dxa"/>
              <w:left w:w="100" w:type="dxa"/>
              <w:bottom w:w="100" w:type="dxa"/>
              <w:right w:w="100" w:type="dxa"/>
            </w:tcMar>
          </w:tcPr>
          <w:p w14:paraId="0000041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47" w:type="dxa"/>
            <w:tcBorders>
              <w:top w:val="nil"/>
              <w:left w:val="nil"/>
              <w:bottom w:val="nil"/>
              <w:right w:val="nil"/>
            </w:tcBorders>
            <w:tcMar>
              <w:top w:w="100" w:type="dxa"/>
              <w:left w:w="100" w:type="dxa"/>
              <w:bottom w:w="100" w:type="dxa"/>
              <w:right w:w="100" w:type="dxa"/>
            </w:tcMar>
          </w:tcPr>
          <w:p w14:paraId="0000041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1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1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51" w:type="dxa"/>
            <w:tcBorders>
              <w:top w:val="nil"/>
              <w:left w:val="nil"/>
              <w:bottom w:val="nil"/>
              <w:right w:val="nil"/>
            </w:tcBorders>
            <w:tcMar>
              <w:top w:w="100" w:type="dxa"/>
              <w:left w:w="100" w:type="dxa"/>
              <w:bottom w:w="100" w:type="dxa"/>
              <w:right w:w="100" w:type="dxa"/>
            </w:tcMar>
          </w:tcPr>
          <w:p w14:paraId="0000041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nil"/>
              <w:left w:val="nil"/>
              <w:bottom w:val="nil"/>
              <w:right w:val="nil"/>
            </w:tcBorders>
            <w:tcMar>
              <w:top w:w="100" w:type="dxa"/>
              <w:left w:w="100" w:type="dxa"/>
              <w:bottom w:w="100" w:type="dxa"/>
              <w:right w:w="100" w:type="dxa"/>
            </w:tcMar>
          </w:tcPr>
          <w:p w14:paraId="0000041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4215" w14:paraId="69ABCC96" w14:textId="77777777" w:rsidTr="00CB5D1A">
        <w:trPr>
          <w:trHeight w:val="23"/>
        </w:trPr>
        <w:tc>
          <w:tcPr>
            <w:tcW w:w="3828" w:type="dxa"/>
            <w:tcBorders>
              <w:top w:val="nil"/>
              <w:left w:val="nil"/>
              <w:bottom w:val="nil"/>
              <w:right w:val="nil"/>
            </w:tcBorders>
            <w:tcMar>
              <w:top w:w="100" w:type="dxa"/>
              <w:left w:w="100" w:type="dxa"/>
              <w:bottom w:w="100" w:type="dxa"/>
              <w:right w:w="100" w:type="dxa"/>
            </w:tcMar>
          </w:tcPr>
          <w:p w14:paraId="0000041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 Lunch time</w:t>
            </w:r>
          </w:p>
        </w:tc>
        <w:tc>
          <w:tcPr>
            <w:tcW w:w="992" w:type="dxa"/>
            <w:tcBorders>
              <w:top w:val="nil"/>
              <w:left w:val="nil"/>
              <w:bottom w:val="nil"/>
              <w:right w:val="nil"/>
            </w:tcBorders>
            <w:tcMar>
              <w:top w:w="100" w:type="dxa"/>
              <w:left w:w="100" w:type="dxa"/>
              <w:bottom w:w="100" w:type="dxa"/>
              <w:right w:w="100" w:type="dxa"/>
            </w:tcMar>
          </w:tcPr>
          <w:p w14:paraId="0000041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.01</w:t>
            </w:r>
          </w:p>
        </w:tc>
        <w:tc>
          <w:tcPr>
            <w:tcW w:w="850" w:type="dxa"/>
            <w:tcBorders>
              <w:top w:val="nil"/>
              <w:left w:val="nil"/>
              <w:bottom w:val="nil"/>
              <w:right w:val="nil"/>
            </w:tcBorders>
            <w:tcMar>
              <w:top w:w="100" w:type="dxa"/>
              <w:left w:w="100" w:type="dxa"/>
              <w:bottom w:w="100" w:type="dxa"/>
              <w:right w:w="100" w:type="dxa"/>
            </w:tcMar>
          </w:tcPr>
          <w:p w14:paraId="0000041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.18</w:t>
            </w:r>
            <w:r>
              <w:rPr>
                <w:rFonts w:ascii="Times New Roman" w:eastAsia="Times New Roman" w:hAnsi="Times New Roman" w:cs="Times New Roman"/>
                <w:vertAlign w:val="superscript"/>
              </w:rPr>
              <w:t>**</w:t>
            </w:r>
          </w:p>
        </w:tc>
        <w:tc>
          <w:tcPr>
            <w:tcW w:w="851" w:type="dxa"/>
            <w:tcBorders>
              <w:top w:val="nil"/>
              <w:left w:val="nil"/>
              <w:bottom w:val="nil"/>
              <w:right w:val="nil"/>
            </w:tcBorders>
            <w:tcMar>
              <w:top w:w="100" w:type="dxa"/>
              <w:left w:w="100" w:type="dxa"/>
              <w:bottom w:w="100" w:type="dxa"/>
              <w:right w:w="100" w:type="dxa"/>
            </w:tcMar>
          </w:tcPr>
          <w:p w14:paraId="0000041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1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2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2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13" w:type="dxa"/>
            <w:gridSpan w:val="2"/>
            <w:tcBorders>
              <w:top w:val="nil"/>
              <w:left w:val="nil"/>
              <w:bottom w:val="nil"/>
              <w:right w:val="nil"/>
            </w:tcBorders>
            <w:tcMar>
              <w:top w:w="100" w:type="dxa"/>
              <w:left w:w="100" w:type="dxa"/>
              <w:bottom w:w="100" w:type="dxa"/>
              <w:right w:w="100" w:type="dxa"/>
            </w:tcMar>
          </w:tcPr>
          <w:p w14:paraId="0000042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47" w:type="dxa"/>
            <w:tcBorders>
              <w:top w:val="nil"/>
              <w:left w:val="nil"/>
              <w:bottom w:val="nil"/>
              <w:right w:val="nil"/>
            </w:tcBorders>
            <w:tcMar>
              <w:top w:w="100" w:type="dxa"/>
              <w:left w:w="100" w:type="dxa"/>
              <w:bottom w:w="100" w:type="dxa"/>
              <w:right w:w="100" w:type="dxa"/>
            </w:tcMar>
          </w:tcPr>
          <w:p w14:paraId="0000042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2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2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51" w:type="dxa"/>
            <w:tcBorders>
              <w:top w:val="nil"/>
              <w:left w:val="nil"/>
              <w:bottom w:val="nil"/>
              <w:right w:val="nil"/>
            </w:tcBorders>
            <w:tcMar>
              <w:top w:w="100" w:type="dxa"/>
              <w:left w:w="100" w:type="dxa"/>
              <w:bottom w:w="100" w:type="dxa"/>
              <w:right w:w="100" w:type="dxa"/>
            </w:tcMar>
          </w:tcPr>
          <w:p w14:paraId="0000042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nil"/>
              <w:left w:val="nil"/>
              <w:bottom w:val="nil"/>
              <w:right w:val="nil"/>
            </w:tcBorders>
            <w:tcMar>
              <w:top w:w="100" w:type="dxa"/>
              <w:left w:w="100" w:type="dxa"/>
              <w:bottom w:w="100" w:type="dxa"/>
              <w:right w:w="100" w:type="dxa"/>
            </w:tcMar>
          </w:tcPr>
          <w:p w14:paraId="0000042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4215" w14:paraId="7ED47785" w14:textId="77777777" w:rsidTr="00CB5D1A">
        <w:trPr>
          <w:trHeight w:val="23"/>
        </w:trPr>
        <w:tc>
          <w:tcPr>
            <w:tcW w:w="3828" w:type="dxa"/>
            <w:tcBorders>
              <w:top w:val="nil"/>
              <w:left w:val="nil"/>
              <w:bottom w:val="nil"/>
              <w:right w:val="nil"/>
            </w:tcBorders>
            <w:tcMar>
              <w:top w:w="100" w:type="dxa"/>
              <w:left w:w="100" w:type="dxa"/>
              <w:bottom w:w="100" w:type="dxa"/>
              <w:right w:w="100" w:type="dxa"/>
            </w:tcMar>
          </w:tcPr>
          <w:p w14:paraId="0000042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 Last eating episode time</w:t>
            </w:r>
          </w:p>
        </w:tc>
        <w:tc>
          <w:tcPr>
            <w:tcW w:w="992" w:type="dxa"/>
            <w:tcBorders>
              <w:top w:val="nil"/>
              <w:left w:val="nil"/>
              <w:bottom w:val="nil"/>
              <w:right w:val="nil"/>
            </w:tcBorders>
            <w:tcMar>
              <w:top w:w="100" w:type="dxa"/>
              <w:left w:w="100" w:type="dxa"/>
              <w:bottom w:w="100" w:type="dxa"/>
              <w:right w:w="100" w:type="dxa"/>
            </w:tcMar>
          </w:tcPr>
          <w:p w14:paraId="0000042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-.09</w:t>
            </w:r>
          </w:p>
        </w:tc>
        <w:tc>
          <w:tcPr>
            <w:tcW w:w="850" w:type="dxa"/>
            <w:tcBorders>
              <w:top w:val="nil"/>
              <w:left w:val="nil"/>
              <w:bottom w:val="nil"/>
              <w:right w:val="nil"/>
            </w:tcBorders>
            <w:tcMar>
              <w:top w:w="100" w:type="dxa"/>
              <w:left w:w="100" w:type="dxa"/>
              <w:bottom w:w="100" w:type="dxa"/>
              <w:right w:w="100" w:type="dxa"/>
            </w:tcMar>
          </w:tcPr>
          <w:p w14:paraId="0000042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vertAlign w:val="superscript"/>
              </w:rPr>
              <w:t>*</w:t>
            </w:r>
          </w:p>
        </w:tc>
        <w:tc>
          <w:tcPr>
            <w:tcW w:w="851" w:type="dxa"/>
            <w:tcBorders>
              <w:top w:val="nil"/>
              <w:left w:val="nil"/>
              <w:bottom w:val="nil"/>
              <w:right w:val="nil"/>
            </w:tcBorders>
            <w:tcMar>
              <w:top w:w="100" w:type="dxa"/>
              <w:left w:w="100" w:type="dxa"/>
              <w:bottom w:w="100" w:type="dxa"/>
              <w:right w:w="100" w:type="dxa"/>
            </w:tcMar>
          </w:tcPr>
          <w:p w14:paraId="0000042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vertAlign w:val="superscript"/>
              </w:rPr>
              <w:t>**</w:t>
            </w:r>
          </w:p>
        </w:tc>
        <w:tc>
          <w:tcPr>
            <w:tcW w:w="850" w:type="dxa"/>
            <w:tcBorders>
              <w:top w:val="nil"/>
              <w:left w:val="nil"/>
              <w:bottom w:val="nil"/>
              <w:right w:val="nil"/>
            </w:tcBorders>
            <w:tcMar>
              <w:top w:w="100" w:type="dxa"/>
              <w:left w:w="100" w:type="dxa"/>
              <w:bottom w:w="100" w:type="dxa"/>
              <w:right w:w="100" w:type="dxa"/>
            </w:tcMar>
          </w:tcPr>
          <w:p w14:paraId="0000042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2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2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13" w:type="dxa"/>
            <w:gridSpan w:val="2"/>
            <w:tcBorders>
              <w:top w:val="nil"/>
              <w:left w:val="nil"/>
              <w:bottom w:val="nil"/>
              <w:right w:val="nil"/>
            </w:tcBorders>
            <w:tcMar>
              <w:top w:w="100" w:type="dxa"/>
              <w:left w:w="100" w:type="dxa"/>
              <w:bottom w:w="100" w:type="dxa"/>
              <w:right w:w="100" w:type="dxa"/>
            </w:tcMar>
          </w:tcPr>
          <w:p w14:paraId="0000043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47" w:type="dxa"/>
            <w:tcBorders>
              <w:top w:val="nil"/>
              <w:left w:val="nil"/>
              <w:bottom w:val="nil"/>
              <w:right w:val="nil"/>
            </w:tcBorders>
            <w:tcMar>
              <w:top w:w="100" w:type="dxa"/>
              <w:left w:w="100" w:type="dxa"/>
              <w:bottom w:w="100" w:type="dxa"/>
              <w:right w:w="100" w:type="dxa"/>
            </w:tcMar>
          </w:tcPr>
          <w:p w14:paraId="0000043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3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3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51" w:type="dxa"/>
            <w:tcBorders>
              <w:top w:val="nil"/>
              <w:left w:val="nil"/>
              <w:bottom w:val="nil"/>
              <w:right w:val="nil"/>
            </w:tcBorders>
            <w:tcMar>
              <w:top w:w="100" w:type="dxa"/>
              <w:left w:w="100" w:type="dxa"/>
              <w:bottom w:w="100" w:type="dxa"/>
              <w:right w:w="100" w:type="dxa"/>
            </w:tcMar>
          </w:tcPr>
          <w:p w14:paraId="0000043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nil"/>
              <w:left w:val="nil"/>
              <w:bottom w:val="nil"/>
              <w:right w:val="nil"/>
            </w:tcBorders>
            <w:tcMar>
              <w:top w:w="100" w:type="dxa"/>
              <w:left w:w="100" w:type="dxa"/>
              <w:bottom w:w="100" w:type="dxa"/>
              <w:right w:w="100" w:type="dxa"/>
            </w:tcMar>
          </w:tcPr>
          <w:p w14:paraId="0000043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4215" w14:paraId="37FA3223" w14:textId="77777777" w:rsidTr="00CB5D1A">
        <w:trPr>
          <w:trHeight w:val="23"/>
        </w:trPr>
        <w:tc>
          <w:tcPr>
            <w:tcW w:w="3828" w:type="dxa"/>
            <w:tcBorders>
              <w:top w:val="nil"/>
              <w:left w:val="nil"/>
              <w:bottom w:val="nil"/>
              <w:right w:val="nil"/>
            </w:tcBorders>
            <w:tcMar>
              <w:top w:w="100" w:type="dxa"/>
              <w:left w:w="100" w:type="dxa"/>
              <w:bottom w:w="100" w:type="dxa"/>
              <w:right w:w="100" w:type="dxa"/>
            </w:tcMar>
          </w:tcPr>
          <w:p w14:paraId="0000043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 Meal chaotic index</w:t>
            </w:r>
          </w:p>
        </w:tc>
        <w:tc>
          <w:tcPr>
            <w:tcW w:w="992" w:type="dxa"/>
            <w:tcBorders>
              <w:top w:val="nil"/>
              <w:left w:val="nil"/>
              <w:bottom w:val="nil"/>
              <w:right w:val="nil"/>
            </w:tcBorders>
            <w:shd w:val="clear" w:color="auto" w:fill="FFFFFF" w:themeFill="background1"/>
            <w:tcMar>
              <w:top w:w="100" w:type="dxa"/>
              <w:left w:w="100" w:type="dxa"/>
              <w:bottom w:w="100" w:type="dxa"/>
              <w:right w:w="100" w:type="dxa"/>
            </w:tcMar>
          </w:tcPr>
          <w:p w14:paraId="00000438" w14:textId="25657594" w:rsidR="00CB4215" w:rsidRPr="00CB5D1A" w:rsidRDefault="00CB5D1A">
            <w:pPr>
              <w:spacing w:line="240" w:lineRule="auto"/>
              <w:rPr>
                <w:rFonts w:ascii="Times New Roman" w:eastAsia="Times New Roman" w:hAnsi="Times New Roman" w:cs="Times New Roman"/>
                <w:b/>
                <w:shd w:val="clear" w:color="auto" w:fill="FF9900"/>
              </w:rPr>
            </w:pPr>
            <w:r>
              <w:rPr>
                <w:rFonts w:ascii="Times New Roman" w:eastAsia="Times New Roman" w:hAnsi="Times New Roman" w:cs="Times New Roman"/>
              </w:rPr>
              <w:t>-.14</w:t>
            </w:r>
            <w:r>
              <w:rPr>
                <w:rFonts w:ascii="Times New Roman" w:eastAsia="Times New Roman" w:hAnsi="Times New Roman" w:cs="Times New Roman"/>
                <w:vertAlign w:val="superscript"/>
              </w:rPr>
              <w:t>*</w:t>
            </w:r>
          </w:p>
        </w:tc>
        <w:tc>
          <w:tcPr>
            <w:tcW w:w="850" w:type="dxa"/>
            <w:tcBorders>
              <w:top w:val="nil"/>
              <w:left w:val="nil"/>
              <w:bottom w:val="nil"/>
              <w:right w:val="nil"/>
            </w:tcBorders>
            <w:tcMar>
              <w:top w:w="100" w:type="dxa"/>
              <w:left w:w="100" w:type="dxa"/>
              <w:bottom w:w="100" w:type="dxa"/>
              <w:right w:w="100" w:type="dxa"/>
            </w:tcMar>
          </w:tcPr>
          <w:p w14:paraId="0000043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851" w:type="dxa"/>
            <w:tcBorders>
              <w:top w:val="nil"/>
              <w:left w:val="nil"/>
              <w:bottom w:val="nil"/>
              <w:right w:val="nil"/>
            </w:tcBorders>
            <w:tcMar>
              <w:top w:w="100" w:type="dxa"/>
              <w:left w:w="100" w:type="dxa"/>
              <w:bottom w:w="100" w:type="dxa"/>
              <w:right w:w="100" w:type="dxa"/>
            </w:tcMar>
          </w:tcPr>
          <w:p w14:paraId="0000043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850" w:type="dxa"/>
            <w:tcBorders>
              <w:top w:val="nil"/>
              <w:left w:val="nil"/>
              <w:bottom w:val="nil"/>
              <w:right w:val="nil"/>
            </w:tcBorders>
            <w:tcMar>
              <w:top w:w="100" w:type="dxa"/>
              <w:left w:w="100" w:type="dxa"/>
              <w:bottom w:w="100" w:type="dxa"/>
              <w:right w:w="100" w:type="dxa"/>
            </w:tcMar>
          </w:tcPr>
          <w:p w14:paraId="0000043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.29</w:t>
            </w:r>
            <w:r>
              <w:rPr>
                <w:rFonts w:ascii="Times New Roman" w:eastAsia="Times New Roman" w:hAnsi="Times New Roman" w:cs="Times New Roman"/>
                <w:vertAlign w:val="superscript"/>
              </w:rPr>
              <w:t>**</w:t>
            </w:r>
          </w:p>
        </w:tc>
        <w:tc>
          <w:tcPr>
            <w:tcW w:w="851" w:type="dxa"/>
            <w:tcBorders>
              <w:top w:val="nil"/>
              <w:left w:val="nil"/>
              <w:bottom w:val="nil"/>
              <w:right w:val="nil"/>
            </w:tcBorders>
            <w:tcMar>
              <w:top w:w="100" w:type="dxa"/>
              <w:left w:w="100" w:type="dxa"/>
              <w:bottom w:w="100" w:type="dxa"/>
              <w:right w:w="100" w:type="dxa"/>
            </w:tcMar>
          </w:tcPr>
          <w:p w14:paraId="0000043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3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13" w:type="dxa"/>
            <w:gridSpan w:val="2"/>
            <w:tcBorders>
              <w:top w:val="nil"/>
              <w:left w:val="nil"/>
              <w:bottom w:val="nil"/>
              <w:right w:val="nil"/>
            </w:tcBorders>
            <w:tcMar>
              <w:top w:w="100" w:type="dxa"/>
              <w:left w:w="100" w:type="dxa"/>
              <w:bottom w:w="100" w:type="dxa"/>
              <w:right w:w="100" w:type="dxa"/>
            </w:tcMar>
          </w:tcPr>
          <w:p w14:paraId="0000043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47" w:type="dxa"/>
            <w:tcBorders>
              <w:top w:val="nil"/>
              <w:left w:val="nil"/>
              <w:bottom w:val="nil"/>
              <w:right w:val="nil"/>
            </w:tcBorders>
            <w:tcMar>
              <w:top w:w="100" w:type="dxa"/>
              <w:left w:w="100" w:type="dxa"/>
              <w:bottom w:w="100" w:type="dxa"/>
              <w:right w:w="100" w:type="dxa"/>
            </w:tcMar>
          </w:tcPr>
          <w:p w14:paraId="0000044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4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4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51" w:type="dxa"/>
            <w:tcBorders>
              <w:top w:val="nil"/>
              <w:left w:val="nil"/>
              <w:bottom w:val="nil"/>
              <w:right w:val="nil"/>
            </w:tcBorders>
            <w:tcMar>
              <w:top w:w="100" w:type="dxa"/>
              <w:left w:w="100" w:type="dxa"/>
              <w:bottom w:w="100" w:type="dxa"/>
              <w:right w:w="100" w:type="dxa"/>
            </w:tcMar>
          </w:tcPr>
          <w:p w14:paraId="0000044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nil"/>
              <w:left w:val="nil"/>
              <w:bottom w:val="nil"/>
              <w:right w:val="nil"/>
            </w:tcBorders>
            <w:tcMar>
              <w:top w:w="100" w:type="dxa"/>
              <w:left w:w="100" w:type="dxa"/>
              <w:bottom w:w="100" w:type="dxa"/>
              <w:right w:w="100" w:type="dxa"/>
            </w:tcMar>
          </w:tcPr>
          <w:p w14:paraId="0000044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4215" w14:paraId="14623645" w14:textId="77777777" w:rsidTr="00CB5D1A">
        <w:trPr>
          <w:trHeight w:val="23"/>
        </w:trPr>
        <w:tc>
          <w:tcPr>
            <w:tcW w:w="3828" w:type="dxa"/>
            <w:tcBorders>
              <w:top w:val="nil"/>
              <w:left w:val="nil"/>
              <w:bottom w:val="nil"/>
              <w:right w:val="nil"/>
            </w:tcBorders>
            <w:tcMar>
              <w:top w:w="100" w:type="dxa"/>
              <w:left w:w="100" w:type="dxa"/>
              <w:bottom w:w="100" w:type="dxa"/>
              <w:right w:w="100" w:type="dxa"/>
            </w:tcMar>
          </w:tcPr>
          <w:p w14:paraId="0000044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6. Snack chaotic index</w:t>
            </w:r>
          </w:p>
        </w:tc>
        <w:tc>
          <w:tcPr>
            <w:tcW w:w="992" w:type="dxa"/>
            <w:tcBorders>
              <w:top w:val="nil"/>
              <w:left w:val="nil"/>
              <w:bottom w:val="nil"/>
              <w:right w:val="nil"/>
            </w:tcBorders>
            <w:shd w:val="clear" w:color="auto" w:fill="FFFF00"/>
            <w:tcMar>
              <w:top w:w="100" w:type="dxa"/>
              <w:left w:w="100" w:type="dxa"/>
              <w:bottom w:w="100" w:type="dxa"/>
              <w:right w:w="100" w:type="dxa"/>
            </w:tcMar>
          </w:tcPr>
          <w:p w14:paraId="00000446" w14:textId="4120D521" w:rsidR="00CB4215" w:rsidRPr="00CB5D1A" w:rsidRDefault="00CB5D1A">
            <w:pPr>
              <w:spacing w:line="240" w:lineRule="auto"/>
              <w:rPr>
                <w:rFonts w:ascii="Times New Roman" w:eastAsia="Times New Roman" w:hAnsi="Times New Roman" w:cs="Times New Roman"/>
                <w:b/>
                <w:bCs/>
                <w:shd w:val="clear" w:color="auto" w:fill="FF9900"/>
              </w:rPr>
            </w:pPr>
            <w:r w:rsidRPr="00CB5D1A">
              <w:rPr>
                <w:rFonts w:ascii="Times New Roman" w:eastAsia="Times New Roman" w:hAnsi="Times New Roman" w:cs="Times New Roman"/>
                <w:b/>
                <w:bCs/>
              </w:rPr>
              <w:t>-.15</w:t>
            </w:r>
            <w:r w:rsidRPr="00CB5D1A">
              <w:rPr>
                <w:rFonts w:ascii="Times New Roman" w:eastAsia="Times New Roman" w:hAnsi="Times New Roman" w:cs="Times New Roman"/>
                <w:b/>
                <w:bCs/>
                <w:vertAlign w:val="superscript"/>
              </w:rPr>
              <w:t>*</w:t>
            </w:r>
          </w:p>
        </w:tc>
        <w:tc>
          <w:tcPr>
            <w:tcW w:w="850" w:type="dxa"/>
            <w:tcBorders>
              <w:top w:val="nil"/>
              <w:left w:val="nil"/>
              <w:bottom w:val="nil"/>
              <w:right w:val="nil"/>
            </w:tcBorders>
            <w:tcMar>
              <w:top w:w="100" w:type="dxa"/>
              <w:left w:w="100" w:type="dxa"/>
              <w:bottom w:w="100" w:type="dxa"/>
              <w:right w:w="100" w:type="dxa"/>
            </w:tcMar>
          </w:tcPr>
          <w:p w14:paraId="0000044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-.07</w:t>
            </w:r>
          </w:p>
        </w:tc>
        <w:tc>
          <w:tcPr>
            <w:tcW w:w="851" w:type="dxa"/>
            <w:tcBorders>
              <w:top w:val="nil"/>
              <w:left w:val="nil"/>
              <w:bottom w:val="nil"/>
              <w:right w:val="nil"/>
            </w:tcBorders>
            <w:tcMar>
              <w:top w:w="100" w:type="dxa"/>
              <w:left w:w="100" w:type="dxa"/>
              <w:bottom w:w="100" w:type="dxa"/>
              <w:right w:w="100" w:type="dxa"/>
            </w:tcMar>
          </w:tcPr>
          <w:p w14:paraId="0000044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-.02</w:t>
            </w:r>
          </w:p>
        </w:tc>
        <w:tc>
          <w:tcPr>
            <w:tcW w:w="850" w:type="dxa"/>
            <w:tcBorders>
              <w:top w:val="nil"/>
              <w:left w:val="nil"/>
              <w:bottom w:val="nil"/>
              <w:right w:val="nil"/>
            </w:tcBorders>
            <w:tcMar>
              <w:top w:w="100" w:type="dxa"/>
              <w:left w:w="100" w:type="dxa"/>
              <w:bottom w:w="100" w:type="dxa"/>
              <w:right w:w="100" w:type="dxa"/>
            </w:tcMar>
          </w:tcPr>
          <w:p w14:paraId="0000044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.40</w:t>
            </w:r>
            <w:r>
              <w:rPr>
                <w:rFonts w:ascii="Times New Roman" w:eastAsia="Times New Roman" w:hAnsi="Times New Roman" w:cs="Times New Roman"/>
                <w:vertAlign w:val="superscript"/>
              </w:rPr>
              <w:t>**</w:t>
            </w:r>
          </w:p>
        </w:tc>
        <w:tc>
          <w:tcPr>
            <w:tcW w:w="851" w:type="dxa"/>
            <w:tcBorders>
              <w:top w:val="nil"/>
              <w:left w:val="nil"/>
              <w:bottom w:val="nil"/>
              <w:right w:val="nil"/>
            </w:tcBorders>
            <w:tcMar>
              <w:top w:w="100" w:type="dxa"/>
              <w:left w:w="100" w:type="dxa"/>
              <w:bottom w:w="100" w:type="dxa"/>
              <w:right w:w="100" w:type="dxa"/>
            </w:tcMar>
          </w:tcPr>
          <w:p w14:paraId="0000044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.48</w:t>
            </w:r>
            <w:r>
              <w:rPr>
                <w:rFonts w:ascii="Times New Roman" w:eastAsia="Times New Roman" w:hAnsi="Times New Roman" w:cs="Times New Roman"/>
                <w:vertAlign w:val="superscript"/>
              </w:rPr>
              <w:t>**</w:t>
            </w:r>
          </w:p>
        </w:tc>
        <w:tc>
          <w:tcPr>
            <w:tcW w:w="850" w:type="dxa"/>
            <w:tcBorders>
              <w:top w:val="nil"/>
              <w:left w:val="nil"/>
              <w:bottom w:val="nil"/>
              <w:right w:val="nil"/>
            </w:tcBorders>
            <w:tcMar>
              <w:top w:w="100" w:type="dxa"/>
              <w:left w:w="100" w:type="dxa"/>
              <w:bottom w:w="100" w:type="dxa"/>
              <w:right w:w="100" w:type="dxa"/>
            </w:tcMar>
          </w:tcPr>
          <w:p w14:paraId="0000044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13" w:type="dxa"/>
            <w:gridSpan w:val="2"/>
            <w:tcBorders>
              <w:top w:val="nil"/>
              <w:left w:val="nil"/>
              <w:bottom w:val="nil"/>
              <w:right w:val="nil"/>
            </w:tcBorders>
            <w:tcMar>
              <w:top w:w="100" w:type="dxa"/>
              <w:left w:w="100" w:type="dxa"/>
              <w:bottom w:w="100" w:type="dxa"/>
              <w:right w:w="100" w:type="dxa"/>
            </w:tcMar>
          </w:tcPr>
          <w:p w14:paraId="0000044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47" w:type="dxa"/>
            <w:tcBorders>
              <w:top w:val="nil"/>
              <w:left w:val="nil"/>
              <w:bottom w:val="nil"/>
              <w:right w:val="nil"/>
            </w:tcBorders>
            <w:tcMar>
              <w:top w:w="100" w:type="dxa"/>
              <w:left w:w="100" w:type="dxa"/>
              <w:bottom w:w="100" w:type="dxa"/>
              <w:right w:w="100" w:type="dxa"/>
            </w:tcMar>
          </w:tcPr>
          <w:p w14:paraId="0000044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4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5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51" w:type="dxa"/>
            <w:tcBorders>
              <w:top w:val="nil"/>
              <w:left w:val="nil"/>
              <w:bottom w:val="nil"/>
              <w:right w:val="nil"/>
            </w:tcBorders>
            <w:tcMar>
              <w:top w:w="100" w:type="dxa"/>
              <w:left w:w="100" w:type="dxa"/>
              <w:bottom w:w="100" w:type="dxa"/>
              <w:right w:w="100" w:type="dxa"/>
            </w:tcMar>
          </w:tcPr>
          <w:p w14:paraId="0000045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nil"/>
              <w:left w:val="nil"/>
              <w:bottom w:val="nil"/>
              <w:right w:val="nil"/>
            </w:tcBorders>
            <w:tcMar>
              <w:top w:w="100" w:type="dxa"/>
              <w:left w:w="100" w:type="dxa"/>
              <w:bottom w:w="100" w:type="dxa"/>
              <w:right w:w="100" w:type="dxa"/>
            </w:tcMar>
          </w:tcPr>
          <w:p w14:paraId="0000045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5D1A" w14:paraId="16C8A878" w14:textId="77777777" w:rsidTr="00CB5D1A">
        <w:trPr>
          <w:trHeight w:val="23"/>
        </w:trPr>
        <w:tc>
          <w:tcPr>
            <w:tcW w:w="3828" w:type="dxa"/>
            <w:tcBorders>
              <w:top w:val="nil"/>
              <w:left w:val="nil"/>
              <w:bottom w:val="nil"/>
              <w:right w:val="nil"/>
            </w:tcBorders>
            <w:tcMar>
              <w:top w:w="100" w:type="dxa"/>
              <w:left w:w="100" w:type="dxa"/>
              <w:bottom w:w="100" w:type="dxa"/>
              <w:right w:w="100" w:type="dxa"/>
            </w:tcMar>
          </w:tcPr>
          <w:p w14:paraId="00000453" w14:textId="0AD6C46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7. COEQ-</w:t>
            </w:r>
            <w:r w:rsidRPr="00CB5D1A">
              <w:rPr>
                <w:rFonts w:ascii="Times New Roman" w:eastAsia="Times New Roman" w:hAnsi="Times New Roman" w:cs="Times New Roman"/>
                <w:sz w:val="20"/>
                <w:szCs w:val="20"/>
              </w:rPr>
              <w:t xml:space="preserve"> </w:t>
            </w:r>
            <w:r>
              <w:rPr>
                <w:rFonts w:ascii="Times New Roman" w:eastAsia="Times New Roman" w:hAnsi="Times New Roman" w:cs="Times New Roman"/>
              </w:rPr>
              <w:t>c</w:t>
            </w:r>
            <w:r w:rsidRPr="00CB5D1A">
              <w:rPr>
                <w:rFonts w:ascii="Times New Roman" w:eastAsia="Times New Roman" w:hAnsi="Times New Roman" w:cs="Times New Roman"/>
              </w:rPr>
              <w:t xml:space="preserve">raving </w:t>
            </w:r>
            <w:r w:rsidR="000B7C8C">
              <w:rPr>
                <w:rFonts w:ascii="Times New Roman" w:eastAsia="Times New Roman" w:hAnsi="Times New Roman" w:cs="Times New Roman"/>
              </w:rPr>
              <w:t>c</w:t>
            </w:r>
            <w:r w:rsidRPr="00CB5D1A">
              <w:rPr>
                <w:rFonts w:ascii="Times New Roman" w:eastAsia="Times New Roman" w:hAnsi="Times New Roman" w:cs="Times New Roman"/>
              </w:rPr>
              <w:t>ontrol</w:t>
            </w:r>
          </w:p>
        </w:tc>
        <w:tc>
          <w:tcPr>
            <w:tcW w:w="992" w:type="dxa"/>
            <w:tcBorders>
              <w:top w:val="nil"/>
              <w:left w:val="nil"/>
              <w:bottom w:val="nil"/>
              <w:right w:val="nil"/>
            </w:tcBorders>
            <w:shd w:val="clear" w:color="auto" w:fill="FFFF00"/>
            <w:tcMar>
              <w:top w:w="100" w:type="dxa"/>
              <w:left w:w="100" w:type="dxa"/>
              <w:bottom w:w="100" w:type="dxa"/>
              <w:right w:w="100" w:type="dxa"/>
            </w:tcMar>
          </w:tcPr>
          <w:p w14:paraId="00000454" w14:textId="533A1A3D" w:rsidR="00CB5D1A" w:rsidRPr="00CB5D1A" w:rsidRDefault="00CB5D1A" w:rsidP="00CB5D1A">
            <w:pPr>
              <w:spacing w:line="240" w:lineRule="auto"/>
              <w:rPr>
                <w:rFonts w:ascii="Times New Roman" w:eastAsia="Times New Roman" w:hAnsi="Times New Roman" w:cs="Times New Roman"/>
                <w:b/>
                <w:bCs/>
                <w:shd w:val="clear" w:color="auto" w:fill="FF9900"/>
              </w:rPr>
            </w:pPr>
            <w:r w:rsidRPr="00CB5D1A">
              <w:rPr>
                <w:rFonts w:ascii="Times New Roman" w:eastAsia="Times New Roman" w:hAnsi="Times New Roman" w:cs="Times New Roman"/>
                <w:b/>
                <w:bCs/>
              </w:rPr>
              <w:t>-.21</w:t>
            </w:r>
            <w:r w:rsidRPr="00CB5D1A">
              <w:rPr>
                <w:rFonts w:ascii="Times New Roman" w:eastAsia="Times New Roman" w:hAnsi="Times New Roman" w:cs="Times New Roman"/>
                <w:b/>
                <w:bCs/>
                <w:vertAlign w:val="superscript"/>
              </w:rPr>
              <w:t>**</w:t>
            </w:r>
          </w:p>
        </w:tc>
        <w:tc>
          <w:tcPr>
            <w:tcW w:w="850" w:type="dxa"/>
            <w:tcBorders>
              <w:top w:val="nil"/>
              <w:left w:val="nil"/>
              <w:bottom w:val="nil"/>
              <w:right w:val="nil"/>
            </w:tcBorders>
            <w:tcMar>
              <w:top w:w="100" w:type="dxa"/>
              <w:left w:w="100" w:type="dxa"/>
              <w:bottom w:w="100" w:type="dxa"/>
              <w:right w:w="100" w:type="dxa"/>
            </w:tcMar>
          </w:tcPr>
          <w:p w14:paraId="00000455"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851" w:type="dxa"/>
            <w:tcBorders>
              <w:top w:val="nil"/>
              <w:left w:val="nil"/>
              <w:bottom w:val="nil"/>
              <w:right w:val="nil"/>
            </w:tcBorders>
            <w:tcMar>
              <w:top w:w="100" w:type="dxa"/>
              <w:left w:w="100" w:type="dxa"/>
              <w:bottom w:w="100" w:type="dxa"/>
              <w:right w:w="100" w:type="dxa"/>
            </w:tcMar>
          </w:tcPr>
          <w:p w14:paraId="00000456"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.01</w:t>
            </w:r>
          </w:p>
        </w:tc>
        <w:tc>
          <w:tcPr>
            <w:tcW w:w="850" w:type="dxa"/>
            <w:tcBorders>
              <w:top w:val="nil"/>
              <w:left w:val="nil"/>
              <w:bottom w:val="nil"/>
              <w:right w:val="nil"/>
            </w:tcBorders>
            <w:tcMar>
              <w:top w:w="100" w:type="dxa"/>
              <w:left w:w="100" w:type="dxa"/>
              <w:bottom w:w="100" w:type="dxa"/>
              <w:right w:w="100" w:type="dxa"/>
            </w:tcMar>
          </w:tcPr>
          <w:p w14:paraId="00000457"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-.09</w:t>
            </w:r>
          </w:p>
        </w:tc>
        <w:tc>
          <w:tcPr>
            <w:tcW w:w="851" w:type="dxa"/>
            <w:tcBorders>
              <w:top w:val="nil"/>
              <w:left w:val="nil"/>
              <w:bottom w:val="nil"/>
              <w:right w:val="nil"/>
            </w:tcBorders>
            <w:tcMar>
              <w:top w:w="100" w:type="dxa"/>
              <w:left w:w="100" w:type="dxa"/>
              <w:bottom w:w="100" w:type="dxa"/>
              <w:right w:w="100" w:type="dxa"/>
            </w:tcMar>
          </w:tcPr>
          <w:p w14:paraId="00000458"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.06</w:t>
            </w:r>
          </w:p>
        </w:tc>
        <w:tc>
          <w:tcPr>
            <w:tcW w:w="850" w:type="dxa"/>
            <w:tcBorders>
              <w:top w:val="nil"/>
              <w:left w:val="nil"/>
              <w:bottom w:val="nil"/>
              <w:right w:val="nil"/>
            </w:tcBorders>
            <w:tcMar>
              <w:top w:w="100" w:type="dxa"/>
              <w:left w:w="100" w:type="dxa"/>
              <w:bottom w:w="100" w:type="dxa"/>
              <w:right w:w="100" w:type="dxa"/>
            </w:tcMar>
          </w:tcPr>
          <w:p w14:paraId="00000459"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-.07</w:t>
            </w:r>
          </w:p>
        </w:tc>
        <w:tc>
          <w:tcPr>
            <w:tcW w:w="1013" w:type="dxa"/>
            <w:gridSpan w:val="2"/>
            <w:tcBorders>
              <w:top w:val="nil"/>
              <w:left w:val="nil"/>
              <w:bottom w:val="nil"/>
              <w:right w:val="nil"/>
            </w:tcBorders>
            <w:tcMar>
              <w:top w:w="100" w:type="dxa"/>
              <w:left w:w="100" w:type="dxa"/>
              <w:bottom w:w="100" w:type="dxa"/>
              <w:right w:w="100" w:type="dxa"/>
            </w:tcMar>
          </w:tcPr>
          <w:p w14:paraId="0000045A"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47" w:type="dxa"/>
            <w:tcBorders>
              <w:top w:val="nil"/>
              <w:left w:val="nil"/>
              <w:bottom w:val="nil"/>
              <w:right w:val="nil"/>
            </w:tcBorders>
            <w:tcMar>
              <w:top w:w="100" w:type="dxa"/>
              <w:left w:w="100" w:type="dxa"/>
              <w:bottom w:w="100" w:type="dxa"/>
              <w:right w:w="100" w:type="dxa"/>
            </w:tcMar>
          </w:tcPr>
          <w:p w14:paraId="0000045C"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5D"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5E"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51" w:type="dxa"/>
            <w:tcBorders>
              <w:top w:val="nil"/>
              <w:left w:val="nil"/>
              <w:bottom w:val="nil"/>
              <w:right w:val="nil"/>
            </w:tcBorders>
            <w:tcMar>
              <w:top w:w="100" w:type="dxa"/>
              <w:left w:w="100" w:type="dxa"/>
              <w:bottom w:w="100" w:type="dxa"/>
              <w:right w:w="100" w:type="dxa"/>
            </w:tcMar>
          </w:tcPr>
          <w:p w14:paraId="0000045F"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nil"/>
              <w:left w:val="nil"/>
              <w:bottom w:val="nil"/>
              <w:right w:val="nil"/>
            </w:tcBorders>
            <w:tcMar>
              <w:top w:w="100" w:type="dxa"/>
              <w:left w:w="100" w:type="dxa"/>
              <w:bottom w:w="100" w:type="dxa"/>
              <w:right w:w="100" w:type="dxa"/>
            </w:tcMar>
          </w:tcPr>
          <w:p w14:paraId="00000460"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5D1A" w14:paraId="2AF3CE4D" w14:textId="77777777" w:rsidTr="00CB5D1A">
        <w:trPr>
          <w:trHeight w:val="23"/>
        </w:trPr>
        <w:tc>
          <w:tcPr>
            <w:tcW w:w="3828" w:type="dxa"/>
            <w:tcBorders>
              <w:top w:val="nil"/>
              <w:left w:val="nil"/>
              <w:bottom w:val="nil"/>
              <w:right w:val="nil"/>
            </w:tcBorders>
            <w:tcMar>
              <w:top w:w="100" w:type="dxa"/>
              <w:left w:w="100" w:type="dxa"/>
              <w:bottom w:w="100" w:type="dxa"/>
              <w:right w:w="100" w:type="dxa"/>
            </w:tcMar>
          </w:tcPr>
          <w:p w14:paraId="00000461" w14:textId="006C0346"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8. TFEQ-</w:t>
            </w:r>
            <w:r w:rsidRPr="00CB5D1A">
              <w:rPr>
                <w:rFonts w:ascii="Times New Roman" w:eastAsia="Times New Roman" w:hAnsi="Times New Roman" w:cs="Times New Roman"/>
                <w:sz w:val="20"/>
                <w:szCs w:val="20"/>
              </w:rPr>
              <w:t xml:space="preserve"> </w:t>
            </w:r>
            <w:r>
              <w:rPr>
                <w:rFonts w:ascii="Times New Roman" w:eastAsia="Times New Roman" w:hAnsi="Times New Roman" w:cs="Times New Roman"/>
              </w:rPr>
              <w:t>c</w:t>
            </w:r>
            <w:r w:rsidRPr="00CB5D1A">
              <w:rPr>
                <w:rFonts w:ascii="Times New Roman" w:eastAsia="Times New Roman" w:hAnsi="Times New Roman" w:cs="Times New Roman"/>
              </w:rPr>
              <w:t>ognitive restraint</w:t>
            </w:r>
          </w:p>
        </w:tc>
        <w:tc>
          <w:tcPr>
            <w:tcW w:w="992" w:type="dxa"/>
            <w:tcBorders>
              <w:top w:val="nil"/>
              <w:left w:val="nil"/>
              <w:bottom w:val="nil"/>
              <w:right w:val="nil"/>
            </w:tcBorders>
            <w:tcMar>
              <w:top w:w="100" w:type="dxa"/>
              <w:left w:w="100" w:type="dxa"/>
              <w:bottom w:w="100" w:type="dxa"/>
              <w:right w:w="100" w:type="dxa"/>
            </w:tcMar>
          </w:tcPr>
          <w:p w14:paraId="00000462"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.003</w:t>
            </w:r>
          </w:p>
        </w:tc>
        <w:tc>
          <w:tcPr>
            <w:tcW w:w="850" w:type="dxa"/>
            <w:tcBorders>
              <w:top w:val="nil"/>
              <w:left w:val="nil"/>
              <w:bottom w:val="nil"/>
              <w:right w:val="nil"/>
            </w:tcBorders>
            <w:tcMar>
              <w:top w:w="100" w:type="dxa"/>
              <w:left w:w="100" w:type="dxa"/>
              <w:bottom w:w="100" w:type="dxa"/>
              <w:right w:w="100" w:type="dxa"/>
            </w:tcMar>
          </w:tcPr>
          <w:p w14:paraId="00000463"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851" w:type="dxa"/>
            <w:tcBorders>
              <w:top w:val="nil"/>
              <w:left w:val="nil"/>
              <w:bottom w:val="nil"/>
              <w:right w:val="nil"/>
            </w:tcBorders>
            <w:tcMar>
              <w:top w:w="100" w:type="dxa"/>
              <w:left w:w="100" w:type="dxa"/>
              <w:bottom w:w="100" w:type="dxa"/>
              <w:right w:w="100" w:type="dxa"/>
            </w:tcMar>
          </w:tcPr>
          <w:p w14:paraId="00000464"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850" w:type="dxa"/>
            <w:tcBorders>
              <w:top w:val="nil"/>
              <w:left w:val="nil"/>
              <w:bottom w:val="nil"/>
              <w:right w:val="nil"/>
            </w:tcBorders>
            <w:tcMar>
              <w:top w:w="100" w:type="dxa"/>
              <w:left w:w="100" w:type="dxa"/>
              <w:bottom w:w="100" w:type="dxa"/>
              <w:right w:w="100" w:type="dxa"/>
            </w:tcMar>
          </w:tcPr>
          <w:p w14:paraId="00000465"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851" w:type="dxa"/>
            <w:tcBorders>
              <w:top w:val="nil"/>
              <w:left w:val="nil"/>
              <w:bottom w:val="nil"/>
              <w:right w:val="nil"/>
            </w:tcBorders>
            <w:tcMar>
              <w:top w:w="100" w:type="dxa"/>
              <w:left w:w="100" w:type="dxa"/>
              <w:bottom w:w="100" w:type="dxa"/>
              <w:right w:w="100" w:type="dxa"/>
            </w:tcMar>
          </w:tcPr>
          <w:p w14:paraId="00000466"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-.04</w:t>
            </w:r>
          </w:p>
        </w:tc>
        <w:tc>
          <w:tcPr>
            <w:tcW w:w="850" w:type="dxa"/>
            <w:tcBorders>
              <w:top w:val="nil"/>
              <w:left w:val="nil"/>
              <w:bottom w:val="nil"/>
              <w:right w:val="nil"/>
            </w:tcBorders>
            <w:tcMar>
              <w:top w:w="100" w:type="dxa"/>
              <w:left w:w="100" w:type="dxa"/>
              <w:bottom w:w="100" w:type="dxa"/>
              <w:right w:w="100" w:type="dxa"/>
            </w:tcMar>
          </w:tcPr>
          <w:p w14:paraId="00000467"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-.09</w:t>
            </w:r>
          </w:p>
        </w:tc>
        <w:tc>
          <w:tcPr>
            <w:tcW w:w="1013" w:type="dxa"/>
            <w:gridSpan w:val="2"/>
            <w:tcBorders>
              <w:top w:val="nil"/>
              <w:left w:val="nil"/>
              <w:bottom w:val="nil"/>
              <w:right w:val="nil"/>
            </w:tcBorders>
            <w:tcMar>
              <w:top w:w="100" w:type="dxa"/>
              <w:left w:w="100" w:type="dxa"/>
              <w:bottom w:w="100" w:type="dxa"/>
              <w:right w:w="100" w:type="dxa"/>
            </w:tcMar>
          </w:tcPr>
          <w:p w14:paraId="00000468"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.03</w:t>
            </w:r>
          </w:p>
        </w:tc>
        <w:tc>
          <w:tcPr>
            <w:tcW w:w="547" w:type="dxa"/>
            <w:tcBorders>
              <w:top w:val="nil"/>
              <w:left w:val="nil"/>
              <w:bottom w:val="nil"/>
              <w:right w:val="nil"/>
            </w:tcBorders>
            <w:tcMar>
              <w:top w:w="100" w:type="dxa"/>
              <w:left w:w="100" w:type="dxa"/>
              <w:bottom w:w="100" w:type="dxa"/>
              <w:right w:w="100" w:type="dxa"/>
            </w:tcMar>
          </w:tcPr>
          <w:p w14:paraId="0000046A"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0" w:type="dxa"/>
            <w:tcBorders>
              <w:top w:val="nil"/>
              <w:left w:val="nil"/>
              <w:bottom w:val="nil"/>
              <w:right w:val="nil"/>
            </w:tcBorders>
            <w:tcMar>
              <w:top w:w="100" w:type="dxa"/>
              <w:left w:w="100" w:type="dxa"/>
              <w:bottom w:w="100" w:type="dxa"/>
              <w:right w:w="100" w:type="dxa"/>
            </w:tcMar>
          </w:tcPr>
          <w:p w14:paraId="0000046B"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6C"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51" w:type="dxa"/>
            <w:tcBorders>
              <w:top w:val="nil"/>
              <w:left w:val="nil"/>
              <w:bottom w:val="nil"/>
              <w:right w:val="nil"/>
            </w:tcBorders>
            <w:tcMar>
              <w:top w:w="100" w:type="dxa"/>
              <w:left w:w="100" w:type="dxa"/>
              <w:bottom w:w="100" w:type="dxa"/>
              <w:right w:w="100" w:type="dxa"/>
            </w:tcMar>
          </w:tcPr>
          <w:p w14:paraId="0000046D"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nil"/>
              <w:left w:val="nil"/>
              <w:bottom w:val="nil"/>
              <w:right w:val="nil"/>
            </w:tcBorders>
            <w:tcMar>
              <w:top w:w="100" w:type="dxa"/>
              <w:left w:w="100" w:type="dxa"/>
              <w:bottom w:w="100" w:type="dxa"/>
              <w:right w:w="100" w:type="dxa"/>
            </w:tcMar>
          </w:tcPr>
          <w:p w14:paraId="0000046E"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5D1A" w14:paraId="663E171E" w14:textId="77777777" w:rsidTr="00CB5D1A">
        <w:trPr>
          <w:trHeight w:val="23"/>
        </w:trPr>
        <w:tc>
          <w:tcPr>
            <w:tcW w:w="3828" w:type="dxa"/>
            <w:tcBorders>
              <w:top w:val="nil"/>
              <w:left w:val="nil"/>
              <w:bottom w:val="nil"/>
              <w:right w:val="nil"/>
            </w:tcBorders>
            <w:tcMar>
              <w:top w:w="100" w:type="dxa"/>
              <w:left w:w="100" w:type="dxa"/>
              <w:bottom w:w="100" w:type="dxa"/>
              <w:right w:w="100" w:type="dxa"/>
            </w:tcMar>
          </w:tcPr>
          <w:p w14:paraId="0000046F" w14:textId="134F55E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9. TFEQ-</w:t>
            </w:r>
            <w:r w:rsidRPr="00CB5D1A">
              <w:rPr>
                <w:rFonts w:ascii="Times New Roman" w:eastAsia="Times New Roman" w:hAnsi="Times New Roman" w:cs="Times New Roman"/>
                <w:sz w:val="20"/>
                <w:szCs w:val="20"/>
              </w:rPr>
              <w:t xml:space="preserve"> </w:t>
            </w:r>
            <w:r>
              <w:rPr>
                <w:rFonts w:ascii="Times New Roman" w:eastAsia="Times New Roman" w:hAnsi="Times New Roman" w:cs="Times New Roman"/>
              </w:rPr>
              <w:t>u</w:t>
            </w:r>
            <w:r w:rsidRPr="00CB5D1A">
              <w:rPr>
                <w:rFonts w:ascii="Times New Roman" w:eastAsia="Times New Roman" w:hAnsi="Times New Roman" w:cs="Times New Roman"/>
              </w:rPr>
              <w:t xml:space="preserve">ncontrolled </w:t>
            </w:r>
            <w:r w:rsidR="00A905E8">
              <w:rPr>
                <w:rFonts w:ascii="Times New Roman" w:eastAsia="Times New Roman" w:hAnsi="Times New Roman" w:cs="Times New Roman"/>
              </w:rPr>
              <w:t>e</w:t>
            </w:r>
            <w:r w:rsidRPr="00CB5D1A">
              <w:rPr>
                <w:rFonts w:ascii="Times New Roman" w:eastAsia="Times New Roman" w:hAnsi="Times New Roman" w:cs="Times New Roman"/>
              </w:rPr>
              <w:t>ating</w:t>
            </w:r>
          </w:p>
        </w:tc>
        <w:tc>
          <w:tcPr>
            <w:tcW w:w="992" w:type="dxa"/>
            <w:tcBorders>
              <w:top w:val="nil"/>
              <w:left w:val="nil"/>
              <w:bottom w:val="nil"/>
              <w:right w:val="nil"/>
            </w:tcBorders>
            <w:shd w:val="clear" w:color="auto" w:fill="FFFF00"/>
            <w:tcMar>
              <w:top w:w="100" w:type="dxa"/>
              <w:left w:w="100" w:type="dxa"/>
              <w:bottom w:w="100" w:type="dxa"/>
              <w:right w:w="100" w:type="dxa"/>
            </w:tcMar>
          </w:tcPr>
          <w:p w14:paraId="00000470" w14:textId="0FC9691D" w:rsidR="00CB5D1A" w:rsidRDefault="00CB5D1A" w:rsidP="00CB5D1A">
            <w:pPr>
              <w:spacing w:line="240" w:lineRule="auto"/>
              <w:rPr>
                <w:rFonts w:ascii="Times New Roman" w:eastAsia="Times New Roman" w:hAnsi="Times New Roman" w:cs="Times New Roman"/>
                <w:b/>
                <w:shd w:val="clear" w:color="auto" w:fill="FF9900"/>
              </w:rPr>
            </w:pPr>
            <w:r w:rsidRPr="00CB5D1A">
              <w:rPr>
                <w:rFonts w:ascii="Times New Roman" w:eastAsia="Times New Roman" w:hAnsi="Times New Roman" w:cs="Times New Roman"/>
                <w:b/>
                <w:bCs/>
              </w:rPr>
              <w:t>.21</w:t>
            </w:r>
            <w:r w:rsidRPr="00CB5D1A">
              <w:rPr>
                <w:rFonts w:ascii="Times New Roman" w:eastAsia="Times New Roman" w:hAnsi="Times New Roman" w:cs="Times New Roman"/>
                <w:b/>
                <w:bCs/>
                <w:vertAlign w:val="superscript"/>
              </w:rPr>
              <w:t>**</w:t>
            </w:r>
          </w:p>
        </w:tc>
        <w:tc>
          <w:tcPr>
            <w:tcW w:w="850" w:type="dxa"/>
            <w:tcBorders>
              <w:top w:val="nil"/>
              <w:left w:val="nil"/>
              <w:bottom w:val="nil"/>
              <w:right w:val="nil"/>
            </w:tcBorders>
            <w:tcMar>
              <w:top w:w="100" w:type="dxa"/>
              <w:left w:w="100" w:type="dxa"/>
              <w:bottom w:w="100" w:type="dxa"/>
              <w:right w:w="100" w:type="dxa"/>
            </w:tcMar>
          </w:tcPr>
          <w:p w14:paraId="00000471"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-.01</w:t>
            </w:r>
          </w:p>
        </w:tc>
        <w:tc>
          <w:tcPr>
            <w:tcW w:w="851" w:type="dxa"/>
            <w:tcBorders>
              <w:top w:val="nil"/>
              <w:left w:val="nil"/>
              <w:bottom w:val="nil"/>
              <w:right w:val="nil"/>
            </w:tcBorders>
            <w:tcMar>
              <w:top w:w="100" w:type="dxa"/>
              <w:left w:w="100" w:type="dxa"/>
              <w:bottom w:w="100" w:type="dxa"/>
              <w:right w:w="100" w:type="dxa"/>
            </w:tcMar>
          </w:tcPr>
          <w:p w14:paraId="00000472"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-.02</w:t>
            </w:r>
          </w:p>
        </w:tc>
        <w:tc>
          <w:tcPr>
            <w:tcW w:w="850" w:type="dxa"/>
            <w:tcBorders>
              <w:top w:val="nil"/>
              <w:left w:val="nil"/>
              <w:bottom w:val="nil"/>
              <w:right w:val="nil"/>
            </w:tcBorders>
            <w:tcMar>
              <w:top w:w="100" w:type="dxa"/>
              <w:left w:w="100" w:type="dxa"/>
              <w:bottom w:w="100" w:type="dxa"/>
              <w:right w:w="100" w:type="dxa"/>
            </w:tcMar>
          </w:tcPr>
          <w:p w14:paraId="00000473"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.03</w:t>
            </w:r>
          </w:p>
        </w:tc>
        <w:tc>
          <w:tcPr>
            <w:tcW w:w="851" w:type="dxa"/>
            <w:tcBorders>
              <w:top w:val="nil"/>
              <w:left w:val="nil"/>
              <w:bottom w:val="nil"/>
              <w:right w:val="nil"/>
            </w:tcBorders>
            <w:tcMar>
              <w:top w:w="100" w:type="dxa"/>
              <w:left w:w="100" w:type="dxa"/>
              <w:bottom w:w="100" w:type="dxa"/>
              <w:right w:w="100" w:type="dxa"/>
            </w:tcMar>
          </w:tcPr>
          <w:p w14:paraId="00000474"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-.04</w:t>
            </w:r>
          </w:p>
        </w:tc>
        <w:tc>
          <w:tcPr>
            <w:tcW w:w="850" w:type="dxa"/>
            <w:tcBorders>
              <w:top w:val="nil"/>
              <w:left w:val="nil"/>
              <w:bottom w:val="nil"/>
              <w:right w:val="nil"/>
            </w:tcBorders>
            <w:tcMar>
              <w:top w:w="100" w:type="dxa"/>
              <w:left w:w="100" w:type="dxa"/>
              <w:bottom w:w="100" w:type="dxa"/>
              <w:right w:w="100" w:type="dxa"/>
            </w:tcMar>
          </w:tcPr>
          <w:p w14:paraId="00000475"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709" w:type="dxa"/>
            <w:tcBorders>
              <w:top w:val="nil"/>
              <w:left w:val="nil"/>
              <w:bottom w:val="nil"/>
              <w:right w:val="nil"/>
            </w:tcBorders>
            <w:tcMar>
              <w:top w:w="100" w:type="dxa"/>
              <w:left w:w="100" w:type="dxa"/>
              <w:bottom w:w="100" w:type="dxa"/>
              <w:right w:w="100" w:type="dxa"/>
            </w:tcMar>
          </w:tcPr>
          <w:p w14:paraId="00000476"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-.63</w:t>
            </w:r>
            <w:r>
              <w:rPr>
                <w:rFonts w:ascii="Times New Roman" w:eastAsia="Times New Roman" w:hAnsi="Times New Roman" w:cs="Times New Roman"/>
                <w:vertAlign w:val="superscript"/>
              </w:rPr>
              <w:t>**</w:t>
            </w:r>
          </w:p>
        </w:tc>
        <w:tc>
          <w:tcPr>
            <w:tcW w:w="851" w:type="dxa"/>
            <w:gridSpan w:val="2"/>
            <w:tcBorders>
              <w:top w:val="nil"/>
              <w:left w:val="nil"/>
              <w:bottom w:val="nil"/>
              <w:right w:val="nil"/>
            </w:tcBorders>
            <w:tcMar>
              <w:top w:w="100" w:type="dxa"/>
              <w:left w:w="100" w:type="dxa"/>
              <w:bottom w:w="100" w:type="dxa"/>
              <w:right w:w="100" w:type="dxa"/>
            </w:tcMar>
          </w:tcPr>
          <w:p w14:paraId="00000477"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-.02</w:t>
            </w:r>
          </w:p>
        </w:tc>
        <w:tc>
          <w:tcPr>
            <w:tcW w:w="850" w:type="dxa"/>
            <w:tcBorders>
              <w:top w:val="nil"/>
              <w:left w:val="nil"/>
              <w:bottom w:val="nil"/>
              <w:right w:val="nil"/>
            </w:tcBorders>
            <w:tcMar>
              <w:top w:w="100" w:type="dxa"/>
              <w:left w:w="100" w:type="dxa"/>
              <w:bottom w:w="100" w:type="dxa"/>
              <w:right w:w="100" w:type="dxa"/>
            </w:tcMar>
          </w:tcPr>
          <w:p w14:paraId="00000479"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nil"/>
              <w:left w:val="nil"/>
              <w:bottom w:val="nil"/>
              <w:right w:val="nil"/>
            </w:tcBorders>
            <w:tcMar>
              <w:top w:w="100" w:type="dxa"/>
              <w:left w:w="100" w:type="dxa"/>
              <w:bottom w:w="100" w:type="dxa"/>
              <w:right w:w="100" w:type="dxa"/>
            </w:tcMar>
          </w:tcPr>
          <w:p w14:paraId="0000047A"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51" w:type="dxa"/>
            <w:tcBorders>
              <w:top w:val="nil"/>
              <w:left w:val="nil"/>
              <w:bottom w:val="nil"/>
              <w:right w:val="nil"/>
            </w:tcBorders>
            <w:tcMar>
              <w:top w:w="100" w:type="dxa"/>
              <w:left w:w="100" w:type="dxa"/>
              <w:bottom w:w="100" w:type="dxa"/>
              <w:right w:w="100" w:type="dxa"/>
            </w:tcMar>
          </w:tcPr>
          <w:p w14:paraId="0000047B"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nil"/>
              <w:left w:val="nil"/>
              <w:bottom w:val="nil"/>
              <w:right w:val="nil"/>
            </w:tcBorders>
            <w:tcMar>
              <w:top w:w="100" w:type="dxa"/>
              <w:left w:w="100" w:type="dxa"/>
              <w:bottom w:w="100" w:type="dxa"/>
              <w:right w:w="100" w:type="dxa"/>
            </w:tcMar>
          </w:tcPr>
          <w:p w14:paraId="0000047C"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5D1A" w14:paraId="7709CE1C" w14:textId="77777777" w:rsidTr="00CB5D1A">
        <w:trPr>
          <w:trHeight w:val="23"/>
        </w:trPr>
        <w:tc>
          <w:tcPr>
            <w:tcW w:w="3828" w:type="dxa"/>
            <w:tcBorders>
              <w:top w:val="nil"/>
              <w:left w:val="nil"/>
              <w:bottom w:val="nil"/>
              <w:right w:val="nil"/>
            </w:tcBorders>
            <w:tcMar>
              <w:top w:w="100" w:type="dxa"/>
              <w:left w:w="100" w:type="dxa"/>
              <w:bottom w:w="100" w:type="dxa"/>
              <w:right w:w="100" w:type="dxa"/>
            </w:tcMar>
          </w:tcPr>
          <w:p w14:paraId="0000047D" w14:textId="25E1AF70"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10. TFEQ-</w:t>
            </w:r>
            <w:r w:rsidRPr="00CB5D1A">
              <w:rPr>
                <w:rFonts w:ascii="Times New Roman" w:eastAsia="Times New Roman" w:hAnsi="Times New Roman" w:cs="Times New Roman"/>
                <w:sz w:val="20"/>
                <w:szCs w:val="20"/>
              </w:rPr>
              <w:t xml:space="preserve"> </w:t>
            </w:r>
            <w:r>
              <w:rPr>
                <w:rFonts w:ascii="Times New Roman" w:eastAsia="Times New Roman" w:hAnsi="Times New Roman" w:cs="Times New Roman"/>
              </w:rPr>
              <w:t>e</w:t>
            </w:r>
            <w:r w:rsidRPr="00CB5D1A">
              <w:rPr>
                <w:rFonts w:ascii="Times New Roman" w:eastAsia="Times New Roman" w:hAnsi="Times New Roman" w:cs="Times New Roman"/>
              </w:rPr>
              <w:t xml:space="preserve">motional </w:t>
            </w:r>
            <w:r w:rsidR="00A905E8">
              <w:rPr>
                <w:rFonts w:ascii="Times New Roman" w:eastAsia="Times New Roman" w:hAnsi="Times New Roman" w:cs="Times New Roman"/>
              </w:rPr>
              <w:t>e</w:t>
            </w:r>
            <w:r w:rsidRPr="00CB5D1A">
              <w:rPr>
                <w:rFonts w:ascii="Times New Roman" w:eastAsia="Times New Roman" w:hAnsi="Times New Roman" w:cs="Times New Roman"/>
              </w:rPr>
              <w:t>ating</w:t>
            </w:r>
          </w:p>
        </w:tc>
        <w:tc>
          <w:tcPr>
            <w:tcW w:w="992" w:type="dxa"/>
            <w:tcBorders>
              <w:top w:val="nil"/>
              <w:left w:val="nil"/>
              <w:bottom w:val="nil"/>
              <w:right w:val="nil"/>
            </w:tcBorders>
            <w:shd w:val="clear" w:color="auto" w:fill="FFFF00"/>
            <w:tcMar>
              <w:top w:w="100" w:type="dxa"/>
              <w:left w:w="100" w:type="dxa"/>
              <w:bottom w:w="100" w:type="dxa"/>
              <w:right w:w="100" w:type="dxa"/>
            </w:tcMar>
          </w:tcPr>
          <w:p w14:paraId="0000047E" w14:textId="7B1735CD" w:rsidR="00CB5D1A" w:rsidRDefault="00CB5D1A" w:rsidP="00CB5D1A">
            <w:pPr>
              <w:spacing w:line="240" w:lineRule="auto"/>
              <w:rPr>
                <w:rFonts w:ascii="Times New Roman" w:eastAsia="Times New Roman" w:hAnsi="Times New Roman" w:cs="Times New Roman"/>
                <w:b/>
                <w:shd w:val="clear" w:color="auto" w:fill="FF9900"/>
              </w:rPr>
            </w:pPr>
            <w:r w:rsidRPr="00CB5D1A">
              <w:rPr>
                <w:rFonts w:ascii="Times New Roman" w:eastAsia="Times New Roman" w:hAnsi="Times New Roman" w:cs="Times New Roman"/>
                <w:b/>
                <w:bCs/>
              </w:rPr>
              <w:t>.2</w:t>
            </w:r>
            <w:r>
              <w:rPr>
                <w:rFonts w:ascii="Times New Roman" w:eastAsia="Times New Roman" w:hAnsi="Times New Roman" w:cs="Times New Roman"/>
                <w:b/>
                <w:bCs/>
              </w:rPr>
              <w:t>9</w:t>
            </w:r>
            <w:r w:rsidRPr="00CB5D1A">
              <w:rPr>
                <w:rFonts w:ascii="Times New Roman" w:eastAsia="Times New Roman" w:hAnsi="Times New Roman" w:cs="Times New Roman"/>
                <w:b/>
                <w:bCs/>
                <w:vertAlign w:val="superscript"/>
              </w:rPr>
              <w:t>**</w:t>
            </w:r>
          </w:p>
        </w:tc>
        <w:tc>
          <w:tcPr>
            <w:tcW w:w="850" w:type="dxa"/>
            <w:tcBorders>
              <w:top w:val="nil"/>
              <w:left w:val="nil"/>
              <w:bottom w:val="nil"/>
              <w:right w:val="nil"/>
            </w:tcBorders>
            <w:tcMar>
              <w:top w:w="100" w:type="dxa"/>
              <w:left w:w="100" w:type="dxa"/>
              <w:bottom w:w="100" w:type="dxa"/>
              <w:right w:w="100" w:type="dxa"/>
            </w:tcMar>
          </w:tcPr>
          <w:p w14:paraId="0000047F"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-.06</w:t>
            </w:r>
          </w:p>
        </w:tc>
        <w:tc>
          <w:tcPr>
            <w:tcW w:w="851" w:type="dxa"/>
            <w:tcBorders>
              <w:top w:val="nil"/>
              <w:left w:val="nil"/>
              <w:bottom w:val="nil"/>
              <w:right w:val="nil"/>
            </w:tcBorders>
            <w:tcMar>
              <w:top w:w="100" w:type="dxa"/>
              <w:left w:w="100" w:type="dxa"/>
              <w:bottom w:w="100" w:type="dxa"/>
              <w:right w:w="100" w:type="dxa"/>
            </w:tcMar>
          </w:tcPr>
          <w:p w14:paraId="00000480"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-.03</w:t>
            </w:r>
          </w:p>
        </w:tc>
        <w:tc>
          <w:tcPr>
            <w:tcW w:w="850" w:type="dxa"/>
            <w:tcBorders>
              <w:top w:val="nil"/>
              <w:left w:val="nil"/>
              <w:bottom w:val="nil"/>
              <w:right w:val="nil"/>
            </w:tcBorders>
            <w:tcMar>
              <w:top w:w="100" w:type="dxa"/>
              <w:left w:w="100" w:type="dxa"/>
              <w:bottom w:w="100" w:type="dxa"/>
              <w:right w:w="100" w:type="dxa"/>
            </w:tcMar>
          </w:tcPr>
          <w:p w14:paraId="00000481"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-.01</w:t>
            </w:r>
          </w:p>
        </w:tc>
        <w:tc>
          <w:tcPr>
            <w:tcW w:w="851" w:type="dxa"/>
            <w:tcBorders>
              <w:top w:val="nil"/>
              <w:left w:val="nil"/>
              <w:bottom w:val="nil"/>
              <w:right w:val="nil"/>
            </w:tcBorders>
            <w:tcMar>
              <w:top w:w="100" w:type="dxa"/>
              <w:left w:w="100" w:type="dxa"/>
              <w:bottom w:w="100" w:type="dxa"/>
              <w:right w:w="100" w:type="dxa"/>
            </w:tcMar>
          </w:tcPr>
          <w:p w14:paraId="00000482"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.06</w:t>
            </w:r>
          </w:p>
        </w:tc>
        <w:tc>
          <w:tcPr>
            <w:tcW w:w="850" w:type="dxa"/>
            <w:tcBorders>
              <w:top w:val="nil"/>
              <w:left w:val="nil"/>
              <w:bottom w:val="nil"/>
              <w:right w:val="nil"/>
            </w:tcBorders>
            <w:tcMar>
              <w:top w:w="100" w:type="dxa"/>
              <w:left w:w="100" w:type="dxa"/>
              <w:bottom w:w="100" w:type="dxa"/>
              <w:right w:w="100" w:type="dxa"/>
            </w:tcMar>
          </w:tcPr>
          <w:p w14:paraId="00000483"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.07</w:t>
            </w:r>
          </w:p>
        </w:tc>
        <w:tc>
          <w:tcPr>
            <w:tcW w:w="709" w:type="dxa"/>
            <w:tcBorders>
              <w:top w:val="nil"/>
              <w:left w:val="nil"/>
              <w:bottom w:val="nil"/>
              <w:right w:val="nil"/>
            </w:tcBorders>
            <w:tcMar>
              <w:top w:w="100" w:type="dxa"/>
              <w:left w:w="100" w:type="dxa"/>
              <w:bottom w:w="100" w:type="dxa"/>
              <w:right w:w="100" w:type="dxa"/>
            </w:tcMar>
          </w:tcPr>
          <w:p w14:paraId="00000484"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-.48</w:t>
            </w:r>
            <w:r>
              <w:rPr>
                <w:rFonts w:ascii="Times New Roman" w:eastAsia="Times New Roman" w:hAnsi="Times New Roman" w:cs="Times New Roman"/>
                <w:vertAlign w:val="superscript"/>
              </w:rPr>
              <w:t>**</w:t>
            </w:r>
          </w:p>
        </w:tc>
        <w:tc>
          <w:tcPr>
            <w:tcW w:w="851" w:type="dxa"/>
            <w:gridSpan w:val="2"/>
            <w:tcBorders>
              <w:top w:val="nil"/>
              <w:left w:val="nil"/>
              <w:bottom w:val="nil"/>
              <w:right w:val="nil"/>
            </w:tcBorders>
            <w:tcMar>
              <w:top w:w="100" w:type="dxa"/>
              <w:left w:w="100" w:type="dxa"/>
              <w:bottom w:w="100" w:type="dxa"/>
              <w:right w:w="100" w:type="dxa"/>
            </w:tcMar>
          </w:tcPr>
          <w:p w14:paraId="00000485"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.07</w:t>
            </w:r>
          </w:p>
        </w:tc>
        <w:tc>
          <w:tcPr>
            <w:tcW w:w="850" w:type="dxa"/>
            <w:tcBorders>
              <w:top w:val="nil"/>
              <w:left w:val="nil"/>
              <w:bottom w:val="nil"/>
              <w:right w:val="nil"/>
            </w:tcBorders>
            <w:tcMar>
              <w:top w:w="100" w:type="dxa"/>
              <w:left w:w="100" w:type="dxa"/>
              <w:bottom w:w="100" w:type="dxa"/>
              <w:right w:w="100" w:type="dxa"/>
            </w:tcMar>
          </w:tcPr>
          <w:p w14:paraId="00000487"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.60</w:t>
            </w:r>
            <w:r>
              <w:rPr>
                <w:rFonts w:ascii="Times New Roman" w:eastAsia="Times New Roman" w:hAnsi="Times New Roman" w:cs="Times New Roman"/>
                <w:vertAlign w:val="superscript"/>
              </w:rPr>
              <w:t>**</w:t>
            </w:r>
          </w:p>
        </w:tc>
        <w:tc>
          <w:tcPr>
            <w:tcW w:w="851" w:type="dxa"/>
            <w:tcBorders>
              <w:top w:val="nil"/>
              <w:left w:val="nil"/>
              <w:bottom w:val="nil"/>
              <w:right w:val="nil"/>
            </w:tcBorders>
            <w:tcMar>
              <w:top w:w="100" w:type="dxa"/>
              <w:left w:w="100" w:type="dxa"/>
              <w:bottom w:w="100" w:type="dxa"/>
              <w:right w:w="100" w:type="dxa"/>
            </w:tcMar>
          </w:tcPr>
          <w:p w14:paraId="00000488"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51" w:type="dxa"/>
            <w:tcBorders>
              <w:top w:val="nil"/>
              <w:left w:val="nil"/>
              <w:bottom w:val="nil"/>
              <w:right w:val="nil"/>
            </w:tcBorders>
            <w:tcMar>
              <w:top w:w="100" w:type="dxa"/>
              <w:left w:w="100" w:type="dxa"/>
              <w:bottom w:w="100" w:type="dxa"/>
              <w:right w:w="100" w:type="dxa"/>
            </w:tcMar>
          </w:tcPr>
          <w:p w14:paraId="00000489"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nil"/>
              <w:left w:val="nil"/>
              <w:bottom w:val="nil"/>
              <w:right w:val="nil"/>
            </w:tcBorders>
            <w:tcMar>
              <w:top w:w="100" w:type="dxa"/>
              <w:left w:w="100" w:type="dxa"/>
              <w:bottom w:w="100" w:type="dxa"/>
              <w:right w:w="100" w:type="dxa"/>
            </w:tcMar>
          </w:tcPr>
          <w:p w14:paraId="0000048A"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5D1A" w14:paraId="4E34FDCF" w14:textId="77777777" w:rsidTr="00CB5D1A">
        <w:trPr>
          <w:trHeight w:val="23"/>
        </w:trPr>
        <w:tc>
          <w:tcPr>
            <w:tcW w:w="3828" w:type="dxa"/>
            <w:tcBorders>
              <w:top w:val="nil"/>
              <w:left w:val="nil"/>
              <w:bottom w:val="nil"/>
              <w:right w:val="nil"/>
            </w:tcBorders>
            <w:tcMar>
              <w:top w:w="100" w:type="dxa"/>
              <w:left w:w="100" w:type="dxa"/>
              <w:bottom w:w="100" w:type="dxa"/>
              <w:right w:w="100" w:type="dxa"/>
            </w:tcMar>
          </w:tcPr>
          <w:p w14:paraId="0000048B" w14:textId="438DC4CF"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11. AEBQ- s</w:t>
            </w:r>
            <w:r w:rsidRPr="00CB5D1A">
              <w:rPr>
                <w:rFonts w:ascii="Times New Roman" w:eastAsia="Times New Roman" w:hAnsi="Times New Roman" w:cs="Times New Roman"/>
              </w:rPr>
              <w:t xml:space="preserve">atiety </w:t>
            </w:r>
            <w:r w:rsidR="00A905E8">
              <w:rPr>
                <w:rFonts w:ascii="Times New Roman" w:eastAsia="Times New Roman" w:hAnsi="Times New Roman" w:cs="Times New Roman"/>
              </w:rPr>
              <w:t>r</w:t>
            </w:r>
            <w:r w:rsidRPr="00CB5D1A">
              <w:rPr>
                <w:rFonts w:ascii="Times New Roman" w:eastAsia="Times New Roman" w:hAnsi="Times New Roman" w:cs="Times New Roman"/>
              </w:rPr>
              <w:t>esponsiveness</w:t>
            </w:r>
          </w:p>
        </w:tc>
        <w:tc>
          <w:tcPr>
            <w:tcW w:w="992" w:type="dxa"/>
            <w:tcBorders>
              <w:top w:val="nil"/>
              <w:left w:val="nil"/>
              <w:bottom w:val="nil"/>
              <w:right w:val="nil"/>
            </w:tcBorders>
            <w:tcMar>
              <w:top w:w="100" w:type="dxa"/>
              <w:left w:w="100" w:type="dxa"/>
              <w:bottom w:w="100" w:type="dxa"/>
              <w:right w:w="100" w:type="dxa"/>
            </w:tcMar>
          </w:tcPr>
          <w:p w14:paraId="0000048C"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-.04</w:t>
            </w:r>
          </w:p>
        </w:tc>
        <w:tc>
          <w:tcPr>
            <w:tcW w:w="850" w:type="dxa"/>
            <w:tcBorders>
              <w:top w:val="nil"/>
              <w:left w:val="nil"/>
              <w:bottom w:val="nil"/>
              <w:right w:val="nil"/>
            </w:tcBorders>
            <w:tcMar>
              <w:top w:w="100" w:type="dxa"/>
              <w:left w:w="100" w:type="dxa"/>
              <w:bottom w:w="100" w:type="dxa"/>
              <w:right w:w="100" w:type="dxa"/>
            </w:tcMar>
          </w:tcPr>
          <w:p w14:paraId="0000048D"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vertAlign w:val="superscript"/>
              </w:rPr>
              <w:t>*</w:t>
            </w:r>
          </w:p>
        </w:tc>
        <w:tc>
          <w:tcPr>
            <w:tcW w:w="851" w:type="dxa"/>
            <w:tcBorders>
              <w:top w:val="nil"/>
              <w:left w:val="nil"/>
              <w:bottom w:val="nil"/>
              <w:right w:val="nil"/>
            </w:tcBorders>
            <w:tcMar>
              <w:top w:w="100" w:type="dxa"/>
              <w:left w:w="100" w:type="dxa"/>
              <w:bottom w:w="100" w:type="dxa"/>
              <w:right w:w="100" w:type="dxa"/>
            </w:tcMar>
          </w:tcPr>
          <w:p w14:paraId="0000048E"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-.03</w:t>
            </w:r>
          </w:p>
        </w:tc>
        <w:tc>
          <w:tcPr>
            <w:tcW w:w="850" w:type="dxa"/>
            <w:tcBorders>
              <w:top w:val="nil"/>
              <w:left w:val="nil"/>
              <w:bottom w:val="nil"/>
              <w:right w:val="nil"/>
            </w:tcBorders>
            <w:tcMar>
              <w:top w:w="100" w:type="dxa"/>
              <w:left w:w="100" w:type="dxa"/>
              <w:bottom w:w="100" w:type="dxa"/>
              <w:right w:w="100" w:type="dxa"/>
            </w:tcMar>
          </w:tcPr>
          <w:p w14:paraId="0000048F"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.02</w:t>
            </w:r>
          </w:p>
        </w:tc>
        <w:tc>
          <w:tcPr>
            <w:tcW w:w="851" w:type="dxa"/>
            <w:tcBorders>
              <w:top w:val="nil"/>
              <w:left w:val="nil"/>
              <w:bottom w:val="nil"/>
              <w:right w:val="nil"/>
            </w:tcBorders>
            <w:tcMar>
              <w:top w:w="100" w:type="dxa"/>
              <w:left w:w="100" w:type="dxa"/>
              <w:bottom w:w="100" w:type="dxa"/>
              <w:right w:w="100" w:type="dxa"/>
            </w:tcMar>
          </w:tcPr>
          <w:p w14:paraId="00000490"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-.08</w:t>
            </w:r>
          </w:p>
        </w:tc>
        <w:tc>
          <w:tcPr>
            <w:tcW w:w="850" w:type="dxa"/>
            <w:tcBorders>
              <w:top w:val="nil"/>
              <w:left w:val="nil"/>
              <w:bottom w:val="nil"/>
              <w:right w:val="nil"/>
            </w:tcBorders>
            <w:tcMar>
              <w:top w:w="100" w:type="dxa"/>
              <w:left w:w="100" w:type="dxa"/>
              <w:bottom w:w="100" w:type="dxa"/>
              <w:right w:w="100" w:type="dxa"/>
            </w:tcMar>
          </w:tcPr>
          <w:p w14:paraId="00000491"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.03</w:t>
            </w:r>
          </w:p>
        </w:tc>
        <w:tc>
          <w:tcPr>
            <w:tcW w:w="709" w:type="dxa"/>
            <w:tcBorders>
              <w:top w:val="nil"/>
              <w:left w:val="nil"/>
              <w:bottom w:val="nil"/>
              <w:right w:val="nil"/>
            </w:tcBorders>
            <w:tcMar>
              <w:top w:w="100" w:type="dxa"/>
              <w:left w:w="100" w:type="dxa"/>
              <w:bottom w:w="100" w:type="dxa"/>
              <w:right w:w="100" w:type="dxa"/>
            </w:tcMar>
          </w:tcPr>
          <w:p w14:paraId="00000492"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vertAlign w:val="superscript"/>
              </w:rPr>
              <w:t>*</w:t>
            </w:r>
          </w:p>
        </w:tc>
        <w:tc>
          <w:tcPr>
            <w:tcW w:w="851" w:type="dxa"/>
            <w:gridSpan w:val="2"/>
            <w:tcBorders>
              <w:top w:val="nil"/>
              <w:left w:val="nil"/>
              <w:bottom w:val="nil"/>
              <w:right w:val="nil"/>
            </w:tcBorders>
            <w:tcMar>
              <w:top w:w="100" w:type="dxa"/>
              <w:left w:w="100" w:type="dxa"/>
              <w:bottom w:w="100" w:type="dxa"/>
              <w:right w:w="100" w:type="dxa"/>
            </w:tcMar>
          </w:tcPr>
          <w:p w14:paraId="00000493"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850" w:type="dxa"/>
            <w:tcBorders>
              <w:top w:val="nil"/>
              <w:left w:val="nil"/>
              <w:bottom w:val="nil"/>
              <w:right w:val="nil"/>
            </w:tcBorders>
            <w:tcMar>
              <w:top w:w="100" w:type="dxa"/>
              <w:left w:w="100" w:type="dxa"/>
              <w:bottom w:w="100" w:type="dxa"/>
              <w:right w:w="100" w:type="dxa"/>
            </w:tcMar>
          </w:tcPr>
          <w:p w14:paraId="00000495"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-.27</w:t>
            </w:r>
            <w:r>
              <w:rPr>
                <w:rFonts w:ascii="Times New Roman" w:eastAsia="Times New Roman" w:hAnsi="Times New Roman" w:cs="Times New Roman"/>
                <w:vertAlign w:val="superscript"/>
              </w:rPr>
              <w:t>**</w:t>
            </w:r>
          </w:p>
        </w:tc>
        <w:tc>
          <w:tcPr>
            <w:tcW w:w="851" w:type="dxa"/>
            <w:tcBorders>
              <w:top w:val="nil"/>
              <w:left w:val="nil"/>
              <w:bottom w:val="nil"/>
              <w:right w:val="nil"/>
            </w:tcBorders>
            <w:tcMar>
              <w:top w:w="100" w:type="dxa"/>
              <w:left w:w="100" w:type="dxa"/>
              <w:bottom w:w="100" w:type="dxa"/>
              <w:right w:w="100" w:type="dxa"/>
            </w:tcMar>
          </w:tcPr>
          <w:p w14:paraId="00000496"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-.04</w:t>
            </w:r>
          </w:p>
        </w:tc>
        <w:tc>
          <w:tcPr>
            <w:tcW w:w="951" w:type="dxa"/>
            <w:tcBorders>
              <w:top w:val="nil"/>
              <w:left w:val="nil"/>
              <w:bottom w:val="nil"/>
              <w:right w:val="nil"/>
            </w:tcBorders>
            <w:tcMar>
              <w:top w:w="100" w:type="dxa"/>
              <w:left w:w="100" w:type="dxa"/>
              <w:bottom w:w="100" w:type="dxa"/>
              <w:right w:w="100" w:type="dxa"/>
            </w:tcMar>
          </w:tcPr>
          <w:p w14:paraId="00000497"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9" w:type="dxa"/>
            <w:tcBorders>
              <w:top w:val="nil"/>
              <w:left w:val="nil"/>
              <w:bottom w:val="nil"/>
              <w:right w:val="nil"/>
            </w:tcBorders>
            <w:tcMar>
              <w:top w:w="100" w:type="dxa"/>
              <w:left w:w="100" w:type="dxa"/>
              <w:bottom w:w="100" w:type="dxa"/>
              <w:right w:w="100" w:type="dxa"/>
            </w:tcMar>
          </w:tcPr>
          <w:p w14:paraId="00000498"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B5D1A" w14:paraId="61F9CEEE" w14:textId="77777777" w:rsidTr="00CB5D1A">
        <w:trPr>
          <w:trHeight w:val="224"/>
        </w:trPr>
        <w:tc>
          <w:tcPr>
            <w:tcW w:w="3828" w:type="dxa"/>
            <w:tcBorders>
              <w:top w:val="nil"/>
              <w:left w:val="nil"/>
              <w:bottom w:val="single" w:sz="8" w:space="0" w:color="000000"/>
              <w:right w:val="nil"/>
            </w:tcBorders>
            <w:tcMar>
              <w:top w:w="100" w:type="dxa"/>
              <w:left w:w="100" w:type="dxa"/>
              <w:bottom w:w="100" w:type="dxa"/>
              <w:right w:w="100" w:type="dxa"/>
            </w:tcMar>
          </w:tcPr>
          <w:p w14:paraId="00000499" w14:textId="0DCD7EB9"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12. IES-</w:t>
            </w:r>
            <w:r w:rsidRPr="00CB5D1A">
              <w:rPr>
                <w:rFonts w:ascii="Times New Roman" w:eastAsia="Times New Roman" w:hAnsi="Times New Roman" w:cs="Times New Roman"/>
                <w:sz w:val="20"/>
                <w:szCs w:val="20"/>
              </w:rPr>
              <w:t xml:space="preserve"> </w:t>
            </w:r>
            <w:r>
              <w:rPr>
                <w:rFonts w:ascii="Times New Roman" w:eastAsia="Times New Roman" w:hAnsi="Times New Roman" w:cs="Times New Roman"/>
              </w:rPr>
              <w:t>r</w:t>
            </w:r>
            <w:r w:rsidRPr="00CB5D1A">
              <w:rPr>
                <w:rFonts w:ascii="Times New Roman" w:eastAsia="Times New Roman" w:hAnsi="Times New Roman" w:cs="Times New Roman"/>
              </w:rPr>
              <w:t xml:space="preserve">eliance </w:t>
            </w:r>
            <w:r>
              <w:rPr>
                <w:rFonts w:ascii="Times New Roman" w:eastAsia="Times New Roman" w:hAnsi="Times New Roman" w:cs="Times New Roman"/>
              </w:rPr>
              <w:t>h</w:t>
            </w:r>
            <w:r w:rsidRPr="00CB5D1A">
              <w:rPr>
                <w:rFonts w:ascii="Times New Roman" w:eastAsia="Times New Roman" w:hAnsi="Times New Roman" w:cs="Times New Roman"/>
              </w:rPr>
              <w:t xml:space="preserve">unger and </w:t>
            </w:r>
            <w:r>
              <w:rPr>
                <w:rFonts w:ascii="Times New Roman" w:eastAsia="Times New Roman" w:hAnsi="Times New Roman" w:cs="Times New Roman"/>
              </w:rPr>
              <w:t>s</w:t>
            </w:r>
            <w:r w:rsidRPr="00CB5D1A">
              <w:rPr>
                <w:rFonts w:ascii="Times New Roman" w:eastAsia="Times New Roman" w:hAnsi="Times New Roman" w:cs="Times New Roman"/>
              </w:rPr>
              <w:t xml:space="preserve">atiety </w:t>
            </w:r>
            <w:r>
              <w:rPr>
                <w:rFonts w:ascii="Times New Roman" w:eastAsia="Times New Roman" w:hAnsi="Times New Roman" w:cs="Times New Roman"/>
              </w:rPr>
              <w:t>c</w:t>
            </w:r>
            <w:r w:rsidRPr="00CB5D1A">
              <w:rPr>
                <w:rFonts w:ascii="Times New Roman" w:eastAsia="Times New Roman" w:hAnsi="Times New Roman" w:cs="Times New Roman"/>
              </w:rPr>
              <w:t>ues</w:t>
            </w:r>
          </w:p>
        </w:tc>
        <w:tc>
          <w:tcPr>
            <w:tcW w:w="992" w:type="dxa"/>
            <w:tcBorders>
              <w:top w:val="nil"/>
              <w:left w:val="nil"/>
              <w:bottom w:val="single" w:sz="8" w:space="0" w:color="000000"/>
              <w:right w:val="nil"/>
            </w:tcBorders>
            <w:shd w:val="clear" w:color="auto" w:fill="FFFF00"/>
            <w:tcMar>
              <w:top w:w="100" w:type="dxa"/>
              <w:left w:w="100" w:type="dxa"/>
              <w:bottom w:w="100" w:type="dxa"/>
              <w:right w:w="100" w:type="dxa"/>
            </w:tcMar>
          </w:tcPr>
          <w:p w14:paraId="0000049A" w14:textId="24DD62C3" w:rsidR="00CB5D1A" w:rsidRDefault="00CB5D1A" w:rsidP="00CB5D1A">
            <w:pPr>
              <w:spacing w:line="240" w:lineRule="auto"/>
              <w:rPr>
                <w:rFonts w:ascii="Times New Roman" w:eastAsia="Times New Roman" w:hAnsi="Times New Roman" w:cs="Times New Roman"/>
                <w:b/>
                <w:shd w:val="clear" w:color="auto" w:fill="FF9900"/>
              </w:rPr>
            </w:pPr>
            <w:r>
              <w:rPr>
                <w:rFonts w:ascii="Times New Roman" w:eastAsia="Times New Roman" w:hAnsi="Times New Roman" w:cs="Times New Roman"/>
                <w:b/>
                <w:bCs/>
              </w:rPr>
              <w:t>-</w:t>
            </w:r>
            <w:r w:rsidRPr="00CB5D1A">
              <w:rPr>
                <w:rFonts w:ascii="Times New Roman" w:eastAsia="Times New Roman" w:hAnsi="Times New Roman" w:cs="Times New Roman"/>
                <w:b/>
                <w:bCs/>
              </w:rPr>
              <w:t>.</w:t>
            </w:r>
            <w:r>
              <w:rPr>
                <w:rFonts w:ascii="Times New Roman" w:eastAsia="Times New Roman" w:hAnsi="Times New Roman" w:cs="Times New Roman"/>
                <w:b/>
                <w:bCs/>
              </w:rPr>
              <w:t>32</w:t>
            </w:r>
            <w:r w:rsidRPr="00CB5D1A">
              <w:rPr>
                <w:rFonts w:ascii="Times New Roman" w:eastAsia="Times New Roman" w:hAnsi="Times New Roman" w:cs="Times New Roman"/>
                <w:b/>
                <w:bCs/>
                <w:vertAlign w:val="superscript"/>
              </w:rPr>
              <w:t>**</w:t>
            </w:r>
          </w:p>
        </w:tc>
        <w:tc>
          <w:tcPr>
            <w:tcW w:w="850" w:type="dxa"/>
            <w:tcBorders>
              <w:top w:val="nil"/>
              <w:left w:val="nil"/>
              <w:bottom w:val="single" w:sz="8" w:space="0" w:color="000000"/>
              <w:right w:val="nil"/>
            </w:tcBorders>
            <w:tcMar>
              <w:top w:w="100" w:type="dxa"/>
              <w:left w:w="100" w:type="dxa"/>
              <w:bottom w:w="100" w:type="dxa"/>
              <w:right w:w="100" w:type="dxa"/>
            </w:tcMar>
          </w:tcPr>
          <w:p w14:paraId="0000049B"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.06</w:t>
            </w:r>
          </w:p>
        </w:tc>
        <w:tc>
          <w:tcPr>
            <w:tcW w:w="851" w:type="dxa"/>
            <w:tcBorders>
              <w:top w:val="nil"/>
              <w:left w:val="nil"/>
              <w:bottom w:val="single" w:sz="8" w:space="0" w:color="000000"/>
              <w:right w:val="nil"/>
            </w:tcBorders>
            <w:tcMar>
              <w:top w:w="100" w:type="dxa"/>
              <w:left w:w="100" w:type="dxa"/>
              <w:bottom w:w="100" w:type="dxa"/>
              <w:right w:w="100" w:type="dxa"/>
            </w:tcMar>
          </w:tcPr>
          <w:p w14:paraId="0000049C"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.01</w:t>
            </w:r>
          </w:p>
        </w:tc>
        <w:tc>
          <w:tcPr>
            <w:tcW w:w="850" w:type="dxa"/>
            <w:tcBorders>
              <w:top w:val="nil"/>
              <w:left w:val="nil"/>
              <w:bottom w:val="single" w:sz="8" w:space="0" w:color="000000"/>
              <w:right w:val="nil"/>
            </w:tcBorders>
            <w:tcMar>
              <w:top w:w="100" w:type="dxa"/>
              <w:left w:w="100" w:type="dxa"/>
              <w:bottom w:w="100" w:type="dxa"/>
              <w:right w:w="100" w:type="dxa"/>
            </w:tcMar>
          </w:tcPr>
          <w:p w14:paraId="0000049D"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-.06</w:t>
            </w:r>
          </w:p>
        </w:tc>
        <w:tc>
          <w:tcPr>
            <w:tcW w:w="851" w:type="dxa"/>
            <w:tcBorders>
              <w:top w:val="nil"/>
              <w:left w:val="nil"/>
              <w:bottom w:val="single" w:sz="8" w:space="0" w:color="000000"/>
              <w:right w:val="nil"/>
            </w:tcBorders>
            <w:tcMar>
              <w:top w:w="100" w:type="dxa"/>
              <w:left w:w="100" w:type="dxa"/>
              <w:bottom w:w="100" w:type="dxa"/>
              <w:right w:w="100" w:type="dxa"/>
            </w:tcMar>
          </w:tcPr>
          <w:p w14:paraId="0000049E"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vertAlign w:val="superscript"/>
              </w:rPr>
              <w:t>*</w:t>
            </w:r>
          </w:p>
        </w:tc>
        <w:tc>
          <w:tcPr>
            <w:tcW w:w="850" w:type="dxa"/>
            <w:tcBorders>
              <w:top w:val="nil"/>
              <w:left w:val="nil"/>
              <w:bottom w:val="single" w:sz="8" w:space="0" w:color="000000"/>
              <w:right w:val="nil"/>
            </w:tcBorders>
            <w:tcMar>
              <w:top w:w="100" w:type="dxa"/>
              <w:left w:w="100" w:type="dxa"/>
              <w:bottom w:w="100" w:type="dxa"/>
              <w:right w:w="100" w:type="dxa"/>
            </w:tcMar>
          </w:tcPr>
          <w:p w14:paraId="0000049F"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709" w:type="dxa"/>
            <w:tcBorders>
              <w:top w:val="nil"/>
              <w:left w:val="nil"/>
              <w:bottom w:val="single" w:sz="8" w:space="0" w:color="000000"/>
              <w:right w:val="nil"/>
            </w:tcBorders>
            <w:tcMar>
              <w:top w:w="100" w:type="dxa"/>
              <w:left w:w="100" w:type="dxa"/>
              <w:bottom w:w="100" w:type="dxa"/>
              <w:right w:w="100" w:type="dxa"/>
            </w:tcMar>
          </w:tcPr>
          <w:p w14:paraId="000004A0"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.28</w:t>
            </w:r>
            <w:r>
              <w:rPr>
                <w:rFonts w:ascii="Times New Roman" w:eastAsia="Times New Roman" w:hAnsi="Times New Roman" w:cs="Times New Roman"/>
                <w:vertAlign w:val="superscript"/>
              </w:rPr>
              <w:t>**</w:t>
            </w:r>
          </w:p>
        </w:tc>
        <w:tc>
          <w:tcPr>
            <w:tcW w:w="851" w:type="dxa"/>
            <w:gridSpan w:val="2"/>
            <w:tcBorders>
              <w:top w:val="nil"/>
              <w:left w:val="nil"/>
              <w:bottom w:val="single" w:sz="8" w:space="0" w:color="000000"/>
              <w:right w:val="nil"/>
            </w:tcBorders>
            <w:tcMar>
              <w:top w:w="100" w:type="dxa"/>
              <w:left w:w="100" w:type="dxa"/>
              <w:bottom w:w="100" w:type="dxa"/>
              <w:right w:w="100" w:type="dxa"/>
            </w:tcMar>
          </w:tcPr>
          <w:p w14:paraId="000004A1"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850" w:type="dxa"/>
            <w:tcBorders>
              <w:top w:val="nil"/>
              <w:left w:val="nil"/>
              <w:bottom w:val="single" w:sz="8" w:space="0" w:color="000000"/>
              <w:right w:val="nil"/>
            </w:tcBorders>
            <w:tcMar>
              <w:top w:w="100" w:type="dxa"/>
              <w:left w:w="100" w:type="dxa"/>
              <w:bottom w:w="100" w:type="dxa"/>
              <w:right w:w="100" w:type="dxa"/>
            </w:tcMar>
          </w:tcPr>
          <w:p w14:paraId="000004A3"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-.38</w:t>
            </w:r>
            <w:r>
              <w:rPr>
                <w:rFonts w:ascii="Times New Roman" w:eastAsia="Times New Roman" w:hAnsi="Times New Roman" w:cs="Times New Roman"/>
                <w:vertAlign w:val="superscript"/>
              </w:rPr>
              <w:t>**</w:t>
            </w:r>
          </w:p>
        </w:tc>
        <w:tc>
          <w:tcPr>
            <w:tcW w:w="851" w:type="dxa"/>
            <w:tcBorders>
              <w:top w:val="nil"/>
              <w:left w:val="nil"/>
              <w:bottom w:val="single" w:sz="8" w:space="0" w:color="000000"/>
              <w:right w:val="nil"/>
            </w:tcBorders>
            <w:tcMar>
              <w:top w:w="100" w:type="dxa"/>
              <w:left w:w="100" w:type="dxa"/>
              <w:bottom w:w="100" w:type="dxa"/>
              <w:right w:w="100" w:type="dxa"/>
            </w:tcMar>
          </w:tcPr>
          <w:p w14:paraId="000004A4"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-.39</w:t>
            </w:r>
            <w:r>
              <w:rPr>
                <w:rFonts w:ascii="Times New Roman" w:eastAsia="Times New Roman" w:hAnsi="Times New Roman" w:cs="Times New Roman"/>
                <w:vertAlign w:val="superscript"/>
              </w:rPr>
              <w:t>**</w:t>
            </w:r>
          </w:p>
        </w:tc>
        <w:tc>
          <w:tcPr>
            <w:tcW w:w="951" w:type="dxa"/>
            <w:tcBorders>
              <w:top w:val="nil"/>
              <w:left w:val="nil"/>
              <w:bottom w:val="single" w:sz="8" w:space="0" w:color="000000"/>
              <w:right w:val="nil"/>
            </w:tcBorders>
            <w:tcMar>
              <w:top w:w="100" w:type="dxa"/>
              <w:left w:w="100" w:type="dxa"/>
              <w:bottom w:w="100" w:type="dxa"/>
              <w:right w:w="100" w:type="dxa"/>
            </w:tcMar>
          </w:tcPr>
          <w:p w14:paraId="000004A5"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.20</w:t>
            </w:r>
            <w:r>
              <w:rPr>
                <w:rFonts w:ascii="Times New Roman" w:eastAsia="Times New Roman" w:hAnsi="Times New Roman" w:cs="Times New Roman"/>
                <w:vertAlign w:val="superscript"/>
              </w:rPr>
              <w:t>**</w:t>
            </w:r>
          </w:p>
        </w:tc>
        <w:tc>
          <w:tcPr>
            <w:tcW w:w="589" w:type="dxa"/>
            <w:tcBorders>
              <w:top w:val="nil"/>
              <w:left w:val="nil"/>
              <w:bottom w:val="single" w:sz="8" w:space="0" w:color="000000"/>
              <w:right w:val="nil"/>
            </w:tcBorders>
            <w:tcMar>
              <w:top w:w="100" w:type="dxa"/>
              <w:left w:w="100" w:type="dxa"/>
              <w:bottom w:w="100" w:type="dxa"/>
              <w:right w:w="100" w:type="dxa"/>
            </w:tcMar>
          </w:tcPr>
          <w:p w14:paraId="000004A6" w14:textId="77777777" w:rsidR="00CB5D1A" w:rsidRDefault="00CB5D1A" w:rsidP="00CB5D1A">
            <w:pPr>
              <w:spacing w:line="240" w:lineRule="auto"/>
              <w:rPr>
                <w:rFonts w:ascii="Times New Roman" w:eastAsia="Times New Roman" w:hAnsi="Times New Roman" w:cs="Times New Roman"/>
              </w:rPr>
            </w:pPr>
            <w:r>
              <w:rPr>
                <w:rFonts w:ascii="Times New Roman" w:eastAsia="Times New Roman" w:hAnsi="Times New Roman" w:cs="Times New Roman"/>
              </w:rPr>
              <w:t>1</w:t>
            </w:r>
          </w:p>
        </w:tc>
      </w:tr>
    </w:tbl>
    <w:p w14:paraId="000004A7"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Note</w:t>
      </w:r>
      <w:r>
        <w:rPr>
          <w:rFonts w:ascii="Times New Roman" w:eastAsia="Times New Roman" w:hAnsi="Times New Roman" w:cs="Times New Roman"/>
          <w:sz w:val="20"/>
          <w:szCs w:val="20"/>
        </w:rPr>
        <w:t>. MCI = Meal chaotic index (30-min time slots per meal).</w:t>
      </w:r>
    </w:p>
    <w:p w14:paraId="000004A8"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SCI = Snack chaotic index (30-min time slots per snack).</w:t>
      </w:r>
    </w:p>
    <w:p w14:paraId="000004A9" w14:textId="3A08B768"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COEQ = Control of Eating Questionnaire (Dalton et al., 2015).</w:t>
      </w:r>
    </w:p>
    <w:p w14:paraId="000004AA" w14:textId="6DFEDE00"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TFEQ = Three Factor Eating Questionnaire revised 18-items (Karlsson et al., 2000).</w:t>
      </w:r>
    </w:p>
    <w:p w14:paraId="000004AB" w14:textId="65978EBF"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AEBQ = Adult Eating Behaviour Questionnaire (</w:t>
      </w:r>
      <w:proofErr w:type="spellStart"/>
      <w:r>
        <w:rPr>
          <w:rFonts w:ascii="Times New Roman" w:eastAsia="Times New Roman" w:hAnsi="Times New Roman" w:cs="Times New Roman"/>
          <w:sz w:val="20"/>
          <w:szCs w:val="20"/>
        </w:rPr>
        <w:t>Hunot</w:t>
      </w:r>
      <w:proofErr w:type="spellEnd"/>
      <w:r>
        <w:rPr>
          <w:rFonts w:ascii="Times New Roman" w:eastAsia="Times New Roman" w:hAnsi="Times New Roman" w:cs="Times New Roman"/>
          <w:sz w:val="20"/>
          <w:szCs w:val="20"/>
        </w:rPr>
        <w:t xml:space="preserve"> et al., 2016).</w:t>
      </w:r>
    </w:p>
    <w:p w14:paraId="000004AC"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IES = Intuitive Eating Scale - 2; RHSC = Reliance Hunger and Satiety Cues (</w:t>
      </w:r>
      <w:proofErr w:type="spellStart"/>
      <w:r>
        <w:rPr>
          <w:rFonts w:ascii="Times New Roman" w:eastAsia="Times New Roman" w:hAnsi="Times New Roman" w:cs="Times New Roman"/>
          <w:sz w:val="20"/>
          <w:szCs w:val="20"/>
        </w:rPr>
        <w:t>Tylka</w:t>
      </w:r>
      <w:proofErr w:type="spellEnd"/>
      <w:r>
        <w:rPr>
          <w:rFonts w:ascii="Times New Roman" w:eastAsia="Times New Roman" w:hAnsi="Times New Roman" w:cs="Times New Roman"/>
          <w:sz w:val="20"/>
          <w:szCs w:val="20"/>
        </w:rPr>
        <w:t xml:space="preserve"> et al. 2013).</w:t>
      </w:r>
    </w:p>
    <w:p w14:paraId="000004AD"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 associations are in bold and highlighted.</w:t>
      </w:r>
    </w:p>
    <w:p w14:paraId="000004AE"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CB5D1A">
        <w:rPr>
          <w:rFonts w:ascii="Times New Roman" w:eastAsia="Times New Roman" w:hAnsi="Times New Roman" w:cs="Times New Roman"/>
          <w:i/>
          <w:iCs/>
          <w:sz w:val="20"/>
          <w:szCs w:val="20"/>
        </w:rPr>
        <w:t xml:space="preserve">p </w:t>
      </w:r>
      <w:r>
        <w:rPr>
          <w:rFonts w:ascii="Times New Roman" w:eastAsia="Times New Roman" w:hAnsi="Times New Roman" w:cs="Times New Roman"/>
          <w:sz w:val="20"/>
          <w:szCs w:val="20"/>
        </w:rPr>
        <w:t>&lt; .01.</w:t>
      </w:r>
    </w:p>
    <w:p w14:paraId="000004AF"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CB5D1A">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 xml:space="preserve"> &lt; .001.</w:t>
      </w:r>
    </w:p>
    <w:p w14:paraId="000004B0" w14:textId="77777777" w:rsidR="00CB4215" w:rsidRDefault="00CB4215">
      <w:pPr>
        <w:spacing w:line="240" w:lineRule="auto"/>
        <w:rPr>
          <w:rFonts w:ascii="Times New Roman" w:eastAsia="Times New Roman" w:hAnsi="Times New Roman" w:cs="Times New Roman"/>
          <w:sz w:val="20"/>
          <w:szCs w:val="20"/>
        </w:rPr>
      </w:pPr>
    </w:p>
    <w:p w14:paraId="000004B1" w14:textId="77777777" w:rsidR="00CB4215" w:rsidRDefault="00CB4215">
      <w:pPr>
        <w:spacing w:line="240" w:lineRule="auto"/>
        <w:rPr>
          <w:rFonts w:ascii="Times New Roman" w:eastAsia="Times New Roman" w:hAnsi="Times New Roman" w:cs="Times New Roman"/>
          <w:sz w:val="20"/>
          <w:szCs w:val="20"/>
        </w:rPr>
      </w:pPr>
    </w:p>
    <w:p w14:paraId="000004B2" w14:textId="77777777" w:rsidR="00CB4215" w:rsidRDefault="00CB4215">
      <w:pPr>
        <w:spacing w:line="240" w:lineRule="auto"/>
        <w:rPr>
          <w:rFonts w:ascii="Times New Roman" w:eastAsia="Times New Roman" w:hAnsi="Times New Roman" w:cs="Times New Roman"/>
          <w:sz w:val="20"/>
          <w:szCs w:val="20"/>
        </w:rPr>
        <w:sectPr w:rsidR="00CB4215">
          <w:pgSz w:w="16834" w:h="11909" w:orient="landscape"/>
          <w:pgMar w:top="1440" w:right="1440" w:bottom="1440" w:left="1440" w:header="720" w:footer="720" w:gutter="0"/>
          <w:cols w:space="720"/>
        </w:sectPr>
      </w:pPr>
    </w:p>
    <w:p w14:paraId="000004B3"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4.4.3 Comparison of eating behaviour traits between early vs late evening eaters</w:t>
      </w:r>
    </w:p>
    <w:p w14:paraId="000004B4" w14:textId="77777777" w:rsidR="00CB4215" w:rsidRDefault="00CB4215"/>
    <w:p w14:paraId="000004B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were categorised into either early or late evening eaters using hierarchical cluster analysis. Visual examination of the dendrogram (see Fig. 4.1) indicates that participants were grouped into two main clusters. Early eaters were participants who consumed the last eating episodes before 8 PM (n = 150). Late eaters were those who consumed the last eating episode after 8 PM (n = 106). Data missing for four participants due to the last eating episode for reported unreasonable consumption of evening </w:t>
      </w:r>
      <w:proofErr w:type="gramStart"/>
      <w:r>
        <w:rPr>
          <w:rFonts w:ascii="Times New Roman" w:eastAsia="Times New Roman" w:hAnsi="Times New Roman" w:cs="Times New Roman"/>
          <w:sz w:val="24"/>
          <w:szCs w:val="24"/>
        </w:rPr>
        <w:t>meal time</w:t>
      </w:r>
      <w:proofErr w:type="gramEnd"/>
      <w:r>
        <w:rPr>
          <w:rFonts w:ascii="Times New Roman" w:eastAsia="Times New Roman" w:hAnsi="Times New Roman" w:cs="Times New Roman"/>
          <w:sz w:val="24"/>
          <w:szCs w:val="24"/>
        </w:rPr>
        <w:t xml:space="preserve"> (n = 3, 11:00; n = 1, 13:00). Table 4.3 shows the eating behaviour traits in the early-evening eaters and late-evening eaters. Early eaters reported significantly higher craving control scores than late eaters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.04,</w:t>
      </w:r>
    </w:p>
    <w:p w14:paraId="000004B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.02). Other eating behaviour traits: cognitive restraint, uncontrolled eating, emotional eating, satiety responsiveness and reliance on hunger and satiety cues did not significantly differ between early and late eaters (smallest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.23, largest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.01).</w:t>
      </w:r>
    </w:p>
    <w:p w14:paraId="000004B7" w14:textId="55BA241D" w:rsidR="00CB4215" w:rsidRDefault="00146FE6">
      <w:pPr>
        <w:spacing w:line="48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0288" behindDoc="0" locked="0" layoutInCell="1" hidden="0" allowOverlap="1" wp14:anchorId="714B1D4E" wp14:editId="4D2C5E3E">
                <wp:simplePos x="0" y="0"/>
                <wp:positionH relativeFrom="column">
                  <wp:posOffset>1867430</wp:posOffset>
                </wp:positionH>
                <wp:positionV relativeFrom="paragraph">
                  <wp:posOffset>5862320</wp:posOffset>
                </wp:positionV>
                <wp:extent cx="1287780" cy="493395"/>
                <wp:effectExtent l="0" t="0" r="26670" b="20955"/>
                <wp:wrapNone/>
                <wp:docPr id="15" name="Rectangle: Rounded Corners 15"/>
                <wp:cNvGraphicFramePr/>
                <a:graphic xmlns:a="http://schemas.openxmlformats.org/drawingml/2006/main">
                  <a:graphicData uri="http://schemas.microsoft.com/office/word/2010/wordprocessingShape">
                    <wps:wsp>
                      <wps:cNvSpPr/>
                      <wps:spPr>
                        <a:xfrm>
                          <a:off x="0" y="0"/>
                          <a:ext cx="1287780" cy="493395"/>
                        </a:xfrm>
                        <a:prstGeom prst="roundRect">
                          <a:avLst>
                            <a:gd name="adj" fmla="val 16667"/>
                          </a:avLst>
                        </a:prstGeom>
                        <a:gradFill>
                          <a:gsLst>
                            <a:gs pos="0">
                              <a:srgbClr val="FF932B"/>
                            </a:gs>
                            <a:gs pos="100000">
                              <a:srgbClr val="FFB673"/>
                            </a:gs>
                          </a:gsLst>
                          <a:lin ang="16200000" scaled="0"/>
                        </a:gradFill>
                        <a:ln w="9525" cap="flat" cmpd="sng">
                          <a:solidFill>
                            <a:srgbClr val="F5913F"/>
                          </a:solidFill>
                          <a:prstDash val="solid"/>
                          <a:round/>
                          <a:headEnd type="none" w="sm" len="sm"/>
                          <a:tailEnd type="none" w="sm" len="sm"/>
                        </a:ln>
                      </wps:spPr>
                      <wps:txbx>
                        <w:txbxContent>
                          <w:p w14:paraId="7F141AE9" w14:textId="77777777" w:rsidR="00213FC5" w:rsidRDefault="00213FC5">
                            <w:pPr>
                              <w:spacing w:line="275" w:lineRule="auto"/>
                              <w:jc w:val="center"/>
                              <w:textDirection w:val="btLr"/>
                            </w:pPr>
                            <w:r>
                              <w:rPr>
                                <w:rFonts w:ascii="Times New Roman" w:eastAsia="Times New Roman" w:hAnsi="Times New Roman" w:cs="Times New Roman"/>
                                <w:b/>
                                <w:color w:val="000000"/>
                              </w:rPr>
                              <w:t>Late eaters</w:t>
                            </w:r>
                          </w:p>
                        </w:txbxContent>
                      </wps:txbx>
                      <wps:bodyPr spcFirstLastPara="1" wrap="square" lIns="91425" tIns="45700" rIns="91425" bIns="45700" anchor="ctr" anchorCtr="0">
                        <a:noAutofit/>
                      </wps:bodyPr>
                    </wps:wsp>
                  </a:graphicData>
                </a:graphic>
              </wp:anchor>
            </w:drawing>
          </mc:Choice>
          <mc:Fallback>
            <w:pict>
              <v:roundrect w14:anchorId="714B1D4E" id="Rectangle: Rounded Corners 15" o:spid="_x0000_s1026" style="position:absolute;margin-left:147.05pt;margin-top:461.6pt;width:101.4pt;height:38.8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" fillcolor="#ff932b" strokecolor="#f5913f">
                <v:fill color2="#ffb673" angle="180" focus="100%" type="gradient">
                  <o:fill v:ext="view" type="gradientUnscaled"/>
                </v:fill>
                <v:stroke startarrowwidth="narrow" startarrowlength="short" endarrowwidth="narrow" endarrowlength="short"/>
                <v:textbox inset="2.53958mm,1.2694mm,2.53958mm,1.2694mm">
                  <w:txbxContent>
                    <w:p w14:paraId="7F141AE9" w14:textId="77777777" w:rsidR="00213FC5" w:rsidRDefault="00213FC5">
                      <w:pPr>
                        <w:spacing w:line="275" w:lineRule="auto"/>
                        <w:jc w:val="center"/>
                        <w:textDirection w:val="btLr"/>
                      </w:pPr>
                      <w:r>
                        <w:rPr>
                          <w:rFonts w:ascii="Times New Roman" w:eastAsia="Times New Roman" w:hAnsi="Times New Roman" w:cs="Times New Roman"/>
                          <w:b/>
                          <w:color w:val="000000"/>
                        </w:rPr>
                        <w:t>Late eaters</w:t>
                      </w: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1068E4A4" wp14:editId="6108586E">
                <wp:simplePos x="0" y="0"/>
                <wp:positionH relativeFrom="column">
                  <wp:posOffset>1856210</wp:posOffset>
                </wp:positionH>
                <wp:positionV relativeFrom="paragraph">
                  <wp:posOffset>2057400</wp:posOffset>
                </wp:positionV>
                <wp:extent cx="1305560" cy="485775"/>
                <wp:effectExtent l="0" t="0" r="27940" b="28575"/>
                <wp:wrapNone/>
                <wp:docPr id="14" name="Rectangle: Rounded Corners 14"/>
                <wp:cNvGraphicFramePr/>
                <a:graphic xmlns:a="http://schemas.openxmlformats.org/drawingml/2006/main">
                  <a:graphicData uri="http://schemas.microsoft.com/office/word/2010/wordprocessingShape">
                    <wps:wsp>
                      <wps:cNvSpPr/>
                      <wps:spPr>
                        <a:xfrm>
                          <a:off x="0" y="0"/>
                          <a:ext cx="1305560" cy="485775"/>
                        </a:xfrm>
                        <a:prstGeom prst="roundRect">
                          <a:avLst>
                            <a:gd name="adj" fmla="val 16667"/>
                          </a:avLst>
                        </a:prstGeom>
                        <a:gradFill>
                          <a:gsLst>
                            <a:gs pos="0">
                              <a:srgbClr val="FF932B"/>
                            </a:gs>
                            <a:gs pos="100000">
                              <a:srgbClr val="FFB673"/>
                            </a:gs>
                          </a:gsLst>
                          <a:lin ang="16200000" scaled="0"/>
                        </a:gradFill>
                        <a:ln w="9525" cap="flat" cmpd="sng">
                          <a:solidFill>
                            <a:srgbClr val="F5913F"/>
                          </a:solidFill>
                          <a:prstDash val="solid"/>
                          <a:round/>
                          <a:headEnd type="none" w="sm" len="sm"/>
                          <a:tailEnd type="none" w="sm" len="sm"/>
                        </a:ln>
                      </wps:spPr>
                      <wps:txbx>
                        <w:txbxContent>
                          <w:p w14:paraId="74CA0ACE" w14:textId="77777777" w:rsidR="00213FC5" w:rsidRDefault="00213FC5">
                            <w:pPr>
                              <w:spacing w:line="275" w:lineRule="auto"/>
                              <w:jc w:val="center"/>
                              <w:textDirection w:val="btLr"/>
                            </w:pPr>
                            <w:r>
                              <w:rPr>
                                <w:rFonts w:ascii="Times New Roman" w:eastAsia="Times New Roman" w:hAnsi="Times New Roman" w:cs="Times New Roman"/>
                                <w:b/>
                                <w:color w:val="000000"/>
                              </w:rPr>
                              <w:t>Early eaters</w:t>
                            </w:r>
                          </w:p>
                        </w:txbxContent>
                      </wps:txbx>
                      <wps:bodyPr spcFirstLastPara="1" wrap="square" lIns="91425" tIns="45700" rIns="91425" bIns="45700" anchor="ctr" anchorCtr="0">
                        <a:noAutofit/>
                      </wps:bodyPr>
                    </wps:wsp>
                  </a:graphicData>
                </a:graphic>
              </wp:anchor>
            </w:drawing>
          </mc:Choice>
          <mc:Fallback>
            <w:pict>
              <v:roundrect w14:anchorId="1068E4A4" id="Rectangle: Rounded Corners 14" o:spid="_x0000_s1027" style="position:absolute;margin-left:146.15pt;margin-top:162pt;width:102.8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" fillcolor="#ff932b" strokecolor="#f5913f">
                <v:fill color2="#ffb673" angle="180" focus="100%" type="gradient">
                  <o:fill v:ext="view" type="gradientUnscaled"/>
                </v:fill>
                <v:stroke startarrowwidth="narrow" startarrowlength="short" endarrowwidth="narrow" endarrowlength="short"/>
                <v:textbox inset="2.53958mm,1.2694mm,2.53958mm,1.2694mm">
                  <w:txbxContent>
                    <w:p w14:paraId="74CA0ACE" w14:textId="77777777" w:rsidR="00213FC5" w:rsidRDefault="00213FC5">
                      <w:pPr>
                        <w:spacing w:line="275" w:lineRule="auto"/>
                        <w:jc w:val="center"/>
                        <w:textDirection w:val="btLr"/>
                      </w:pPr>
                      <w:r>
                        <w:rPr>
                          <w:rFonts w:ascii="Times New Roman" w:eastAsia="Times New Roman" w:hAnsi="Times New Roman" w:cs="Times New Roman"/>
                          <w:b/>
                          <w:color w:val="000000"/>
                        </w:rPr>
                        <w:t>Early eaters</w:t>
                      </w:r>
                    </w:p>
                  </w:txbxContent>
                </v:textbox>
              </v:roundrect>
            </w:pict>
          </mc:Fallback>
        </mc:AlternateContent>
      </w:r>
      <w:r w:rsidR="000530B4">
        <w:rPr>
          <w:rFonts w:ascii="Times New Roman" w:eastAsia="Times New Roman" w:hAnsi="Times New Roman" w:cs="Times New Roman"/>
          <w:noProof/>
          <w:sz w:val="24"/>
          <w:szCs w:val="24"/>
        </w:rPr>
        <w:drawing>
          <wp:inline distT="0" distB="0" distL="0" distR="0" wp14:anchorId="29A7775E" wp14:editId="02030E08">
            <wp:extent cx="4152900" cy="8166100"/>
            <wp:effectExtent l="0" t="0" r="0" b="635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3"/>
                    <a:srcRect/>
                    <a:stretch>
                      <a:fillRect/>
                    </a:stretch>
                  </pic:blipFill>
                  <pic:spPr>
                    <a:xfrm>
                      <a:off x="0" y="0"/>
                      <a:ext cx="4153497" cy="8167274"/>
                    </a:xfrm>
                    <a:prstGeom prst="rect">
                      <a:avLst/>
                    </a:prstGeom>
                    <a:ln/>
                  </pic:spPr>
                </pic:pic>
              </a:graphicData>
            </a:graphic>
          </wp:inline>
        </w:drawing>
      </w:r>
    </w:p>
    <w:p w14:paraId="000004B8" w14:textId="77777777" w:rsidR="00CB4215" w:rsidRDefault="000530B4">
      <w:pPr>
        <w:pBdr>
          <w:top w:val="nil"/>
          <w:left w:val="nil"/>
          <w:bottom w:val="nil"/>
          <w:right w:val="nil"/>
          <w:between w:val="nil"/>
        </w:pBdr>
        <w:spacing w:after="200" w:line="240" w:lineRule="auto"/>
        <w:rPr>
          <w:rFonts w:ascii="Times New Roman" w:eastAsia="Times New Roman" w:hAnsi="Times New Roman" w:cs="Times New Roman"/>
          <w:color w:val="000000"/>
          <w:sz w:val="20"/>
          <w:szCs w:val="20"/>
        </w:rPr>
      </w:pPr>
      <w:bookmarkStart w:id="79" w:name="_heading=h.43ky6rz" w:colFirst="0" w:colLast="0"/>
      <w:bookmarkEnd w:id="79"/>
      <w:r>
        <w:rPr>
          <w:rFonts w:ascii="Times New Roman" w:eastAsia="Times New Roman" w:hAnsi="Times New Roman" w:cs="Times New Roman"/>
          <w:i/>
          <w:color w:val="000000"/>
          <w:sz w:val="20"/>
          <w:szCs w:val="20"/>
        </w:rPr>
        <w:t xml:space="preserve">Figure 4.1. </w:t>
      </w:r>
      <w:r>
        <w:rPr>
          <w:rFonts w:ascii="Times New Roman" w:eastAsia="Times New Roman" w:hAnsi="Times New Roman" w:cs="Times New Roman"/>
          <w:color w:val="000000"/>
          <w:sz w:val="20"/>
          <w:szCs w:val="20"/>
        </w:rPr>
        <w:t xml:space="preserve">Dendrogram of the hierarchical cluster analysis using the Ward linkage method for the time of last eating episode performed by 256 participants. The participants are clearly divided into two groups (early vs late eaters). </w:t>
      </w:r>
    </w:p>
    <w:p w14:paraId="000004B9"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80" w:name="_heading=h.2iq8gzs" w:colFirst="0" w:colLast="0"/>
      <w:bookmarkEnd w:id="80"/>
      <w:r>
        <w:rPr>
          <w:rFonts w:ascii="Times New Roman" w:eastAsia="Times New Roman" w:hAnsi="Times New Roman" w:cs="Times New Roman"/>
          <w:i/>
          <w:color w:val="000000"/>
          <w:sz w:val="20"/>
          <w:szCs w:val="20"/>
        </w:rPr>
        <w:lastRenderedPageBreak/>
        <w:t xml:space="preserve">Table 4.3. </w:t>
      </w:r>
      <w:r>
        <w:rPr>
          <w:rFonts w:ascii="Times New Roman" w:eastAsia="Times New Roman" w:hAnsi="Times New Roman" w:cs="Times New Roman"/>
          <w:color w:val="000000"/>
          <w:sz w:val="20"/>
          <w:szCs w:val="20"/>
        </w:rPr>
        <w:t>Comparison of eating behaviour traits between early and late eaters.</w:t>
      </w:r>
    </w:p>
    <w:tbl>
      <w:tblPr>
        <w:tblStyle w:val="a7"/>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851"/>
        <w:gridCol w:w="708"/>
        <w:gridCol w:w="851"/>
        <w:gridCol w:w="709"/>
        <w:gridCol w:w="708"/>
        <w:gridCol w:w="709"/>
        <w:gridCol w:w="800"/>
      </w:tblGrid>
      <w:tr w:rsidR="00CB4215" w14:paraId="41595235" w14:textId="77777777" w:rsidTr="001705C4">
        <w:trPr>
          <w:trHeight w:val="420"/>
        </w:trPr>
        <w:tc>
          <w:tcPr>
            <w:tcW w:w="5954" w:type="dxa"/>
            <w:gridSpan w:val="4"/>
            <w:tcBorders>
              <w:top w:val="single" w:sz="4" w:space="0" w:color="000000"/>
              <w:left w:val="nil"/>
              <w:bottom w:val="nil"/>
              <w:right w:val="nil"/>
            </w:tcBorders>
            <w:tcMar>
              <w:top w:w="100" w:type="dxa"/>
              <w:left w:w="100" w:type="dxa"/>
              <w:bottom w:w="100" w:type="dxa"/>
              <w:right w:w="100" w:type="dxa"/>
            </w:tcMar>
          </w:tcPr>
          <w:p w14:paraId="000004BA" w14:textId="77777777" w:rsidR="00CB4215" w:rsidRDefault="00CB4215">
            <w:pPr>
              <w:widowControl w:val="0"/>
              <w:spacing w:line="240" w:lineRule="auto"/>
              <w:rPr>
                <w:rFonts w:ascii="Times New Roman" w:eastAsia="Times New Roman" w:hAnsi="Times New Roman" w:cs="Times New Roman"/>
              </w:rPr>
            </w:pPr>
          </w:p>
        </w:tc>
        <w:tc>
          <w:tcPr>
            <w:tcW w:w="1417"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4B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Early eaters</w:t>
            </w:r>
          </w:p>
          <w:p w14:paraId="000004B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(n=149)</w:t>
            </w:r>
          </w:p>
        </w:tc>
        <w:tc>
          <w:tcPr>
            <w:tcW w:w="1509"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4C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Late eaters</w:t>
            </w:r>
          </w:p>
          <w:p w14:paraId="000004C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(n=103)</w:t>
            </w:r>
          </w:p>
        </w:tc>
      </w:tr>
      <w:tr w:rsidR="001705C4" w14:paraId="1AB394F2" w14:textId="77777777" w:rsidTr="001705C4">
        <w:tc>
          <w:tcPr>
            <w:tcW w:w="3544" w:type="dxa"/>
            <w:tcBorders>
              <w:top w:val="nil"/>
              <w:left w:val="nil"/>
              <w:bottom w:val="single" w:sz="4" w:space="0" w:color="000000"/>
              <w:right w:val="nil"/>
            </w:tcBorders>
            <w:tcMar>
              <w:top w:w="100" w:type="dxa"/>
              <w:left w:w="100" w:type="dxa"/>
              <w:bottom w:w="100" w:type="dxa"/>
              <w:right w:w="100" w:type="dxa"/>
            </w:tcMar>
          </w:tcPr>
          <w:p w14:paraId="000004C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Dependent variable</w:t>
            </w:r>
          </w:p>
        </w:tc>
        <w:tc>
          <w:tcPr>
            <w:tcW w:w="851" w:type="dxa"/>
            <w:tcBorders>
              <w:top w:val="nil"/>
              <w:left w:val="nil"/>
              <w:bottom w:val="single" w:sz="4" w:space="0" w:color="000000"/>
              <w:right w:val="nil"/>
            </w:tcBorders>
            <w:tcMar>
              <w:top w:w="100" w:type="dxa"/>
              <w:left w:w="100" w:type="dxa"/>
              <w:bottom w:w="100" w:type="dxa"/>
              <w:right w:w="100" w:type="dxa"/>
            </w:tcMar>
          </w:tcPr>
          <w:p w14:paraId="000004C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w:t>
            </w:r>
          </w:p>
        </w:tc>
        <w:tc>
          <w:tcPr>
            <w:tcW w:w="708" w:type="dxa"/>
            <w:tcBorders>
              <w:top w:val="nil"/>
              <w:left w:val="nil"/>
              <w:bottom w:val="single" w:sz="4" w:space="0" w:color="000000"/>
              <w:right w:val="nil"/>
            </w:tcBorders>
            <w:tcMar>
              <w:top w:w="100" w:type="dxa"/>
              <w:left w:w="100" w:type="dxa"/>
              <w:bottom w:w="100" w:type="dxa"/>
              <w:right w:w="100" w:type="dxa"/>
            </w:tcMar>
          </w:tcPr>
          <w:p w14:paraId="000004C6" w14:textId="77777777" w:rsidR="00CB4215" w:rsidRPr="001705C4" w:rsidRDefault="000530B4">
            <w:pPr>
              <w:widowControl w:val="0"/>
              <w:spacing w:line="240" w:lineRule="auto"/>
              <w:rPr>
                <w:rFonts w:ascii="Times New Roman" w:eastAsia="Times New Roman" w:hAnsi="Times New Roman" w:cs="Times New Roman"/>
                <w:i/>
                <w:iCs/>
              </w:rPr>
            </w:pPr>
            <w:r w:rsidRPr="001705C4">
              <w:rPr>
                <w:rFonts w:ascii="Times New Roman" w:eastAsia="Times New Roman" w:hAnsi="Times New Roman" w:cs="Times New Roman"/>
                <w:i/>
                <w:iCs/>
              </w:rPr>
              <w:t>p</w:t>
            </w:r>
          </w:p>
        </w:tc>
        <w:tc>
          <w:tcPr>
            <w:tcW w:w="851" w:type="dxa"/>
            <w:tcBorders>
              <w:top w:val="nil"/>
              <w:left w:val="nil"/>
              <w:bottom w:val="single" w:sz="4" w:space="0" w:color="000000"/>
              <w:right w:val="nil"/>
            </w:tcBorders>
            <w:tcMar>
              <w:top w:w="100" w:type="dxa"/>
              <w:left w:w="100" w:type="dxa"/>
              <w:bottom w:w="100" w:type="dxa"/>
              <w:right w:w="100" w:type="dxa"/>
            </w:tcMar>
          </w:tcPr>
          <w:p w14:paraId="000004C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i/>
                <w:highlight w:val="white"/>
              </w:rPr>
              <w:t>η2</w:t>
            </w:r>
          </w:p>
        </w:tc>
        <w:tc>
          <w:tcPr>
            <w:tcW w:w="709" w:type="dxa"/>
            <w:tcBorders>
              <w:top w:val="single" w:sz="4" w:space="0" w:color="000000"/>
              <w:left w:val="nil"/>
              <w:bottom w:val="single" w:sz="4" w:space="0" w:color="000000"/>
              <w:right w:val="nil"/>
            </w:tcBorders>
            <w:tcMar>
              <w:top w:w="100" w:type="dxa"/>
              <w:left w:w="100" w:type="dxa"/>
              <w:bottom w:w="100" w:type="dxa"/>
              <w:right w:w="100" w:type="dxa"/>
            </w:tcMar>
          </w:tcPr>
          <w:p w14:paraId="000004C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708" w:type="dxa"/>
            <w:tcBorders>
              <w:top w:val="single" w:sz="4" w:space="0" w:color="000000"/>
              <w:left w:val="nil"/>
              <w:bottom w:val="single" w:sz="4" w:space="0" w:color="000000"/>
              <w:right w:val="nil"/>
            </w:tcBorders>
            <w:tcMar>
              <w:top w:w="100" w:type="dxa"/>
              <w:left w:w="100" w:type="dxa"/>
              <w:bottom w:w="100" w:type="dxa"/>
              <w:right w:w="100" w:type="dxa"/>
            </w:tcMar>
          </w:tcPr>
          <w:p w14:paraId="000004C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c>
          <w:tcPr>
            <w:tcW w:w="709" w:type="dxa"/>
            <w:tcBorders>
              <w:top w:val="single" w:sz="4" w:space="0" w:color="000000"/>
              <w:left w:val="nil"/>
              <w:bottom w:val="single" w:sz="4" w:space="0" w:color="000000"/>
              <w:right w:val="nil"/>
            </w:tcBorders>
            <w:tcMar>
              <w:top w:w="100" w:type="dxa"/>
              <w:left w:w="100" w:type="dxa"/>
              <w:bottom w:w="100" w:type="dxa"/>
              <w:right w:w="100" w:type="dxa"/>
            </w:tcMar>
          </w:tcPr>
          <w:p w14:paraId="000004C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800" w:type="dxa"/>
            <w:tcBorders>
              <w:top w:val="single" w:sz="4" w:space="0" w:color="000000"/>
              <w:left w:val="nil"/>
              <w:bottom w:val="single" w:sz="4" w:space="0" w:color="000000"/>
              <w:right w:val="nil"/>
            </w:tcBorders>
            <w:tcMar>
              <w:top w:w="100" w:type="dxa"/>
              <w:left w:w="100" w:type="dxa"/>
              <w:bottom w:w="100" w:type="dxa"/>
              <w:right w:w="100" w:type="dxa"/>
            </w:tcMar>
          </w:tcPr>
          <w:p w14:paraId="000004C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r>
      <w:tr w:rsidR="001705C4" w:rsidRPr="001705C4" w14:paraId="0FAEE06D" w14:textId="77777777" w:rsidTr="001705C4">
        <w:tc>
          <w:tcPr>
            <w:tcW w:w="3544"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4CC" w14:textId="593E590D" w:rsidR="00CB4215" w:rsidRPr="001705C4" w:rsidRDefault="000530B4">
            <w:pPr>
              <w:widowControl w:val="0"/>
              <w:spacing w:line="240" w:lineRule="auto"/>
              <w:rPr>
                <w:rFonts w:ascii="Times New Roman" w:eastAsia="Times New Roman" w:hAnsi="Times New Roman" w:cs="Times New Roman"/>
                <w:b/>
                <w:bCs/>
              </w:rPr>
            </w:pPr>
            <w:bookmarkStart w:id="81" w:name="_Hlk172969173"/>
            <w:r w:rsidRPr="001705C4">
              <w:rPr>
                <w:rFonts w:ascii="Times New Roman" w:eastAsia="Times New Roman" w:hAnsi="Times New Roman" w:cs="Times New Roman"/>
                <w:b/>
                <w:bCs/>
              </w:rPr>
              <w:t>C</w:t>
            </w:r>
            <w:sdt>
              <w:sdtPr>
                <w:rPr>
                  <w:b/>
                  <w:bCs/>
                </w:rPr>
                <w:tag w:val="goog_rdk_49"/>
                <w:id w:val="-322276220"/>
              </w:sdtPr>
              <w:sdtEndPr/>
              <w:sdtContent/>
            </w:sdt>
            <w:r w:rsidR="004C48C1" w:rsidRPr="001705C4">
              <w:rPr>
                <w:rFonts w:ascii="Times New Roman" w:eastAsia="Times New Roman" w:hAnsi="Times New Roman" w:cs="Times New Roman"/>
                <w:b/>
                <w:bCs/>
              </w:rPr>
              <w:t>O</w:t>
            </w:r>
            <w:r w:rsidRPr="001705C4">
              <w:rPr>
                <w:rFonts w:ascii="Times New Roman" w:eastAsia="Times New Roman" w:hAnsi="Times New Roman" w:cs="Times New Roman"/>
                <w:b/>
                <w:bCs/>
              </w:rPr>
              <w:t>EQ-</w:t>
            </w:r>
            <w:r w:rsidR="00CB5D1A" w:rsidRPr="001705C4">
              <w:rPr>
                <w:rFonts w:ascii="Times New Roman" w:eastAsia="Times New Roman" w:hAnsi="Times New Roman" w:cs="Times New Roman"/>
                <w:b/>
                <w:bCs/>
                <w:sz w:val="20"/>
                <w:szCs w:val="20"/>
              </w:rPr>
              <w:t xml:space="preserve"> </w:t>
            </w:r>
            <w:r w:rsidR="00CB5D1A" w:rsidRPr="001705C4">
              <w:rPr>
                <w:rFonts w:ascii="Times New Roman" w:eastAsia="Times New Roman" w:hAnsi="Times New Roman" w:cs="Times New Roman"/>
                <w:b/>
                <w:bCs/>
              </w:rPr>
              <w:t xml:space="preserve">craving </w:t>
            </w:r>
            <w:r w:rsidR="001705C4" w:rsidRPr="001705C4">
              <w:rPr>
                <w:rFonts w:ascii="Times New Roman" w:eastAsia="Times New Roman" w:hAnsi="Times New Roman" w:cs="Times New Roman"/>
                <w:b/>
                <w:bCs/>
              </w:rPr>
              <w:t>c</w:t>
            </w:r>
            <w:r w:rsidR="00CB5D1A" w:rsidRPr="001705C4">
              <w:rPr>
                <w:rFonts w:ascii="Times New Roman" w:eastAsia="Times New Roman" w:hAnsi="Times New Roman" w:cs="Times New Roman"/>
                <w:b/>
                <w:bCs/>
              </w:rPr>
              <w:t>ontrol</w:t>
            </w:r>
          </w:p>
        </w:tc>
        <w:tc>
          <w:tcPr>
            <w:tcW w:w="851"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4CD"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4.17</w:t>
            </w:r>
          </w:p>
        </w:tc>
        <w:tc>
          <w:tcPr>
            <w:tcW w:w="708"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4CE" w14:textId="45772752" w:rsidR="00CB4215" w:rsidRPr="001705C4" w:rsidRDefault="001705C4">
            <w:pPr>
              <w:widowControl w:val="0"/>
              <w:spacing w:line="240" w:lineRule="auto"/>
              <w:rPr>
                <w:rFonts w:ascii="Times New Roman" w:eastAsia="Times New Roman" w:hAnsi="Times New Roman" w:cs="Times New Roman"/>
                <w:b/>
                <w:bCs/>
                <w:shd w:val="clear" w:color="auto" w:fill="FF9900"/>
              </w:rPr>
            </w:pPr>
            <w:r w:rsidRPr="001705C4">
              <w:rPr>
                <w:rFonts w:ascii="Times New Roman" w:eastAsia="Times New Roman" w:hAnsi="Times New Roman" w:cs="Times New Roman"/>
                <w:b/>
                <w:bCs/>
              </w:rPr>
              <w:t>0.04</w:t>
            </w:r>
          </w:p>
        </w:tc>
        <w:tc>
          <w:tcPr>
            <w:tcW w:w="851"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4CF"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0.02</w:t>
            </w:r>
          </w:p>
        </w:tc>
        <w:tc>
          <w:tcPr>
            <w:tcW w:w="709"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4D0"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57.81</w:t>
            </w:r>
          </w:p>
        </w:tc>
        <w:tc>
          <w:tcPr>
            <w:tcW w:w="708"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4D1"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24.46</w:t>
            </w:r>
          </w:p>
        </w:tc>
        <w:tc>
          <w:tcPr>
            <w:tcW w:w="709"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4D2"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51.47</w:t>
            </w:r>
          </w:p>
        </w:tc>
        <w:tc>
          <w:tcPr>
            <w:tcW w:w="800"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4D3"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22.95</w:t>
            </w:r>
          </w:p>
        </w:tc>
      </w:tr>
      <w:tr w:rsidR="001705C4" w14:paraId="42E4804D" w14:textId="77777777" w:rsidTr="001705C4">
        <w:tc>
          <w:tcPr>
            <w:tcW w:w="3544" w:type="dxa"/>
            <w:tcBorders>
              <w:top w:val="nil"/>
              <w:left w:val="nil"/>
              <w:bottom w:val="nil"/>
              <w:right w:val="nil"/>
            </w:tcBorders>
            <w:tcMar>
              <w:top w:w="100" w:type="dxa"/>
              <w:left w:w="100" w:type="dxa"/>
              <w:bottom w:w="100" w:type="dxa"/>
              <w:right w:w="100" w:type="dxa"/>
            </w:tcMar>
          </w:tcPr>
          <w:p w14:paraId="000004D4" w14:textId="090FC9DC"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TFEQ-</w:t>
            </w:r>
            <w:r w:rsidR="00CB5D1A" w:rsidRPr="00CB5D1A">
              <w:rPr>
                <w:rFonts w:ascii="Times New Roman" w:eastAsia="Times New Roman" w:hAnsi="Times New Roman" w:cs="Times New Roman"/>
                <w:sz w:val="20"/>
                <w:szCs w:val="20"/>
              </w:rPr>
              <w:t xml:space="preserve"> </w:t>
            </w:r>
            <w:r w:rsidR="001705C4">
              <w:rPr>
                <w:rFonts w:ascii="Times New Roman" w:eastAsia="Times New Roman" w:hAnsi="Times New Roman" w:cs="Times New Roman"/>
              </w:rPr>
              <w:t>u</w:t>
            </w:r>
            <w:r w:rsidR="00CB5D1A" w:rsidRPr="00CB5D1A">
              <w:rPr>
                <w:rFonts w:ascii="Times New Roman" w:eastAsia="Times New Roman" w:hAnsi="Times New Roman" w:cs="Times New Roman"/>
              </w:rPr>
              <w:t xml:space="preserve">ncontrolled </w:t>
            </w:r>
            <w:r w:rsidR="001705C4">
              <w:rPr>
                <w:rFonts w:ascii="Times New Roman" w:eastAsia="Times New Roman" w:hAnsi="Times New Roman" w:cs="Times New Roman"/>
              </w:rPr>
              <w:t>e</w:t>
            </w:r>
            <w:r w:rsidR="00CB5D1A" w:rsidRPr="00CB5D1A">
              <w:rPr>
                <w:rFonts w:ascii="Times New Roman" w:eastAsia="Times New Roman" w:hAnsi="Times New Roman" w:cs="Times New Roman"/>
              </w:rPr>
              <w:t>ating</w:t>
            </w:r>
          </w:p>
        </w:tc>
        <w:tc>
          <w:tcPr>
            <w:tcW w:w="851" w:type="dxa"/>
            <w:tcBorders>
              <w:top w:val="nil"/>
              <w:left w:val="nil"/>
              <w:bottom w:val="nil"/>
              <w:right w:val="nil"/>
            </w:tcBorders>
            <w:tcMar>
              <w:top w:w="100" w:type="dxa"/>
              <w:left w:w="100" w:type="dxa"/>
              <w:bottom w:w="100" w:type="dxa"/>
              <w:right w:w="100" w:type="dxa"/>
            </w:tcMar>
          </w:tcPr>
          <w:p w14:paraId="000004D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0.12</w:t>
            </w:r>
          </w:p>
        </w:tc>
        <w:tc>
          <w:tcPr>
            <w:tcW w:w="708" w:type="dxa"/>
            <w:tcBorders>
              <w:top w:val="nil"/>
              <w:left w:val="nil"/>
              <w:bottom w:val="nil"/>
              <w:right w:val="nil"/>
            </w:tcBorders>
            <w:tcMar>
              <w:top w:w="100" w:type="dxa"/>
              <w:left w:w="100" w:type="dxa"/>
              <w:bottom w:w="100" w:type="dxa"/>
              <w:right w:w="100" w:type="dxa"/>
            </w:tcMar>
          </w:tcPr>
          <w:p w14:paraId="000004D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0.73</w:t>
            </w:r>
          </w:p>
        </w:tc>
        <w:tc>
          <w:tcPr>
            <w:tcW w:w="851" w:type="dxa"/>
            <w:tcBorders>
              <w:top w:val="nil"/>
              <w:left w:val="nil"/>
              <w:bottom w:val="nil"/>
              <w:right w:val="nil"/>
            </w:tcBorders>
            <w:tcMar>
              <w:top w:w="100" w:type="dxa"/>
              <w:left w:w="100" w:type="dxa"/>
              <w:bottom w:w="100" w:type="dxa"/>
              <w:right w:w="100" w:type="dxa"/>
            </w:tcMar>
          </w:tcPr>
          <w:p w14:paraId="000004D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&lt;0.001</w:t>
            </w:r>
          </w:p>
        </w:tc>
        <w:tc>
          <w:tcPr>
            <w:tcW w:w="709" w:type="dxa"/>
            <w:tcBorders>
              <w:top w:val="nil"/>
              <w:left w:val="nil"/>
              <w:bottom w:val="nil"/>
              <w:right w:val="nil"/>
            </w:tcBorders>
            <w:tcMar>
              <w:top w:w="100" w:type="dxa"/>
              <w:left w:w="100" w:type="dxa"/>
              <w:bottom w:w="100" w:type="dxa"/>
              <w:right w:w="100" w:type="dxa"/>
            </w:tcMar>
          </w:tcPr>
          <w:p w14:paraId="000004D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2.15</w:t>
            </w:r>
          </w:p>
        </w:tc>
        <w:tc>
          <w:tcPr>
            <w:tcW w:w="708" w:type="dxa"/>
            <w:tcBorders>
              <w:top w:val="nil"/>
              <w:left w:val="nil"/>
              <w:bottom w:val="nil"/>
              <w:right w:val="nil"/>
            </w:tcBorders>
            <w:tcMar>
              <w:top w:w="100" w:type="dxa"/>
              <w:left w:w="100" w:type="dxa"/>
              <w:bottom w:w="100" w:type="dxa"/>
              <w:right w:w="100" w:type="dxa"/>
            </w:tcMar>
          </w:tcPr>
          <w:p w14:paraId="000004D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0.60</w:t>
            </w:r>
          </w:p>
        </w:tc>
        <w:tc>
          <w:tcPr>
            <w:tcW w:w="709" w:type="dxa"/>
            <w:tcBorders>
              <w:top w:val="nil"/>
              <w:left w:val="nil"/>
              <w:bottom w:val="nil"/>
              <w:right w:val="nil"/>
            </w:tcBorders>
            <w:tcMar>
              <w:top w:w="100" w:type="dxa"/>
              <w:left w:w="100" w:type="dxa"/>
              <w:bottom w:w="100" w:type="dxa"/>
              <w:right w:w="100" w:type="dxa"/>
            </w:tcMar>
          </w:tcPr>
          <w:p w14:paraId="000004D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2.21</w:t>
            </w:r>
          </w:p>
        </w:tc>
        <w:tc>
          <w:tcPr>
            <w:tcW w:w="800" w:type="dxa"/>
            <w:tcBorders>
              <w:top w:val="nil"/>
              <w:left w:val="nil"/>
              <w:bottom w:val="nil"/>
              <w:right w:val="nil"/>
            </w:tcBorders>
            <w:tcMar>
              <w:top w:w="100" w:type="dxa"/>
              <w:left w:w="100" w:type="dxa"/>
              <w:bottom w:w="100" w:type="dxa"/>
              <w:right w:w="100" w:type="dxa"/>
            </w:tcMar>
          </w:tcPr>
          <w:p w14:paraId="000004D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0.57</w:t>
            </w:r>
          </w:p>
        </w:tc>
      </w:tr>
      <w:tr w:rsidR="001705C4" w14:paraId="531AE77B" w14:textId="77777777" w:rsidTr="001705C4">
        <w:tc>
          <w:tcPr>
            <w:tcW w:w="3544" w:type="dxa"/>
            <w:tcBorders>
              <w:top w:val="nil"/>
              <w:left w:val="nil"/>
              <w:bottom w:val="nil"/>
              <w:right w:val="nil"/>
            </w:tcBorders>
            <w:tcMar>
              <w:top w:w="100" w:type="dxa"/>
              <w:left w:w="100" w:type="dxa"/>
              <w:bottom w:w="100" w:type="dxa"/>
              <w:right w:w="100" w:type="dxa"/>
            </w:tcMar>
          </w:tcPr>
          <w:p w14:paraId="000004DC" w14:textId="174BA044"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TFEQ-</w:t>
            </w:r>
            <w:r w:rsidR="001705C4" w:rsidRPr="001705C4">
              <w:rPr>
                <w:rFonts w:ascii="Times New Roman" w:eastAsia="Times New Roman" w:hAnsi="Times New Roman" w:cs="Times New Roman"/>
                <w:sz w:val="20"/>
                <w:szCs w:val="20"/>
              </w:rPr>
              <w:t xml:space="preserve"> </w:t>
            </w:r>
            <w:r w:rsidR="001705C4">
              <w:rPr>
                <w:rFonts w:ascii="Times New Roman" w:eastAsia="Times New Roman" w:hAnsi="Times New Roman" w:cs="Times New Roman"/>
              </w:rPr>
              <w:t>e</w:t>
            </w:r>
            <w:r w:rsidR="001705C4" w:rsidRPr="001705C4">
              <w:rPr>
                <w:rFonts w:ascii="Times New Roman" w:eastAsia="Times New Roman" w:hAnsi="Times New Roman" w:cs="Times New Roman"/>
              </w:rPr>
              <w:t xml:space="preserve">motional </w:t>
            </w:r>
            <w:r w:rsidR="001705C4">
              <w:rPr>
                <w:rFonts w:ascii="Times New Roman" w:eastAsia="Times New Roman" w:hAnsi="Times New Roman" w:cs="Times New Roman"/>
              </w:rPr>
              <w:t>e</w:t>
            </w:r>
            <w:r w:rsidR="001705C4" w:rsidRPr="001705C4">
              <w:rPr>
                <w:rFonts w:ascii="Times New Roman" w:eastAsia="Times New Roman" w:hAnsi="Times New Roman" w:cs="Times New Roman"/>
              </w:rPr>
              <w:t>ating</w:t>
            </w:r>
          </w:p>
        </w:tc>
        <w:tc>
          <w:tcPr>
            <w:tcW w:w="851" w:type="dxa"/>
            <w:tcBorders>
              <w:top w:val="nil"/>
              <w:left w:val="nil"/>
              <w:bottom w:val="nil"/>
              <w:right w:val="nil"/>
            </w:tcBorders>
            <w:tcMar>
              <w:top w:w="100" w:type="dxa"/>
              <w:left w:w="100" w:type="dxa"/>
              <w:bottom w:w="100" w:type="dxa"/>
              <w:right w:w="100" w:type="dxa"/>
            </w:tcMar>
          </w:tcPr>
          <w:p w14:paraId="000004D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0.001</w:t>
            </w:r>
          </w:p>
        </w:tc>
        <w:tc>
          <w:tcPr>
            <w:tcW w:w="708" w:type="dxa"/>
            <w:tcBorders>
              <w:top w:val="nil"/>
              <w:left w:val="nil"/>
              <w:bottom w:val="nil"/>
              <w:right w:val="nil"/>
            </w:tcBorders>
            <w:tcMar>
              <w:top w:w="100" w:type="dxa"/>
              <w:left w:w="100" w:type="dxa"/>
              <w:bottom w:w="100" w:type="dxa"/>
              <w:right w:w="100" w:type="dxa"/>
            </w:tcMar>
          </w:tcPr>
          <w:p w14:paraId="000004D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0.97</w:t>
            </w:r>
          </w:p>
        </w:tc>
        <w:tc>
          <w:tcPr>
            <w:tcW w:w="851" w:type="dxa"/>
            <w:tcBorders>
              <w:top w:val="nil"/>
              <w:left w:val="nil"/>
              <w:bottom w:val="nil"/>
              <w:right w:val="nil"/>
            </w:tcBorders>
            <w:tcMar>
              <w:top w:w="100" w:type="dxa"/>
              <w:left w:w="100" w:type="dxa"/>
              <w:bottom w:w="100" w:type="dxa"/>
              <w:right w:w="100" w:type="dxa"/>
            </w:tcMar>
          </w:tcPr>
          <w:p w14:paraId="000004D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&lt;0.001</w:t>
            </w:r>
          </w:p>
        </w:tc>
        <w:tc>
          <w:tcPr>
            <w:tcW w:w="709" w:type="dxa"/>
            <w:tcBorders>
              <w:top w:val="nil"/>
              <w:left w:val="nil"/>
              <w:bottom w:val="nil"/>
              <w:right w:val="nil"/>
            </w:tcBorders>
            <w:tcMar>
              <w:top w:w="100" w:type="dxa"/>
              <w:left w:w="100" w:type="dxa"/>
              <w:bottom w:w="100" w:type="dxa"/>
              <w:right w:w="100" w:type="dxa"/>
            </w:tcMar>
          </w:tcPr>
          <w:p w14:paraId="000004E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2.33</w:t>
            </w:r>
          </w:p>
        </w:tc>
        <w:tc>
          <w:tcPr>
            <w:tcW w:w="708" w:type="dxa"/>
            <w:tcBorders>
              <w:top w:val="nil"/>
              <w:left w:val="nil"/>
              <w:bottom w:val="nil"/>
              <w:right w:val="nil"/>
            </w:tcBorders>
            <w:tcMar>
              <w:top w:w="100" w:type="dxa"/>
              <w:left w:w="100" w:type="dxa"/>
              <w:bottom w:w="100" w:type="dxa"/>
              <w:right w:w="100" w:type="dxa"/>
            </w:tcMar>
          </w:tcPr>
          <w:p w14:paraId="000004E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0.86</w:t>
            </w:r>
          </w:p>
        </w:tc>
        <w:tc>
          <w:tcPr>
            <w:tcW w:w="709" w:type="dxa"/>
            <w:tcBorders>
              <w:top w:val="nil"/>
              <w:left w:val="nil"/>
              <w:bottom w:val="nil"/>
              <w:right w:val="nil"/>
            </w:tcBorders>
            <w:tcMar>
              <w:top w:w="100" w:type="dxa"/>
              <w:left w:w="100" w:type="dxa"/>
              <w:bottom w:w="100" w:type="dxa"/>
              <w:right w:w="100" w:type="dxa"/>
            </w:tcMar>
          </w:tcPr>
          <w:p w14:paraId="000004E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2.36</w:t>
            </w:r>
          </w:p>
        </w:tc>
        <w:tc>
          <w:tcPr>
            <w:tcW w:w="800" w:type="dxa"/>
            <w:tcBorders>
              <w:top w:val="nil"/>
              <w:left w:val="nil"/>
              <w:bottom w:val="nil"/>
              <w:right w:val="nil"/>
            </w:tcBorders>
            <w:tcMar>
              <w:top w:w="100" w:type="dxa"/>
              <w:left w:w="100" w:type="dxa"/>
              <w:bottom w:w="100" w:type="dxa"/>
              <w:right w:w="100" w:type="dxa"/>
            </w:tcMar>
          </w:tcPr>
          <w:p w14:paraId="000004E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0.89</w:t>
            </w:r>
          </w:p>
        </w:tc>
      </w:tr>
      <w:tr w:rsidR="001705C4" w14:paraId="4A2F4DE6" w14:textId="77777777" w:rsidTr="001705C4">
        <w:tc>
          <w:tcPr>
            <w:tcW w:w="3544" w:type="dxa"/>
            <w:tcBorders>
              <w:top w:val="nil"/>
              <w:left w:val="nil"/>
              <w:bottom w:val="nil"/>
              <w:right w:val="nil"/>
            </w:tcBorders>
            <w:tcMar>
              <w:top w:w="100" w:type="dxa"/>
              <w:left w:w="100" w:type="dxa"/>
              <w:bottom w:w="100" w:type="dxa"/>
              <w:right w:w="100" w:type="dxa"/>
            </w:tcMar>
          </w:tcPr>
          <w:p w14:paraId="000004E4" w14:textId="4E4B93FF"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TFEQ-</w:t>
            </w:r>
            <w:r w:rsidR="001705C4" w:rsidRPr="001705C4">
              <w:rPr>
                <w:rFonts w:ascii="Times New Roman" w:eastAsia="Times New Roman" w:hAnsi="Times New Roman" w:cs="Times New Roman"/>
                <w:sz w:val="20"/>
                <w:szCs w:val="20"/>
              </w:rPr>
              <w:t xml:space="preserve"> </w:t>
            </w:r>
            <w:r w:rsidR="001705C4">
              <w:rPr>
                <w:rFonts w:ascii="Times New Roman" w:eastAsia="Times New Roman" w:hAnsi="Times New Roman" w:cs="Times New Roman"/>
              </w:rPr>
              <w:t>c</w:t>
            </w:r>
            <w:r w:rsidR="001705C4" w:rsidRPr="001705C4">
              <w:rPr>
                <w:rFonts w:ascii="Times New Roman" w:eastAsia="Times New Roman" w:hAnsi="Times New Roman" w:cs="Times New Roman"/>
              </w:rPr>
              <w:t>ognitive restraint</w:t>
            </w:r>
          </w:p>
        </w:tc>
        <w:tc>
          <w:tcPr>
            <w:tcW w:w="851" w:type="dxa"/>
            <w:tcBorders>
              <w:top w:val="nil"/>
              <w:left w:val="nil"/>
              <w:bottom w:val="nil"/>
              <w:right w:val="nil"/>
            </w:tcBorders>
            <w:tcMar>
              <w:top w:w="100" w:type="dxa"/>
              <w:left w:w="100" w:type="dxa"/>
              <w:bottom w:w="100" w:type="dxa"/>
              <w:right w:w="100" w:type="dxa"/>
            </w:tcMar>
          </w:tcPr>
          <w:p w14:paraId="000004E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w:t>
            </w:r>
          </w:p>
        </w:tc>
        <w:tc>
          <w:tcPr>
            <w:tcW w:w="708" w:type="dxa"/>
            <w:tcBorders>
              <w:top w:val="nil"/>
              <w:left w:val="nil"/>
              <w:bottom w:val="nil"/>
              <w:right w:val="nil"/>
            </w:tcBorders>
            <w:tcMar>
              <w:top w:w="100" w:type="dxa"/>
              <w:left w:w="100" w:type="dxa"/>
              <w:bottom w:w="100" w:type="dxa"/>
              <w:right w:w="100" w:type="dxa"/>
            </w:tcMar>
          </w:tcPr>
          <w:p w14:paraId="000004E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0.69</w:t>
            </w:r>
          </w:p>
        </w:tc>
        <w:tc>
          <w:tcPr>
            <w:tcW w:w="851" w:type="dxa"/>
            <w:tcBorders>
              <w:top w:val="nil"/>
              <w:left w:val="nil"/>
              <w:bottom w:val="nil"/>
              <w:right w:val="nil"/>
            </w:tcBorders>
            <w:tcMar>
              <w:top w:w="100" w:type="dxa"/>
              <w:left w:w="100" w:type="dxa"/>
              <w:bottom w:w="100" w:type="dxa"/>
              <w:right w:w="100" w:type="dxa"/>
            </w:tcMar>
          </w:tcPr>
          <w:p w14:paraId="000004E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0.001</w:t>
            </w:r>
          </w:p>
        </w:tc>
        <w:tc>
          <w:tcPr>
            <w:tcW w:w="709" w:type="dxa"/>
            <w:tcBorders>
              <w:top w:val="nil"/>
              <w:left w:val="nil"/>
              <w:bottom w:val="nil"/>
              <w:right w:val="nil"/>
            </w:tcBorders>
            <w:tcMar>
              <w:top w:w="100" w:type="dxa"/>
              <w:left w:w="100" w:type="dxa"/>
              <w:bottom w:w="100" w:type="dxa"/>
              <w:right w:w="100" w:type="dxa"/>
            </w:tcMar>
          </w:tcPr>
          <w:p w14:paraId="000004E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2.18</w:t>
            </w:r>
          </w:p>
        </w:tc>
        <w:tc>
          <w:tcPr>
            <w:tcW w:w="708" w:type="dxa"/>
            <w:tcBorders>
              <w:top w:val="nil"/>
              <w:left w:val="nil"/>
              <w:bottom w:val="nil"/>
              <w:right w:val="nil"/>
            </w:tcBorders>
            <w:tcMar>
              <w:top w:w="100" w:type="dxa"/>
              <w:left w:w="100" w:type="dxa"/>
              <w:bottom w:w="100" w:type="dxa"/>
              <w:right w:w="100" w:type="dxa"/>
            </w:tcMar>
          </w:tcPr>
          <w:p w14:paraId="000004E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0.55</w:t>
            </w:r>
          </w:p>
        </w:tc>
        <w:tc>
          <w:tcPr>
            <w:tcW w:w="709" w:type="dxa"/>
            <w:tcBorders>
              <w:top w:val="nil"/>
              <w:left w:val="nil"/>
              <w:bottom w:val="nil"/>
              <w:right w:val="nil"/>
            </w:tcBorders>
            <w:tcMar>
              <w:top w:w="100" w:type="dxa"/>
              <w:left w:w="100" w:type="dxa"/>
              <w:bottom w:w="100" w:type="dxa"/>
              <w:right w:w="100" w:type="dxa"/>
            </w:tcMar>
          </w:tcPr>
          <w:p w14:paraId="000004E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2.12</w:t>
            </w:r>
          </w:p>
        </w:tc>
        <w:tc>
          <w:tcPr>
            <w:tcW w:w="800" w:type="dxa"/>
            <w:tcBorders>
              <w:top w:val="nil"/>
              <w:left w:val="nil"/>
              <w:bottom w:val="nil"/>
              <w:right w:val="nil"/>
            </w:tcBorders>
            <w:tcMar>
              <w:top w:w="100" w:type="dxa"/>
              <w:left w:w="100" w:type="dxa"/>
              <w:bottom w:w="100" w:type="dxa"/>
              <w:right w:w="100" w:type="dxa"/>
            </w:tcMar>
          </w:tcPr>
          <w:p w14:paraId="000004E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0.48</w:t>
            </w:r>
          </w:p>
        </w:tc>
      </w:tr>
      <w:tr w:rsidR="001705C4" w14:paraId="13CC3FD5" w14:textId="77777777" w:rsidTr="001705C4">
        <w:tc>
          <w:tcPr>
            <w:tcW w:w="3544" w:type="dxa"/>
            <w:tcBorders>
              <w:top w:val="nil"/>
              <w:left w:val="nil"/>
              <w:bottom w:val="nil"/>
              <w:right w:val="nil"/>
            </w:tcBorders>
            <w:tcMar>
              <w:top w:w="100" w:type="dxa"/>
              <w:left w:w="100" w:type="dxa"/>
              <w:bottom w:w="100" w:type="dxa"/>
              <w:right w:w="100" w:type="dxa"/>
            </w:tcMar>
          </w:tcPr>
          <w:p w14:paraId="000004EC" w14:textId="090C52D1"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AEBQ-</w:t>
            </w:r>
            <w:r w:rsidR="001705C4" w:rsidRPr="001705C4">
              <w:rPr>
                <w:rFonts w:ascii="Times New Roman" w:eastAsia="Times New Roman" w:hAnsi="Times New Roman" w:cs="Times New Roman"/>
                <w:sz w:val="20"/>
                <w:szCs w:val="20"/>
              </w:rPr>
              <w:t xml:space="preserve"> </w:t>
            </w:r>
            <w:r w:rsidR="001705C4">
              <w:rPr>
                <w:rFonts w:ascii="Times New Roman" w:eastAsia="Times New Roman" w:hAnsi="Times New Roman" w:cs="Times New Roman"/>
              </w:rPr>
              <w:t>s</w:t>
            </w:r>
            <w:r w:rsidR="001705C4" w:rsidRPr="001705C4">
              <w:rPr>
                <w:rFonts w:ascii="Times New Roman" w:eastAsia="Times New Roman" w:hAnsi="Times New Roman" w:cs="Times New Roman"/>
              </w:rPr>
              <w:t xml:space="preserve">atiety </w:t>
            </w:r>
            <w:r w:rsidR="001705C4">
              <w:rPr>
                <w:rFonts w:ascii="Times New Roman" w:eastAsia="Times New Roman" w:hAnsi="Times New Roman" w:cs="Times New Roman"/>
              </w:rPr>
              <w:t>r</w:t>
            </w:r>
            <w:r w:rsidR="001705C4" w:rsidRPr="001705C4">
              <w:rPr>
                <w:rFonts w:ascii="Times New Roman" w:eastAsia="Times New Roman" w:hAnsi="Times New Roman" w:cs="Times New Roman"/>
              </w:rPr>
              <w:t>esponsiveness</w:t>
            </w:r>
          </w:p>
        </w:tc>
        <w:tc>
          <w:tcPr>
            <w:tcW w:w="851" w:type="dxa"/>
            <w:tcBorders>
              <w:top w:val="nil"/>
              <w:left w:val="nil"/>
              <w:bottom w:val="nil"/>
              <w:right w:val="nil"/>
            </w:tcBorders>
            <w:tcMar>
              <w:top w:w="100" w:type="dxa"/>
              <w:left w:w="100" w:type="dxa"/>
              <w:bottom w:w="100" w:type="dxa"/>
              <w:right w:w="100" w:type="dxa"/>
            </w:tcMar>
          </w:tcPr>
          <w:p w14:paraId="000004E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0.001</w:t>
            </w:r>
          </w:p>
        </w:tc>
        <w:tc>
          <w:tcPr>
            <w:tcW w:w="708" w:type="dxa"/>
            <w:tcBorders>
              <w:top w:val="nil"/>
              <w:left w:val="nil"/>
              <w:bottom w:val="nil"/>
              <w:right w:val="nil"/>
            </w:tcBorders>
            <w:tcMar>
              <w:top w:w="100" w:type="dxa"/>
              <w:left w:w="100" w:type="dxa"/>
              <w:bottom w:w="100" w:type="dxa"/>
              <w:right w:w="100" w:type="dxa"/>
            </w:tcMar>
          </w:tcPr>
          <w:p w14:paraId="000004E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0.98</w:t>
            </w:r>
          </w:p>
        </w:tc>
        <w:tc>
          <w:tcPr>
            <w:tcW w:w="851" w:type="dxa"/>
            <w:tcBorders>
              <w:top w:val="nil"/>
              <w:left w:val="nil"/>
              <w:bottom w:val="nil"/>
              <w:right w:val="nil"/>
            </w:tcBorders>
            <w:tcMar>
              <w:top w:w="100" w:type="dxa"/>
              <w:left w:w="100" w:type="dxa"/>
              <w:bottom w:w="100" w:type="dxa"/>
              <w:right w:w="100" w:type="dxa"/>
            </w:tcMar>
          </w:tcPr>
          <w:p w14:paraId="000004E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&lt;0.001</w:t>
            </w:r>
          </w:p>
        </w:tc>
        <w:tc>
          <w:tcPr>
            <w:tcW w:w="709" w:type="dxa"/>
            <w:tcBorders>
              <w:top w:val="nil"/>
              <w:left w:val="nil"/>
              <w:bottom w:val="nil"/>
              <w:right w:val="nil"/>
            </w:tcBorders>
            <w:tcMar>
              <w:top w:w="100" w:type="dxa"/>
              <w:left w:w="100" w:type="dxa"/>
              <w:bottom w:w="100" w:type="dxa"/>
              <w:right w:w="100" w:type="dxa"/>
            </w:tcMar>
          </w:tcPr>
          <w:p w14:paraId="000004F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2.30</w:t>
            </w:r>
          </w:p>
        </w:tc>
        <w:tc>
          <w:tcPr>
            <w:tcW w:w="708" w:type="dxa"/>
            <w:tcBorders>
              <w:top w:val="nil"/>
              <w:left w:val="nil"/>
              <w:bottom w:val="nil"/>
              <w:right w:val="nil"/>
            </w:tcBorders>
            <w:tcMar>
              <w:top w:w="100" w:type="dxa"/>
              <w:left w:w="100" w:type="dxa"/>
              <w:bottom w:w="100" w:type="dxa"/>
              <w:right w:w="100" w:type="dxa"/>
            </w:tcMar>
          </w:tcPr>
          <w:p w14:paraId="000004F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0.84</w:t>
            </w:r>
          </w:p>
        </w:tc>
        <w:tc>
          <w:tcPr>
            <w:tcW w:w="709" w:type="dxa"/>
            <w:tcBorders>
              <w:top w:val="nil"/>
              <w:left w:val="nil"/>
              <w:bottom w:val="nil"/>
              <w:right w:val="nil"/>
            </w:tcBorders>
            <w:tcMar>
              <w:top w:w="100" w:type="dxa"/>
              <w:left w:w="100" w:type="dxa"/>
              <w:bottom w:w="100" w:type="dxa"/>
              <w:right w:w="100" w:type="dxa"/>
            </w:tcMar>
          </w:tcPr>
          <w:p w14:paraId="000004F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2.35</w:t>
            </w:r>
          </w:p>
        </w:tc>
        <w:tc>
          <w:tcPr>
            <w:tcW w:w="800" w:type="dxa"/>
            <w:tcBorders>
              <w:top w:val="nil"/>
              <w:left w:val="nil"/>
              <w:bottom w:val="nil"/>
              <w:right w:val="nil"/>
            </w:tcBorders>
            <w:tcMar>
              <w:top w:w="100" w:type="dxa"/>
              <w:left w:w="100" w:type="dxa"/>
              <w:bottom w:w="100" w:type="dxa"/>
              <w:right w:w="100" w:type="dxa"/>
            </w:tcMar>
          </w:tcPr>
          <w:p w14:paraId="000004F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0.84</w:t>
            </w:r>
          </w:p>
        </w:tc>
      </w:tr>
      <w:tr w:rsidR="001705C4" w14:paraId="1DB9889A" w14:textId="77777777" w:rsidTr="001705C4">
        <w:tc>
          <w:tcPr>
            <w:tcW w:w="3544" w:type="dxa"/>
            <w:tcBorders>
              <w:top w:val="nil"/>
              <w:left w:val="nil"/>
              <w:bottom w:val="single" w:sz="4" w:space="0" w:color="000000"/>
              <w:right w:val="nil"/>
            </w:tcBorders>
            <w:tcMar>
              <w:top w:w="100" w:type="dxa"/>
              <w:left w:w="100" w:type="dxa"/>
              <w:bottom w:w="100" w:type="dxa"/>
              <w:right w:w="100" w:type="dxa"/>
            </w:tcMar>
          </w:tcPr>
          <w:p w14:paraId="000004F4" w14:textId="154E1A1B"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IES-</w:t>
            </w:r>
            <w:r w:rsidR="001705C4" w:rsidRPr="001705C4">
              <w:rPr>
                <w:rFonts w:ascii="Times New Roman" w:eastAsia="Times New Roman" w:hAnsi="Times New Roman" w:cs="Times New Roman"/>
                <w:sz w:val="20"/>
                <w:szCs w:val="20"/>
              </w:rPr>
              <w:t xml:space="preserve"> </w:t>
            </w:r>
            <w:r w:rsidR="001705C4">
              <w:rPr>
                <w:rFonts w:ascii="Times New Roman" w:eastAsia="Times New Roman" w:hAnsi="Times New Roman" w:cs="Times New Roman"/>
              </w:rPr>
              <w:t>r</w:t>
            </w:r>
            <w:r w:rsidR="001705C4" w:rsidRPr="001705C4">
              <w:rPr>
                <w:rFonts w:ascii="Times New Roman" w:eastAsia="Times New Roman" w:hAnsi="Times New Roman" w:cs="Times New Roman"/>
              </w:rPr>
              <w:t xml:space="preserve">eliance </w:t>
            </w:r>
            <w:r w:rsidR="001705C4">
              <w:rPr>
                <w:rFonts w:ascii="Times New Roman" w:eastAsia="Times New Roman" w:hAnsi="Times New Roman" w:cs="Times New Roman"/>
              </w:rPr>
              <w:t>h</w:t>
            </w:r>
            <w:r w:rsidR="001705C4" w:rsidRPr="001705C4">
              <w:rPr>
                <w:rFonts w:ascii="Times New Roman" w:eastAsia="Times New Roman" w:hAnsi="Times New Roman" w:cs="Times New Roman"/>
              </w:rPr>
              <w:t xml:space="preserve">unger and </w:t>
            </w:r>
            <w:r w:rsidR="001705C4">
              <w:rPr>
                <w:rFonts w:ascii="Times New Roman" w:eastAsia="Times New Roman" w:hAnsi="Times New Roman" w:cs="Times New Roman"/>
              </w:rPr>
              <w:t>s</w:t>
            </w:r>
            <w:r w:rsidR="001705C4" w:rsidRPr="001705C4">
              <w:rPr>
                <w:rFonts w:ascii="Times New Roman" w:eastAsia="Times New Roman" w:hAnsi="Times New Roman" w:cs="Times New Roman"/>
              </w:rPr>
              <w:t xml:space="preserve">atiety </w:t>
            </w:r>
            <w:r w:rsidR="001705C4">
              <w:rPr>
                <w:rFonts w:ascii="Times New Roman" w:eastAsia="Times New Roman" w:hAnsi="Times New Roman" w:cs="Times New Roman"/>
              </w:rPr>
              <w:t>c</w:t>
            </w:r>
            <w:r w:rsidR="001705C4" w:rsidRPr="001705C4">
              <w:rPr>
                <w:rFonts w:ascii="Times New Roman" w:eastAsia="Times New Roman" w:hAnsi="Times New Roman" w:cs="Times New Roman"/>
              </w:rPr>
              <w:t>ues</w:t>
            </w:r>
          </w:p>
        </w:tc>
        <w:tc>
          <w:tcPr>
            <w:tcW w:w="851" w:type="dxa"/>
            <w:tcBorders>
              <w:top w:val="nil"/>
              <w:left w:val="nil"/>
              <w:bottom w:val="single" w:sz="4" w:space="0" w:color="000000"/>
              <w:right w:val="nil"/>
            </w:tcBorders>
            <w:tcMar>
              <w:top w:w="100" w:type="dxa"/>
              <w:left w:w="100" w:type="dxa"/>
              <w:bottom w:w="100" w:type="dxa"/>
              <w:right w:w="100" w:type="dxa"/>
            </w:tcMar>
          </w:tcPr>
          <w:p w14:paraId="000004F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708" w:type="dxa"/>
            <w:tcBorders>
              <w:top w:val="nil"/>
              <w:left w:val="nil"/>
              <w:bottom w:val="single" w:sz="4" w:space="0" w:color="000000"/>
              <w:right w:val="nil"/>
            </w:tcBorders>
            <w:tcMar>
              <w:top w:w="100" w:type="dxa"/>
              <w:left w:w="100" w:type="dxa"/>
              <w:bottom w:w="100" w:type="dxa"/>
              <w:right w:w="100" w:type="dxa"/>
            </w:tcMar>
          </w:tcPr>
          <w:p w14:paraId="000004F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0.23</w:t>
            </w:r>
          </w:p>
        </w:tc>
        <w:tc>
          <w:tcPr>
            <w:tcW w:w="851" w:type="dxa"/>
            <w:tcBorders>
              <w:top w:val="nil"/>
              <w:left w:val="nil"/>
              <w:bottom w:val="single" w:sz="4" w:space="0" w:color="000000"/>
              <w:right w:val="nil"/>
            </w:tcBorders>
            <w:tcMar>
              <w:top w:w="100" w:type="dxa"/>
              <w:left w:w="100" w:type="dxa"/>
              <w:bottom w:w="100" w:type="dxa"/>
              <w:right w:w="100" w:type="dxa"/>
            </w:tcMar>
          </w:tcPr>
          <w:p w14:paraId="000004F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0.01</w:t>
            </w:r>
          </w:p>
        </w:tc>
        <w:tc>
          <w:tcPr>
            <w:tcW w:w="709" w:type="dxa"/>
            <w:tcBorders>
              <w:top w:val="nil"/>
              <w:left w:val="nil"/>
              <w:bottom w:val="single" w:sz="4" w:space="0" w:color="000000"/>
              <w:right w:val="nil"/>
            </w:tcBorders>
            <w:tcMar>
              <w:top w:w="100" w:type="dxa"/>
              <w:left w:w="100" w:type="dxa"/>
              <w:bottom w:w="100" w:type="dxa"/>
              <w:right w:w="100" w:type="dxa"/>
            </w:tcMar>
          </w:tcPr>
          <w:p w14:paraId="000004F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3.39</w:t>
            </w:r>
          </w:p>
        </w:tc>
        <w:tc>
          <w:tcPr>
            <w:tcW w:w="708" w:type="dxa"/>
            <w:tcBorders>
              <w:top w:val="nil"/>
              <w:left w:val="nil"/>
              <w:bottom w:val="single" w:sz="4" w:space="0" w:color="000000"/>
              <w:right w:val="nil"/>
            </w:tcBorders>
            <w:tcMar>
              <w:top w:w="100" w:type="dxa"/>
              <w:left w:w="100" w:type="dxa"/>
              <w:bottom w:w="100" w:type="dxa"/>
              <w:right w:w="100" w:type="dxa"/>
            </w:tcMar>
          </w:tcPr>
          <w:p w14:paraId="000004F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0.72</w:t>
            </w:r>
          </w:p>
        </w:tc>
        <w:tc>
          <w:tcPr>
            <w:tcW w:w="709" w:type="dxa"/>
            <w:tcBorders>
              <w:top w:val="nil"/>
              <w:left w:val="nil"/>
              <w:bottom w:val="single" w:sz="4" w:space="0" w:color="000000"/>
              <w:right w:val="nil"/>
            </w:tcBorders>
            <w:tcMar>
              <w:top w:w="100" w:type="dxa"/>
              <w:left w:w="100" w:type="dxa"/>
              <w:bottom w:w="100" w:type="dxa"/>
              <w:right w:w="100" w:type="dxa"/>
            </w:tcMar>
          </w:tcPr>
          <w:p w14:paraId="000004F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3.31</w:t>
            </w:r>
          </w:p>
        </w:tc>
        <w:tc>
          <w:tcPr>
            <w:tcW w:w="800" w:type="dxa"/>
            <w:tcBorders>
              <w:top w:val="nil"/>
              <w:left w:val="nil"/>
              <w:bottom w:val="single" w:sz="4" w:space="0" w:color="000000"/>
              <w:right w:val="nil"/>
            </w:tcBorders>
            <w:tcMar>
              <w:top w:w="100" w:type="dxa"/>
              <w:left w:w="100" w:type="dxa"/>
              <w:bottom w:w="100" w:type="dxa"/>
              <w:right w:w="100" w:type="dxa"/>
            </w:tcMar>
          </w:tcPr>
          <w:p w14:paraId="000004F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0.74</w:t>
            </w:r>
          </w:p>
        </w:tc>
      </w:tr>
    </w:tbl>
    <w:bookmarkEnd w:id="81"/>
    <w:p w14:paraId="000004FC"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Note</w:t>
      </w:r>
      <w:r>
        <w:rPr>
          <w:rFonts w:ascii="Times New Roman" w:eastAsia="Times New Roman" w:hAnsi="Times New Roman" w:cs="Times New Roman"/>
          <w:sz w:val="20"/>
          <w:szCs w:val="20"/>
        </w:rPr>
        <w:t>: Data for four participants are missing because responses from other genders were too few to include in the analysis.</w:t>
      </w:r>
    </w:p>
    <w:p w14:paraId="3015FE84" w14:textId="187120AE" w:rsidR="001E7D67" w:rsidRPr="006C356B" w:rsidRDefault="000530B4" w:rsidP="001E7D6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comparisons were controlled for age and gender.</w:t>
      </w:r>
    </w:p>
    <w:p w14:paraId="000004FD" w14:textId="0C83D7A6" w:rsidR="00CB4215" w:rsidRDefault="001E7D6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Data are presented as mean and SD.</w:t>
      </w:r>
    </w:p>
    <w:p w14:paraId="000004FE" w14:textId="1B1AE87C"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COEQ = Control of Eating Questionnaire (Dalton et al., 2015).</w:t>
      </w:r>
    </w:p>
    <w:p w14:paraId="000004FF" w14:textId="7DD4BCAD"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TFEQ = Three Factor Eating Questionnaire revised 18-items (Karlsson et al., 2000).</w:t>
      </w:r>
    </w:p>
    <w:p w14:paraId="00000500" w14:textId="65572A70"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AEBQ = Adult Eating Behaviour Questionnaire (</w:t>
      </w:r>
      <w:proofErr w:type="spellStart"/>
      <w:r>
        <w:rPr>
          <w:rFonts w:ascii="Times New Roman" w:eastAsia="Times New Roman" w:hAnsi="Times New Roman" w:cs="Times New Roman"/>
          <w:sz w:val="20"/>
          <w:szCs w:val="20"/>
        </w:rPr>
        <w:t>Hunot</w:t>
      </w:r>
      <w:proofErr w:type="spellEnd"/>
      <w:r>
        <w:rPr>
          <w:rFonts w:ascii="Times New Roman" w:eastAsia="Times New Roman" w:hAnsi="Times New Roman" w:cs="Times New Roman"/>
          <w:sz w:val="20"/>
          <w:szCs w:val="20"/>
        </w:rPr>
        <w:t xml:space="preserve"> et al., 2016).</w:t>
      </w:r>
    </w:p>
    <w:p w14:paraId="00000501" w14:textId="5C03F29D"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IES = Intuitive Eating Scale - 2 (</w:t>
      </w:r>
      <w:proofErr w:type="spellStart"/>
      <w:r>
        <w:rPr>
          <w:rFonts w:ascii="Times New Roman" w:eastAsia="Times New Roman" w:hAnsi="Times New Roman" w:cs="Times New Roman"/>
          <w:sz w:val="20"/>
          <w:szCs w:val="20"/>
        </w:rPr>
        <w:t>Tylka</w:t>
      </w:r>
      <w:proofErr w:type="spellEnd"/>
      <w:r>
        <w:rPr>
          <w:rFonts w:ascii="Times New Roman" w:eastAsia="Times New Roman" w:hAnsi="Times New Roman" w:cs="Times New Roman"/>
          <w:sz w:val="20"/>
          <w:szCs w:val="20"/>
        </w:rPr>
        <w:t xml:space="preserve"> et al. 2013).</w:t>
      </w:r>
    </w:p>
    <w:p w14:paraId="00000502" w14:textId="38D107B2"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 difference is in bold and highlighted.</w:t>
      </w:r>
      <w:r w:rsidR="006A4262">
        <w:rPr>
          <w:rFonts w:ascii="Times New Roman" w:eastAsia="Times New Roman" w:hAnsi="Times New Roman" w:cs="Times New Roman"/>
          <w:sz w:val="20"/>
          <w:szCs w:val="20"/>
        </w:rPr>
        <w:t xml:space="preserve"> </w:t>
      </w:r>
    </w:p>
    <w:p w14:paraId="00000503" w14:textId="77777777" w:rsidR="00CB4215" w:rsidRDefault="00CB4215">
      <w:pPr>
        <w:rPr>
          <w:rFonts w:ascii="Times New Roman" w:eastAsia="Times New Roman" w:hAnsi="Times New Roman" w:cs="Times New Roman"/>
          <w:sz w:val="20"/>
          <w:szCs w:val="20"/>
        </w:rPr>
      </w:pPr>
    </w:p>
    <w:p w14:paraId="00000504"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4.4.4 Comparison of health behaviours between early vs late eaters</w:t>
      </w:r>
    </w:p>
    <w:p w14:paraId="00000505" w14:textId="77777777" w:rsidR="00CB4215" w:rsidRDefault="00CB4215"/>
    <w:p w14:paraId="0000050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4.4 shows the health behaviours in early and late eaters. The results showed that late eaters reported a longer daily consumption window than early eaters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&lt;.001,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.21). In addition, late eaters also had later wake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&lt;.001,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.06) and sleep times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&lt;.001,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.10) than early eaters. No other significant differences were observed between early eaters and late eaters, including sleep duration, physical activity and dietary quality scores (DQS) (smallest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.08, largest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.01).</w:t>
      </w:r>
    </w:p>
    <w:p w14:paraId="00000507" w14:textId="77777777" w:rsidR="00CB4215" w:rsidRDefault="00CB4215">
      <w:pPr>
        <w:spacing w:line="240" w:lineRule="auto"/>
        <w:rPr>
          <w:rFonts w:ascii="Times New Roman" w:eastAsia="Times New Roman" w:hAnsi="Times New Roman" w:cs="Times New Roman"/>
          <w:sz w:val="24"/>
          <w:szCs w:val="24"/>
        </w:rPr>
      </w:pPr>
    </w:p>
    <w:p w14:paraId="00000508" w14:textId="77777777" w:rsidR="00CB4215" w:rsidRDefault="00CB4215">
      <w:pPr>
        <w:spacing w:line="240" w:lineRule="auto"/>
        <w:rPr>
          <w:rFonts w:ascii="Times New Roman" w:eastAsia="Times New Roman" w:hAnsi="Times New Roman" w:cs="Times New Roman"/>
          <w:sz w:val="24"/>
          <w:szCs w:val="24"/>
        </w:rPr>
      </w:pPr>
    </w:p>
    <w:p w14:paraId="00000509" w14:textId="77777777" w:rsidR="00CB4215" w:rsidRDefault="00CB4215">
      <w:pPr>
        <w:spacing w:line="240" w:lineRule="auto"/>
        <w:rPr>
          <w:rFonts w:ascii="Times New Roman" w:eastAsia="Times New Roman" w:hAnsi="Times New Roman" w:cs="Times New Roman"/>
          <w:sz w:val="24"/>
          <w:szCs w:val="24"/>
        </w:rPr>
      </w:pPr>
    </w:p>
    <w:p w14:paraId="0000050A" w14:textId="77777777" w:rsidR="00CB4215" w:rsidRDefault="00CB4215">
      <w:pPr>
        <w:spacing w:line="240" w:lineRule="auto"/>
        <w:rPr>
          <w:rFonts w:ascii="Times New Roman" w:eastAsia="Times New Roman" w:hAnsi="Times New Roman" w:cs="Times New Roman"/>
          <w:sz w:val="24"/>
          <w:szCs w:val="24"/>
        </w:rPr>
      </w:pPr>
    </w:p>
    <w:p w14:paraId="0000050B" w14:textId="77777777" w:rsidR="00CB4215" w:rsidRDefault="00CB4215">
      <w:pPr>
        <w:spacing w:line="240" w:lineRule="auto"/>
        <w:rPr>
          <w:rFonts w:ascii="Times New Roman" w:eastAsia="Times New Roman" w:hAnsi="Times New Roman" w:cs="Times New Roman"/>
          <w:sz w:val="24"/>
          <w:szCs w:val="24"/>
        </w:rPr>
      </w:pPr>
    </w:p>
    <w:p w14:paraId="0000050C" w14:textId="77777777" w:rsidR="00CB4215" w:rsidRDefault="00CB4215">
      <w:pPr>
        <w:spacing w:line="240" w:lineRule="auto"/>
        <w:rPr>
          <w:rFonts w:ascii="Times New Roman" w:eastAsia="Times New Roman" w:hAnsi="Times New Roman" w:cs="Times New Roman"/>
          <w:sz w:val="24"/>
          <w:szCs w:val="24"/>
        </w:rPr>
      </w:pPr>
    </w:p>
    <w:p w14:paraId="0000050D" w14:textId="77777777" w:rsidR="00CB4215" w:rsidRDefault="00CB4215">
      <w:pPr>
        <w:spacing w:line="240" w:lineRule="auto"/>
        <w:rPr>
          <w:rFonts w:ascii="Times New Roman" w:eastAsia="Times New Roman" w:hAnsi="Times New Roman" w:cs="Times New Roman"/>
          <w:sz w:val="24"/>
          <w:szCs w:val="24"/>
        </w:rPr>
      </w:pPr>
    </w:p>
    <w:p w14:paraId="0000050E" w14:textId="77777777" w:rsidR="00CB4215" w:rsidRDefault="00CB4215">
      <w:pPr>
        <w:spacing w:line="240" w:lineRule="auto"/>
        <w:rPr>
          <w:rFonts w:ascii="Times New Roman" w:eastAsia="Times New Roman" w:hAnsi="Times New Roman" w:cs="Times New Roman"/>
          <w:sz w:val="24"/>
          <w:szCs w:val="24"/>
        </w:rPr>
      </w:pPr>
    </w:p>
    <w:p w14:paraId="0000050F" w14:textId="77777777" w:rsidR="00CB4215" w:rsidRDefault="00CB4215">
      <w:pPr>
        <w:spacing w:line="240" w:lineRule="auto"/>
        <w:rPr>
          <w:rFonts w:ascii="Times New Roman" w:eastAsia="Times New Roman" w:hAnsi="Times New Roman" w:cs="Times New Roman"/>
          <w:sz w:val="24"/>
          <w:szCs w:val="24"/>
        </w:rPr>
      </w:pPr>
    </w:p>
    <w:p w14:paraId="00000510" w14:textId="77777777" w:rsidR="00CB4215" w:rsidRDefault="00CB4215">
      <w:pPr>
        <w:spacing w:line="240" w:lineRule="auto"/>
        <w:rPr>
          <w:rFonts w:ascii="Times New Roman" w:eastAsia="Times New Roman" w:hAnsi="Times New Roman" w:cs="Times New Roman"/>
          <w:sz w:val="24"/>
          <w:szCs w:val="24"/>
        </w:rPr>
      </w:pPr>
    </w:p>
    <w:p w14:paraId="00000511" w14:textId="77777777" w:rsidR="00CB4215" w:rsidRDefault="00CB4215">
      <w:pPr>
        <w:spacing w:line="240" w:lineRule="auto"/>
        <w:rPr>
          <w:rFonts w:ascii="Times New Roman" w:eastAsia="Times New Roman" w:hAnsi="Times New Roman" w:cs="Times New Roman"/>
          <w:sz w:val="24"/>
          <w:szCs w:val="24"/>
        </w:rPr>
      </w:pPr>
    </w:p>
    <w:p w14:paraId="00000512"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82" w:name="_heading=h.xvir7l" w:colFirst="0" w:colLast="0"/>
      <w:bookmarkEnd w:id="82"/>
      <w:r>
        <w:rPr>
          <w:rFonts w:ascii="Times New Roman" w:eastAsia="Times New Roman" w:hAnsi="Times New Roman" w:cs="Times New Roman"/>
          <w:i/>
          <w:color w:val="000000"/>
          <w:sz w:val="20"/>
          <w:szCs w:val="20"/>
        </w:rPr>
        <w:lastRenderedPageBreak/>
        <w:t xml:space="preserve">Table 4.4. </w:t>
      </w:r>
      <w:r>
        <w:rPr>
          <w:rFonts w:ascii="Times New Roman" w:eastAsia="Times New Roman" w:hAnsi="Times New Roman" w:cs="Times New Roman"/>
          <w:color w:val="000000"/>
          <w:sz w:val="20"/>
          <w:szCs w:val="20"/>
        </w:rPr>
        <w:t>Comparison of eating behaviour traits between early and late eaters.</w:t>
      </w:r>
    </w:p>
    <w:tbl>
      <w:tblPr>
        <w:tblStyle w:val="a8"/>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709"/>
        <w:gridCol w:w="992"/>
        <w:gridCol w:w="142"/>
        <w:gridCol w:w="850"/>
        <w:gridCol w:w="851"/>
        <w:gridCol w:w="708"/>
        <w:gridCol w:w="851"/>
        <w:gridCol w:w="709"/>
      </w:tblGrid>
      <w:tr w:rsidR="00CB4215" w14:paraId="71BA3497" w14:textId="77777777">
        <w:trPr>
          <w:trHeight w:val="420"/>
        </w:trPr>
        <w:tc>
          <w:tcPr>
            <w:tcW w:w="5812" w:type="dxa"/>
            <w:gridSpan w:val="5"/>
            <w:tcBorders>
              <w:top w:val="single" w:sz="4" w:space="0" w:color="000000"/>
              <w:left w:val="nil"/>
              <w:bottom w:val="nil"/>
              <w:right w:val="nil"/>
            </w:tcBorders>
            <w:tcMar>
              <w:top w:w="100" w:type="dxa"/>
              <w:left w:w="100" w:type="dxa"/>
              <w:bottom w:w="100" w:type="dxa"/>
              <w:right w:w="100" w:type="dxa"/>
            </w:tcMar>
          </w:tcPr>
          <w:p w14:paraId="00000513" w14:textId="77777777" w:rsidR="00CB4215" w:rsidRDefault="00CB4215">
            <w:pPr>
              <w:widowControl w:val="0"/>
              <w:spacing w:line="240" w:lineRule="auto"/>
              <w:rPr>
                <w:rFonts w:ascii="Times New Roman" w:eastAsia="Times New Roman" w:hAnsi="Times New Roman" w:cs="Times New Roman"/>
              </w:rPr>
            </w:pPr>
          </w:p>
        </w:tc>
        <w:tc>
          <w:tcPr>
            <w:tcW w:w="1559"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51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Early eaters</w:t>
            </w:r>
          </w:p>
          <w:p w14:paraId="0000051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(n=149)</w:t>
            </w:r>
          </w:p>
        </w:tc>
        <w:tc>
          <w:tcPr>
            <w:tcW w:w="156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51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Late eaters</w:t>
            </w:r>
          </w:p>
          <w:p w14:paraId="0000051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(n=103)</w:t>
            </w:r>
          </w:p>
        </w:tc>
      </w:tr>
      <w:tr w:rsidR="00CB4215" w14:paraId="0F806AFC" w14:textId="77777777" w:rsidTr="001705C4">
        <w:tc>
          <w:tcPr>
            <w:tcW w:w="3119" w:type="dxa"/>
            <w:tcBorders>
              <w:top w:val="nil"/>
              <w:left w:val="nil"/>
              <w:bottom w:val="single" w:sz="4" w:space="0" w:color="000000"/>
              <w:right w:val="nil"/>
            </w:tcBorders>
            <w:tcMar>
              <w:top w:w="100" w:type="dxa"/>
              <w:left w:w="100" w:type="dxa"/>
              <w:bottom w:w="100" w:type="dxa"/>
              <w:right w:w="100" w:type="dxa"/>
            </w:tcMar>
          </w:tcPr>
          <w:p w14:paraId="0000051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Dependent variable</w:t>
            </w:r>
          </w:p>
        </w:tc>
        <w:tc>
          <w:tcPr>
            <w:tcW w:w="709" w:type="dxa"/>
            <w:tcBorders>
              <w:top w:val="nil"/>
              <w:left w:val="nil"/>
              <w:bottom w:val="single" w:sz="4" w:space="0" w:color="000000"/>
              <w:right w:val="nil"/>
            </w:tcBorders>
            <w:tcMar>
              <w:top w:w="100" w:type="dxa"/>
              <w:left w:w="100" w:type="dxa"/>
              <w:bottom w:w="100" w:type="dxa"/>
              <w:right w:w="100" w:type="dxa"/>
            </w:tcMar>
          </w:tcPr>
          <w:p w14:paraId="0000051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w:t>
            </w:r>
          </w:p>
        </w:tc>
        <w:tc>
          <w:tcPr>
            <w:tcW w:w="1134" w:type="dxa"/>
            <w:gridSpan w:val="2"/>
            <w:tcBorders>
              <w:top w:val="nil"/>
              <w:left w:val="nil"/>
              <w:bottom w:val="single" w:sz="4" w:space="0" w:color="000000"/>
              <w:right w:val="nil"/>
            </w:tcBorders>
            <w:tcMar>
              <w:top w:w="100" w:type="dxa"/>
              <w:left w:w="100" w:type="dxa"/>
              <w:bottom w:w="100" w:type="dxa"/>
              <w:right w:w="100" w:type="dxa"/>
            </w:tcMar>
          </w:tcPr>
          <w:p w14:paraId="00000520" w14:textId="77777777" w:rsidR="00CB4215" w:rsidRPr="001705C4" w:rsidRDefault="000530B4">
            <w:pPr>
              <w:widowControl w:val="0"/>
              <w:spacing w:line="240" w:lineRule="auto"/>
              <w:rPr>
                <w:rFonts w:ascii="Times New Roman" w:eastAsia="Times New Roman" w:hAnsi="Times New Roman" w:cs="Times New Roman"/>
                <w:i/>
                <w:iCs/>
              </w:rPr>
            </w:pPr>
            <w:r w:rsidRPr="001705C4">
              <w:rPr>
                <w:rFonts w:ascii="Times New Roman" w:eastAsia="Times New Roman" w:hAnsi="Times New Roman" w:cs="Times New Roman"/>
                <w:i/>
                <w:iCs/>
              </w:rPr>
              <w:t>p</w:t>
            </w:r>
          </w:p>
        </w:tc>
        <w:tc>
          <w:tcPr>
            <w:tcW w:w="850" w:type="dxa"/>
            <w:tcBorders>
              <w:top w:val="nil"/>
              <w:left w:val="nil"/>
              <w:bottom w:val="single" w:sz="4" w:space="0" w:color="000000"/>
              <w:right w:val="nil"/>
            </w:tcBorders>
            <w:tcMar>
              <w:top w:w="100" w:type="dxa"/>
              <w:left w:w="100" w:type="dxa"/>
              <w:bottom w:w="100" w:type="dxa"/>
              <w:right w:w="100" w:type="dxa"/>
            </w:tcMar>
          </w:tcPr>
          <w:p w14:paraId="0000052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i/>
                <w:highlight w:val="white"/>
              </w:rPr>
              <w:t>η2</w:t>
            </w:r>
          </w:p>
        </w:tc>
        <w:tc>
          <w:tcPr>
            <w:tcW w:w="851" w:type="dxa"/>
            <w:tcBorders>
              <w:top w:val="single" w:sz="4" w:space="0" w:color="000000"/>
              <w:left w:val="nil"/>
              <w:bottom w:val="single" w:sz="4" w:space="0" w:color="000000"/>
              <w:right w:val="nil"/>
            </w:tcBorders>
            <w:tcMar>
              <w:top w:w="100" w:type="dxa"/>
              <w:left w:w="100" w:type="dxa"/>
              <w:bottom w:w="100" w:type="dxa"/>
              <w:right w:w="100" w:type="dxa"/>
            </w:tcMar>
          </w:tcPr>
          <w:p w14:paraId="0000052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708" w:type="dxa"/>
            <w:tcBorders>
              <w:top w:val="single" w:sz="4" w:space="0" w:color="000000"/>
              <w:left w:val="nil"/>
              <w:bottom w:val="single" w:sz="4" w:space="0" w:color="000000"/>
              <w:right w:val="nil"/>
            </w:tcBorders>
            <w:tcMar>
              <w:top w:w="100" w:type="dxa"/>
              <w:left w:w="100" w:type="dxa"/>
              <w:bottom w:w="100" w:type="dxa"/>
              <w:right w:w="100" w:type="dxa"/>
            </w:tcMar>
          </w:tcPr>
          <w:p w14:paraId="0000052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c>
          <w:tcPr>
            <w:tcW w:w="851" w:type="dxa"/>
            <w:tcBorders>
              <w:top w:val="single" w:sz="4" w:space="0" w:color="000000"/>
              <w:left w:val="nil"/>
              <w:bottom w:val="single" w:sz="4" w:space="0" w:color="000000"/>
              <w:right w:val="nil"/>
            </w:tcBorders>
            <w:tcMar>
              <w:top w:w="100" w:type="dxa"/>
              <w:left w:w="100" w:type="dxa"/>
              <w:bottom w:w="100" w:type="dxa"/>
              <w:right w:w="100" w:type="dxa"/>
            </w:tcMar>
          </w:tcPr>
          <w:p w14:paraId="0000052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709" w:type="dxa"/>
            <w:tcBorders>
              <w:top w:val="single" w:sz="4" w:space="0" w:color="000000"/>
              <w:left w:val="nil"/>
              <w:bottom w:val="single" w:sz="4" w:space="0" w:color="000000"/>
              <w:right w:val="nil"/>
            </w:tcBorders>
            <w:tcMar>
              <w:top w:w="100" w:type="dxa"/>
              <w:left w:w="100" w:type="dxa"/>
              <w:bottom w:w="100" w:type="dxa"/>
              <w:right w:w="100" w:type="dxa"/>
            </w:tcMar>
          </w:tcPr>
          <w:p w14:paraId="0000052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r>
      <w:tr w:rsidR="001705C4" w:rsidRPr="001705C4" w14:paraId="4C950F33" w14:textId="77777777" w:rsidTr="001705C4">
        <w:tc>
          <w:tcPr>
            <w:tcW w:w="3119"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27"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Daily consumption window (h)</w:t>
            </w:r>
          </w:p>
        </w:tc>
        <w:tc>
          <w:tcPr>
            <w:tcW w:w="709"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28"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66.82</w:t>
            </w:r>
          </w:p>
        </w:tc>
        <w:tc>
          <w:tcPr>
            <w:tcW w:w="992"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29" w14:textId="60302C6F" w:rsidR="001705C4" w:rsidRPr="001705C4" w:rsidRDefault="001705C4" w:rsidP="001705C4">
            <w:pPr>
              <w:widowControl w:val="0"/>
              <w:spacing w:line="240" w:lineRule="auto"/>
              <w:rPr>
                <w:rFonts w:ascii="Times New Roman" w:eastAsia="Times New Roman" w:hAnsi="Times New Roman" w:cs="Times New Roman"/>
                <w:b/>
                <w:bCs/>
                <w:shd w:val="clear" w:color="auto" w:fill="FF9900"/>
              </w:rPr>
            </w:pPr>
            <w:r w:rsidRPr="001705C4">
              <w:rPr>
                <w:rFonts w:ascii="Times New Roman" w:eastAsia="Times New Roman" w:hAnsi="Times New Roman" w:cs="Times New Roman"/>
                <w:b/>
                <w:bCs/>
              </w:rPr>
              <w:t>&lt;0.001</w:t>
            </w:r>
          </w:p>
        </w:tc>
        <w:tc>
          <w:tcPr>
            <w:tcW w:w="992" w:type="dxa"/>
            <w:gridSpan w:val="2"/>
            <w:tcBorders>
              <w:top w:val="single" w:sz="4" w:space="0" w:color="000000"/>
              <w:left w:val="nil"/>
              <w:bottom w:val="nil"/>
              <w:right w:val="nil"/>
            </w:tcBorders>
            <w:shd w:val="clear" w:color="auto" w:fill="FFFF00"/>
            <w:tcMar>
              <w:top w:w="100" w:type="dxa"/>
              <w:left w:w="100" w:type="dxa"/>
              <w:bottom w:w="100" w:type="dxa"/>
              <w:right w:w="100" w:type="dxa"/>
            </w:tcMar>
          </w:tcPr>
          <w:p w14:paraId="0000052A"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0.21</w:t>
            </w:r>
          </w:p>
        </w:tc>
        <w:tc>
          <w:tcPr>
            <w:tcW w:w="851"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2C"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9.73</w:t>
            </w:r>
          </w:p>
        </w:tc>
        <w:tc>
          <w:tcPr>
            <w:tcW w:w="708"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2D"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2.21</w:t>
            </w:r>
          </w:p>
        </w:tc>
        <w:tc>
          <w:tcPr>
            <w:tcW w:w="851"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2E"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12.06</w:t>
            </w:r>
          </w:p>
        </w:tc>
        <w:tc>
          <w:tcPr>
            <w:tcW w:w="709"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2F"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2.31</w:t>
            </w:r>
          </w:p>
        </w:tc>
      </w:tr>
      <w:tr w:rsidR="001705C4" w14:paraId="0D750693" w14:textId="77777777" w:rsidTr="001705C4">
        <w:tc>
          <w:tcPr>
            <w:tcW w:w="3119" w:type="dxa"/>
            <w:tcBorders>
              <w:top w:val="nil"/>
              <w:left w:val="nil"/>
              <w:bottom w:val="nil"/>
              <w:right w:val="nil"/>
            </w:tcBorders>
            <w:tcMar>
              <w:top w:w="100" w:type="dxa"/>
              <w:left w:w="100" w:type="dxa"/>
              <w:bottom w:w="100" w:type="dxa"/>
              <w:right w:w="100" w:type="dxa"/>
            </w:tcMar>
          </w:tcPr>
          <w:p w14:paraId="00000530"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Sleep duration (h)</w:t>
            </w:r>
          </w:p>
        </w:tc>
        <w:tc>
          <w:tcPr>
            <w:tcW w:w="709" w:type="dxa"/>
            <w:tcBorders>
              <w:top w:val="nil"/>
              <w:left w:val="nil"/>
              <w:bottom w:val="nil"/>
              <w:right w:val="nil"/>
            </w:tcBorders>
            <w:tcMar>
              <w:top w:w="100" w:type="dxa"/>
              <w:left w:w="100" w:type="dxa"/>
              <w:bottom w:w="100" w:type="dxa"/>
              <w:right w:w="100" w:type="dxa"/>
            </w:tcMar>
          </w:tcPr>
          <w:p w14:paraId="00000531"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0.57</w:t>
            </w:r>
          </w:p>
        </w:tc>
        <w:tc>
          <w:tcPr>
            <w:tcW w:w="992" w:type="dxa"/>
            <w:tcBorders>
              <w:top w:val="nil"/>
              <w:left w:val="nil"/>
              <w:bottom w:val="nil"/>
              <w:right w:val="nil"/>
            </w:tcBorders>
            <w:tcMar>
              <w:top w:w="100" w:type="dxa"/>
              <w:left w:w="100" w:type="dxa"/>
              <w:bottom w:w="100" w:type="dxa"/>
              <w:right w:w="100" w:type="dxa"/>
            </w:tcMar>
          </w:tcPr>
          <w:p w14:paraId="00000532"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0.45</w:t>
            </w:r>
          </w:p>
        </w:tc>
        <w:tc>
          <w:tcPr>
            <w:tcW w:w="992" w:type="dxa"/>
            <w:gridSpan w:val="2"/>
            <w:tcBorders>
              <w:top w:val="nil"/>
              <w:left w:val="nil"/>
              <w:bottom w:val="nil"/>
              <w:right w:val="nil"/>
            </w:tcBorders>
            <w:tcMar>
              <w:top w:w="100" w:type="dxa"/>
              <w:left w:w="100" w:type="dxa"/>
              <w:bottom w:w="100" w:type="dxa"/>
              <w:right w:w="100" w:type="dxa"/>
            </w:tcMar>
          </w:tcPr>
          <w:p w14:paraId="00000533"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0.002</w:t>
            </w:r>
          </w:p>
        </w:tc>
        <w:tc>
          <w:tcPr>
            <w:tcW w:w="851" w:type="dxa"/>
            <w:tcBorders>
              <w:top w:val="nil"/>
              <w:left w:val="nil"/>
              <w:bottom w:val="nil"/>
              <w:right w:val="nil"/>
            </w:tcBorders>
            <w:tcMar>
              <w:top w:w="100" w:type="dxa"/>
              <w:left w:w="100" w:type="dxa"/>
              <w:bottom w:w="100" w:type="dxa"/>
              <w:right w:w="100" w:type="dxa"/>
            </w:tcMar>
          </w:tcPr>
          <w:p w14:paraId="00000535"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6.85</w:t>
            </w:r>
          </w:p>
        </w:tc>
        <w:tc>
          <w:tcPr>
            <w:tcW w:w="708" w:type="dxa"/>
            <w:tcBorders>
              <w:top w:val="nil"/>
              <w:left w:val="nil"/>
              <w:bottom w:val="nil"/>
              <w:right w:val="nil"/>
            </w:tcBorders>
            <w:tcMar>
              <w:top w:w="100" w:type="dxa"/>
              <w:left w:w="100" w:type="dxa"/>
              <w:bottom w:w="100" w:type="dxa"/>
              <w:right w:w="100" w:type="dxa"/>
            </w:tcMar>
          </w:tcPr>
          <w:p w14:paraId="00000536"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1.05</w:t>
            </w:r>
          </w:p>
        </w:tc>
        <w:tc>
          <w:tcPr>
            <w:tcW w:w="851" w:type="dxa"/>
            <w:tcBorders>
              <w:top w:val="nil"/>
              <w:left w:val="nil"/>
              <w:bottom w:val="nil"/>
              <w:right w:val="nil"/>
            </w:tcBorders>
            <w:tcMar>
              <w:top w:w="100" w:type="dxa"/>
              <w:left w:w="100" w:type="dxa"/>
              <w:bottom w:w="100" w:type="dxa"/>
              <w:right w:w="100" w:type="dxa"/>
            </w:tcMar>
          </w:tcPr>
          <w:p w14:paraId="00000537"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7.01</w:t>
            </w:r>
          </w:p>
        </w:tc>
        <w:tc>
          <w:tcPr>
            <w:tcW w:w="709" w:type="dxa"/>
            <w:tcBorders>
              <w:top w:val="nil"/>
              <w:left w:val="nil"/>
              <w:bottom w:val="nil"/>
              <w:right w:val="nil"/>
            </w:tcBorders>
            <w:tcMar>
              <w:top w:w="100" w:type="dxa"/>
              <w:left w:w="100" w:type="dxa"/>
              <w:bottom w:w="100" w:type="dxa"/>
              <w:right w:w="100" w:type="dxa"/>
            </w:tcMar>
          </w:tcPr>
          <w:p w14:paraId="00000538"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1.13</w:t>
            </w:r>
          </w:p>
        </w:tc>
      </w:tr>
      <w:tr w:rsidR="001705C4" w:rsidRPr="001705C4" w14:paraId="5D89F038" w14:textId="77777777" w:rsidTr="001705C4">
        <w:tc>
          <w:tcPr>
            <w:tcW w:w="3119" w:type="dxa"/>
            <w:tcBorders>
              <w:top w:val="nil"/>
              <w:left w:val="nil"/>
              <w:bottom w:val="nil"/>
              <w:right w:val="nil"/>
            </w:tcBorders>
            <w:shd w:val="clear" w:color="auto" w:fill="FFFF00"/>
            <w:tcMar>
              <w:top w:w="100" w:type="dxa"/>
              <w:left w:w="100" w:type="dxa"/>
              <w:bottom w:w="100" w:type="dxa"/>
              <w:right w:w="100" w:type="dxa"/>
            </w:tcMar>
          </w:tcPr>
          <w:p w14:paraId="00000539"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Wake time (</w:t>
            </w:r>
            <w:proofErr w:type="spellStart"/>
            <w:r w:rsidRPr="001705C4">
              <w:rPr>
                <w:rFonts w:ascii="Times New Roman" w:eastAsia="Times New Roman" w:hAnsi="Times New Roman" w:cs="Times New Roman"/>
                <w:b/>
                <w:bCs/>
              </w:rPr>
              <w:t>hh</w:t>
            </w:r>
            <w:proofErr w:type="spellEnd"/>
            <w:r w:rsidRPr="001705C4">
              <w:rPr>
                <w:rFonts w:ascii="Times New Roman" w:eastAsia="Times New Roman" w:hAnsi="Times New Roman" w:cs="Times New Roman"/>
                <w:b/>
                <w:bCs/>
              </w:rPr>
              <w:t>: mm)</w:t>
            </w:r>
          </w:p>
        </w:tc>
        <w:tc>
          <w:tcPr>
            <w:tcW w:w="709" w:type="dxa"/>
            <w:tcBorders>
              <w:top w:val="nil"/>
              <w:left w:val="nil"/>
              <w:bottom w:val="nil"/>
              <w:right w:val="nil"/>
            </w:tcBorders>
            <w:shd w:val="clear" w:color="auto" w:fill="FFFF00"/>
            <w:tcMar>
              <w:top w:w="100" w:type="dxa"/>
              <w:left w:w="100" w:type="dxa"/>
              <w:bottom w:w="100" w:type="dxa"/>
              <w:right w:w="100" w:type="dxa"/>
            </w:tcMar>
          </w:tcPr>
          <w:p w14:paraId="0000053A"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15.53</w:t>
            </w:r>
          </w:p>
        </w:tc>
        <w:tc>
          <w:tcPr>
            <w:tcW w:w="992" w:type="dxa"/>
            <w:tcBorders>
              <w:top w:val="nil"/>
              <w:left w:val="nil"/>
              <w:bottom w:val="nil"/>
              <w:right w:val="nil"/>
            </w:tcBorders>
            <w:shd w:val="clear" w:color="auto" w:fill="FFFF00"/>
            <w:tcMar>
              <w:top w:w="100" w:type="dxa"/>
              <w:left w:w="100" w:type="dxa"/>
              <w:bottom w:w="100" w:type="dxa"/>
              <w:right w:w="100" w:type="dxa"/>
            </w:tcMar>
          </w:tcPr>
          <w:p w14:paraId="0000053B" w14:textId="3846C4AA" w:rsidR="001705C4" w:rsidRPr="001705C4" w:rsidRDefault="001705C4" w:rsidP="001705C4">
            <w:pPr>
              <w:widowControl w:val="0"/>
              <w:spacing w:line="240" w:lineRule="auto"/>
              <w:rPr>
                <w:rFonts w:ascii="Times New Roman" w:eastAsia="Times New Roman" w:hAnsi="Times New Roman" w:cs="Times New Roman"/>
                <w:b/>
                <w:bCs/>
                <w:shd w:val="clear" w:color="auto" w:fill="FF9900"/>
              </w:rPr>
            </w:pPr>
            <w:r w:rsidRPr="001705C4">
              <w:rPr>
                <w:rFonts w:ascii="Times New Roman" w:eastAsia="Times New Roman" w:hAnsi="Times New Roman" w:cs="Times New Roman"/>
                <w:b/>
                <w:bCs/>
              </w:rPr>
              <w:t>&lt;0.001</w:t>
            </w:r>
          </w:p>
        </w:tc>
        <w:tc>
          <w:tcPr>
            <w:tcW w:w="992" w:type="dxa"/>
            <w:gridSpan w:val="2"/>
            <w:tcBorders>
              <w:top w:val="nil"/>
              <w:left w:val="nil"/>
              <w:bottom w:val="nil"/>
              <w:right w:val="nil"/>
            </w:tcBorders>
            <w:shd w:val="clear" w:color="auto" w:fill="FFFF00"/>
            <w:tcMar>
              <w:top w:w="100" w:type="dxa"/>
              <w:left w:w="100" w:type="dxa"/>
              <w:bottom w:w="100" w:type="dxa"/>
              <w:right w:w="100" w:type="dxa"/>
            </w:tcMar>
          </w:tcPr>
          <w:p w14:paraId="0000053C"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0.06</w:t>
            </w:r>
          </w:p>
        </w:tc>
        <w:tc>
          <w:tcPr>
            <w:tcW w:w="851" w:type="dxa"/>
            <w:tcBorders>
              <w:top w:val="nil"/>
              <w:left w:val="nil"/>
              <w:bottom w:val="nil"/>
              <w:right w:val="nil"/>
            </w:tcBorders>
            <w:shd w:val="clear" w:color="auto" w:fill="FFFF00"/>
            <w:tcMar>
              <w:top w:w="100" w:type="dxa"/>
              <w:left w:w="100" w:type="dxa"/>
              <w:bottom w:w="100" w:type="dxa"/>
              <w:right w:w="100" w:type="dxa"/>
            </w:tcMar>
          </w:tcPr>
          <w:p w14:paraId="0000053E"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7:24</w:t>
            </w:r>
          </w:p>
        </w:tc>
        <w:tc>
          <w:tcPr>
            <w:tcW w:w="708" w:type="dxa"/>
            <w:tcBorders>
              <w:top w:val="nil"/>
              <w:left w:val="nil"/>
              <w:bottom w:val="nil"/>
              <w:right w:val="nil"/>
            </w:tcBorders>
            <w:shd w:val="clear" w:color="auto" w:fill="FFFF00"/>
            <w:tcMar>
              <w:top w:w="100" w:type="dxa"/>
              <w:left w:w="100" w:type="dxa"/>
              <w:bottom w:w="100" w:type="dxa"/>
              <w:right w:w="100" w:type="dxa"/>
            </w:tcMar>
          </w:tcPr>
          <w:p w14:paraId="0000053F"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1:21</w:t>
            </w:r>
          </w:p>
        </w:tc>
        <w:tc>
          <w:tcPr>
            <w:tcW w:w="851" w:type="dxa"/>
            <w:tcBorders>
              <w:top w:val="nil"/>
              <w:left w:val="nil"/>
              <w:bottom w:val="nil"/>
              <w:right w:val="nil"/>
            </w:tcBorders>
            <w:shd w:val="clear" w:color="auto" w:fill="FFFF00"/>
            <w:tcMar>
              <w:top w:w="100" w:type="dxa"/>
              <w:left w:w="100" w:type="dxa"/>
              <w:bottom w:w="100" w:type="dxa"/>
              <w:right w:w="100" w:type="dxa"/>
            </w:tcMar>
          </w:tcPr>
          <w:p w14:paraId="00000540"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8:21</w:t>
            </w:r>
          </w:p>
        </w:tc>
        <w:tc>
          <w:tcPr>
            <w:tcW w:w="709" w:type="dxa"/>
            <w:tcBorders>
              <w:top w:val="nil"/>
              <w:left w:val="nil"/>
              <w:bottom w:val="nil"/>
              <w:right w:val="nil"/>
            </w:tcBorders>
            <w:shd w:val="clear" w:color="auto" w:fill="FFFF00"/>
            <w:tcMar>
              <w:top w:w="100" w:type="dxa"/>
              <w:left w:w="100" w:type="dxa"/>
              <w:bottom w:w="100" w:type="dxa"/>
              <w:right w:w="100" w:type="dxa"/>
            </w:tcMar>
          </w:tcPr>
          <w:p w14:paraId="00000541"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2:15</w:t>
            </w:r>
          </w:p>
        </w:tc>
      </w:tr>
      <w:tr w:rsidR="001705C4" w:rsidRPr="001705C4" w14:paraId="0FD184BD" w14:textId="77777777" w:rsidTr="001705C4">
        <w:tc>
          <w:tcPr>
            <w:tcW w:w="3119" w:type="dxa"/>
            <w:tcBorders>
              <w:top w:val="nil"/>
              <w:left w:val="nil"/>
              <w:bottom w:val="nil"/>
              <w:right w:val="nil"/>
            </w:tcBorders>
            <w:shd w:val="clear" w:color="auto" w:fill="FFFF00"/>
            <w:tcMar>
              <w:top w:w="100" w:type="dxa"/>
              <w:left w:w="100" w:type="dxa"/>
              <w:bottom w:w="100" w:type="dxa"/>
              <w:right w:w="100" w:type="dxa"/>
            </w:tcMar>
          </w:tcPr>
          <w:p w14:paraId="00000542"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Sleep time (</w:t>
            </w:r>
            <w:proofErr w:type="spellStart"/>
            <w:r w:rsidRPr="001705C4">
              <w:rPr>
                <w:rFonts w:ascii="Times New Roman" w:eastAsia="Times New Roman" w:hAnsi="Times New Roman" w:cs="Times New Roman"/>
                <w:b/>
                <w:bCs/>
              </w:rPr>
              <w:t>hh</w:t>
            </w:r>
            <w:proofErr w:type="spellEnd"/>
            <w:r w:rsidRPr="001705C4">
              <w:rPr>
                <w:rFonts w:ascii="Times New Roman" w:eastAsia="Times New Roman" w:hAnsi="Times New Roman" w:cs="Times New Roman"/>
                <w:b/>
                <w:bCs/>
              </w:rPr>
              <w:t>: mm)</w:t>
            </w:r>
          </w:p>
        </w:tc>
        <w:tc>
          <w:tcPr>
            <w:tcW w:w="709" w:type="dxa"/>
            <w:tcBorders>
              <w:top w:val="nil"/>
              <w:left w:val="nil"/>
              <w:bottom w:val="nil"/>
              <w:right w:val="nil"/>
            </w:tcBorders>
            <w:shd w:val="clear" w:color="auto" w:fill="FFFF00"/>
            <w:tcMar>
              <w:top w:w="100" w:type="dxa"/>
              <w:left w:w="100" w:type="dxa"/>
              <w:bottom w:w="100" w:type="dxa"/>
              <w:right w:w="100" w:type="dxa"/>
            </w:tcMar>
          </w:tcPr>
          <w:p w14:paraId="00000543"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27.73</w:t>
            </w:r>
          </w:p>
        </w:tc>
        <w:tc>
          <w:tcPr>
            <w:tcW w:w="992" w:type="dxa"/>
            <w:tcBorders>
              <w:top w:val="nil"/>
              <w:left w:val="nil"/>
              <w:bottom w:val="nil"/>
              <w:right w:val="nil"/>
            </w:tcBorders>
            <w:shd w:val="clear" w:color="auto" w:fill="FFFF00"/>
            <w:tcMar>
              <w:top w:w="100" w:type="dxa"/>
              <w:left w:w="100" w:type="dxa"/>
              <w:bottom w:w="100" w:type="dxa"/>
              <w:right w:w="100" w:type="dxa"/>
            </w:tcMar>
          </w:tcPr>
          <w:p w14:paraId="00000544" w14:textId="0C1A65DD" w:rsidR="001705C4" w:rsidRPr="001705C4" w:rsidRDefault="001705C4" w:rsidP="001705C4">
            <w:pPr>
              <w:widowControl w:val="0"/>
              <w:spacing w:line="240" w:lineRule="auto"/>
              <w:rPr>
                <w:rFonts w:ascii="Times New Roman" w:eastAsia="Times New Roman" w:hAnsi="Times New Roman" w:cs="Times New Roman"/>
                <w:b/>
                <w:bCs/>
                <w:shd w:val="clear" w:color="auto" w:fill="FF9900"/>
              </w:rPr>
            </w:pPr>
            <w:r w:rsidRPr="001705C4">
              <w:rPr>
                <w:rFonts w:ascii="Times New Roman" w:eastAsia="Times New Roman" w:hAnsi="Times New Roman" w:cs="Times New Roman"/>
                <w:b/>
                <w:bCs/>
              </w:rPr>
              <w:t>&lt;0.001</w:t>
            </w:r>
          </w:p>
        </w:tc>
        <w:tc>
          <w:tcPr>
            <w:tcW w:w="992" w:type="dxa"/>
            <w:gridSpan w:val="2"/>
            <w:tcBorders>
              <w:top w:val="nil"/>
              <w:left w:val="nil"/>
              <w:bottom w:val="nil"/>
              <w:right w:val="nil"/>
            </w:tcBorders>
            <w:shd w:val="clear" w:color="auto" w:fill="FFFF00"/>
            <w:tcMar>
              <w:top w:w="100" w:type="dxa"/>
              <w:left w:w="100" w:type="dxa"/>
              <w:bottom w:w="100" w:type="dxa"/>
              <w:right w:w="100" w:type="dxa"/>
            </w:tcMar>
          </w:tcPr>
          <w:p w14:paraId="00000545"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0.10</w:t>
            </w:r>
          </w:p>
        </w:tc>
        <w:tc>
          <w:tcPr>
            <w:tcW w:w="851" w:type="dxa"/>
            <w:tcBorders>
              <w:top w:val="nil"/>
              <w:left w:val="nil"/>
              <w:bottom w:val="nil"/>
              <w:right w:val="nil"/>
            </w:tcBorders>
            <w:shd w:val="clear" w:color="auto" w:fill="FFFF00"/>
            <w:tcMar>
              <w:top w:w="100" w:type="dxa"/>
              <w:left w:w="100" w:type="dxa"/>
              <w:bottom w:w="100" w:type="dxa"/>
              <w:right w:w="100" w:type="dxa"/>
            </w:tcMar>
          </w:tcPr>
          <w:p w14:paraId="00000547"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23:01</w:t>
            </w:r>
          </w:p>
        </w:tc>
        <w:tc>
          <w:tcPr>
            <w:tcW w:w="708" w:type="dxa"/>
            <w:tcBorders>
              <w:top w:val="nil"/>
              <w:left w:val="nil"/>
              <w:bottom w:val="nil"/>
              <w:right w:val="nil"/>
            </w:tcBorders>
            <w:shd w:val="clear" w:color="auto" w:fill="FFFF00"/>
            <w:tcMar>
              <w:top w:w="100" w:type="dxa"/>
              <w:left w:w="100" w:type="dxa"/>
              <w:bottom w:w="100" w:type="dxa"/>
              <w:right w:w="100" w:type="dxa"/>
            </w:tcMar>
          </w:tcPr>
          <w:p w14:paraId="00000548"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1:13</w:t>
            </w:r>
          </w:p>
        </w:tc>
        <w:tc>
          <w:tcPr>
            <w:tcW w:w="851" w:type="dxa"/>
            <w:tcBorders>
              <w:top w:val="nil"/>
              <w:left w:val="nil"/>
              <w:bottom w:val="nil"/>
              <w:right w:val="nil"/>
            </w:tcBorders>
            <w:shd w:val="clear" w:color="auto" w:fill="FFFF00"/>
            <w:tcMar>
              <w:top w:w="100" w:type="dxa"/>
              <w:left w:w="100" w:type="dxa"/>
              <w:bottom w:w="100" w:type="dxa"/>
              <w:right w:w="100" w:type="dxa"/>
            </w:tcMar>
          </w:tcPr>
          <w:p w14:paraId="00000549"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23:58</w:t>
            </w:r>
          </w:p>
        </w:tc>
        <w:tc>
          <w:tcPr>
            <w:tcW w:w="709" w:type="dxa"/>
            <w:tcBorders>
              <w:top w:val="nil"/>
              <w:left w:val="nil"/>
              <w:bottom w:val="nil"/>
              <w:right w:val="nil"/>
            </w:tcBorders>
            <w:shd w:val="clear" w:color="auto" w:fill="FFFF00"/>
            <w:tcMar>
              <w:top w:w="100" w:type="dxa"/>
              <w:left w:w="100" w:type="dxa"/>
              <w:bottom w:w="100" w:type="dxa"/>
              <w:right w:w="100" w:type="dxa"/>
            </w:tcMar>
          </w:tcPr>
          <w:p w14:paraId="0000054A" w14:textId="77777777" w:rsidR="001705C4" w:rsidRPr="001705C4" w:rsidRDefault="001705C4" w:rsidP="001705C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1:47</w:t>
            </w:r>
          </w:p>
        </w:tc>
      </w:tr>
      <w:tr w:rsidR="001705C4" w14:paraId="73DE0BD1" w14:textId="77777777" w:rsidTr="001705C4">
        <w:tc>
          <w:tcPr>
            <w:tcW w:w="3119" w:type="dxa"/>
            <w:tcBorders>
              <w:top w:val="nil"/>
              <w:left w:val="nil"/>
              <w:bottom w:val="nil"/>
              <w:right w:val="nil"/>
            </w:tcBorders>
            <w:tcMar>
              <w:top w:w="100" w:type="dxa"/>
              <w:left w:w="100" w:type="dxa"/>
              <w:bottom w:w="100" w:type="dxa"/>
              <w:right w:w="100" w:type="dxa"/>
            </w:tcMar>
          </w:tcPr>
          <w:p w14:paraId="0000054B"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Physical activity</w:t>
            </w:r>
          </w:p>
        </w:tc>
        <w:tc>
          <w:tcPr>
            <w:tcW w:w="709" w:type="dxa"/>
            <w:tcBorders>
              <w:top w:val="nil"/>
              <w:left w:val="nil"/>
              <w:bottom w:val="nil"/>
              <w:right w:val="nil"/>
            </w:tcBorders>
            <w:tcMar>
              <w:top w:w="100" w:type="dxa"/>
              <w:left w:w="100" w:type="dxa"/>
              <w:bottom w:w="100" w:type="dxa"/>
              <w:right w:w="100" w:type="dxa"/>
            </w:tcMar>
          </w:tcPr>
          <w:p w14:paraId="0000054C"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0.20</w:t>
            </w:r>
          </w:p>
        </w:tc>
        <w:tc>
          <w:tcPr>
            <w:tcW w:w="992" w:type="dxa"/>
            <w:tcBorders>
              <w:top w:val="nil"/>
              <w:left w:val="nil"/>
              <w:bottom w:val="nil"/>
              <w:right w:val="nil"/>
            </w:tcBorders>
            <w:tcMar>
              <w:top w:w="100" w:type="dxa"/>
              <w:left w:w="100" w:type="dxa"/>
              <w:bottom w:w="100" w:type="dxa"/>
              <w:right w:w="100" w:type="dxa"/>
            </w:tcMar>
          </w:tcPr>
          <w:p w14:paraId="0000054D"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0.66</w:t>
            </w:r>
          </w:p>
        </w:tc>
        <w:tc>
          <w:tcPr>
            <w:tcW w:w="992" w:type="dxa"/>
            <w:gridSpan w:val="2"/>
            <w:tcBorders>
              <w:top w:val="nil"/>
              <w:left w:val="nil"/>
              <w:bottom w:val="nil"/>
              <w:right w:val="nil"/>
            </w:tcBorders>
            <w:tcMar>
              <w:top w:w="100" w:type="dxa"/>
              <w:left w:w="100" w:type="dxa"/>
              <w:bottom w:w="100" w:type="dxa"/>
              <w:right w:w="100" w:type="dxa"/>
            </w:tcMar>
          </w:tcPr>
          <w:p w14:paraId="0000054E"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0.001</w:t>
            </w:r>
          </w:p>
        </w:tc>
        <w:tc>
          <w:tcPr>
            <w:tcW w:w="851" w:type="dxa"/>
            <w:tcBorders>
              <w:top w:val="nil"/>
              <w:left w:val="nil"/>
              <w:bottom w:val="nil"/>
              <w:right w:val="nil"/>
            </w:tcBorders>
            <w:tcMar>
              <w:top w:w="100" w:type="dxa"/>
              <w:left w:w="100" w:type="dxa"/>
              <w:bottom w:w="100" w:type="dxa"/>
              <w:right w:w="100" w:type="dxa"/>
            </w:tcMar>
          </w:tcPr>
          <w:p w14:paraId="00000550"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3.00</w:t>
            </w:r>
          </w:p>
        </w:tc>
        <w:tc>
          <w:tcPr>
            <w:tcW w:w="708" w:type="dxa"/>
            <w:tcBorders>
              <w:top w:val="nil"/>
              <w:left w:val="nil"/>
              <w:bottom w:val="nil"/>
              <w:right w:val="nil"/>
            </w:tcBorders>
            <w:tcMar>
              <w:top w:w="100" w:type="dxa"/>
              <w:left w:w="100" w:type="dxa"/>
              <w:bottom w:w="100" w:type="dxa"/>
              <w:right w:w="100" w:type="dxa"/>
            </w:tcMar>
          </w:tcPr>
          <w:p w14:paraId="00000551"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2.08</w:t>
            </w:r>
          </w:p>
        </w:tc>
        <w:tc>
          <w:tcPr>
            <w:tcW w:w="851" w:type="dxa"/>
            <w:tcBorders>
              <w:top w:val="nil"/>
              <w:left w:val="nil"/>
              <w:bottom w:val="nil"/>
              <w:right w:val="nil"/>
            </w:tcBorders>
            <w:tcMar>
              <w:top w:w="100" w:type="dxa"/>
              <w:left w:w="100" w:type="dxa"/>
              <w:bottom w:w="100" w:type="dxa"/>
              <w:right w:w="100" w:type="dxa"/>
            </w:tcMar>
          </w:tcPr>
          <w:p w14:paraId="00000552"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2.84</w:t>
            </w:r>
          </w:p>
        </w:tc>
        <w:tc>
          <w:tcPr>
            <w:tcW w:w="709" w:type="dxa"/>
            <w:tcBorders>
              <w:top w:val="nil"/>
              <w:left w:val="nil"/>
              <w:bottom w:val="nil"/>
              <w:right w:val="nil"/>
            </w:tcBorders>
            <w:tcMar>
              <w:top w:w="100" w:type="dxa"/>
              <w:left w:w="100" w:type="dxa"/>
              <w:bottom w:w="100" w:type="dxa"/>
              <w:right w:w="100" w:type="dxa"/>
            </w:tcMar>
          </w:tcPr>
          <w:p w14:paraId="00000553"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2.17</w:t>
            </w:r>
          </w:p>
        </w:tc>
      </w:tr>
      <w:tr w:rsidR="001705C4" w14:paraId="287843DE" w14:textId="77777777" w:rsidTr="001705C4">
        <w:tc>
          <w:tcPr>
            <w:tcW w:w="3119" w:type="dxa"/>
            <w:tcBorders>
              <w:top w:val="nil"/>
              <w:left w:val="nil"/>
              <w:bottom w:val="single" w:sz="4" w:space="0" w:color="000000"/>
              <w:right w:val="nil"/>
            </w:tcBorders>
            <w:tcMar>
              <w:top w:w="100" w:type="dxa"/>
              <w:left w:w="100" w:type="dxa"/>
              <w:bottom w:w="100" w:type="dxa"/>
              <w:right w:w="100" w:type="dxa"/>
            </w:tcMar>
          </w:tcPr>
          <w:p w14:paraId="00000554"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Diet Quality Score</w:t>
            </w:r>
          </w:p>
        </w:tc>
        <w:tc>
          <w:tcPr>
            <w:tcW w:w="709" w:type="dxa"/>
            <w:tcBorders>
              <w:top w:val="nil"/>
              <w:left w:val="nil"/>
              <w:bottom w:val="single" w:sz="4" w:space="0" w:color="000000"/>
              <w:right w:val="nil"/>
            </w:tcBorders>
            <w:tcMar>
              <w:top w:w="100" w:type="dxa"/>
              <w:left w:w="100" w:type="dxa"/>
              <w:bottom w:w="100" w:type="dxa"/>
              <w:right w:w="100" w:type="dxa"/>
            </w:tcMar>
          </w:tcPr>
          <w:p w14:paraId="00000555"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3.16</w:t>
            </w:r>
          </w:p>
        </w:tc>
        <w:tc>
          <w:tcPr>
            <w:tcW w:w="992" w:type="dxa"/>
            <w:tcBorders>
              <w:top w:val="nil"/>
              <w:left w:val="nil"/>
              <w:bottom w:val="single" w:sz="4" w:space="0" w:color="000000"/>
              <w:right w:val="nil"/>
            </w:tcBorders>
            <w:tcMar>
              <w:top w:w="100" w:type="dxa"/>
              <w:left w:w="100" w:type="dxa"/>
              <w:bottom w:w="100" w:type="dxa"/>
              <w:right w:w="100" w:type="dxa"/>
            </w:tcMar>
          </w:tcPr>
          <w:p w14:paraId="00000556"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992" w:type="dxa"/>
            <w:gridSpan w:val="2"/>
            <w:tcBorders>
              <w:top w:val="nil"/>
              <w:left w:val="nil"/>
              <w:bottom w:val="single" w:sz="4" w:space="0" w:color="000000"/>
              <w:right w:val="nil"/>
            </w:tcBorders>
            <w:tcMar>
              <w:top w:w="100" w:type="dxa"/>
              <w:left w:w="100" w:type="dxa"/>
              <w:bottom w:w="100" w:type="dxa"/>
              <w:right w:w="100" w:type="dxa"/>
            </w:tcMar>
          </w:tcPr>
          <w:p w14:paraId="00000557"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0.01</w:t>
            </w:r>
          </w:p>
        </w:tc>
        <w:tc>
          <w:tcPr>
            <w:tcW w:w="851" w:type="dxa"/>
            <w:tcBorders>
              <w:top w:val="nil"/>
              <w:left w:val="nil"/>
              <w:bottom w:val="single" w:sz="4" w:space="0" w:color="000000"/>
              <w:right w:val="nil"/>
            </w:tcBorders>
            <w:tcMar>
              <w:top w:w="100" w:type="dxa"/>
              <w:left w:w="100" w:type="dxa"/>
              <w:bottom w:w="100" w:type="dxa"/>
              <w:right w:w="100" w:type="dxa"/>
            </w:tcMar>
          </w:tcPr>
          <w:p w14:paraId="00000559"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10.12</w:t>
            </w:r>
          </w:p>
        </w:tc>
        <w:tc>
          <w:tcPr>
            <w:tcW w:w="708" w:type="dxa"/>
            <w:tcBorders>
              <w:top w:val="nil"/>
              <w:left w:val="nil"/>
              <w:bottom w:val="single" w:sz="4" w:space="0" w:color="000000"/>
              <w:right w:val="nil"/>
            </w:tcBorders>
            <w:tcMar>
              <w:top w:w="100" w:type="dxa"/>
              <w:left w:w="100" w:type="dxa"/>
              <w:bottom w:w="100" w:type="dxa"/>
              <w:right w:w="100" w:type="dxa"/>
            </w:tcMar>
          </w:tcPr>
          <w:p w14:paraId="0000055A"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1.80</w:t>
            </w:r>
          </w:p>
        </w:tc>
        <w:tc>
          <w:tcPr>
            <w:tcW w:w="851" w:type="dxa"/>
            <w:tcBorders>
              <w:top w:val="nil"/>
              <w:left w:val="nil"/>
              <w:bottom w:val="single" w:sz="4" w:space="0" w:color="000000"/>
              <w:right w:val="nil"/>
            </w:tcBorders>
            <w:tcMar>
              <w:top w:w="100" w:type="dxa"/>
              <w:left w:w="100" w:type="dxa"/>
              <w:bottom w:w="100" w:type="dxa"/>
              <w:right w:w="100" w:type="dxa"/>
            </w:tcMar>
          </w:tcPr>
          <w:p w14:paraId="0000055B"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9.68</w:t>
            </w:r>
          </w:p>
        </w:tc>
        <w:tc>
          <w:tcPr>
            <w:tcW w:w="709" w:type="dxa"/>
            <w:tcBorders>
              <w:top w:val="nil"/>
              <w:left w:val="nil"/>
              <w:bottom w:val="single" w:sz="4" w:space="0" w:color="000000"/>
              <w:right w:val="nil"/>
            </w:tcBorders>
            <w:tcMar>
              <w:top w:w="100" w:type="dxa"/>
              <w:left w:w="100" w:type="dxa"/>
              <w:bottom w:w="100" w:type="dxa"/>
              <w:right w:w="100" w:type="dxa"/>
            </w:tcMar>
          </w:tcPr>
          <w:p w14:paraId="0000055C" w14:textId="77777777" w:rsidR="001705C4" w:rsidRDefault="001705C4" w:rsidP="001705C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1.91</w:t>
            </w:r>
          </w:p>
        </w:tc>
      </w:tr>
    </w:tbl>
    <w:p w14:paraId="0000055D" w14:textId="7B00122F" w:rsidR="00CB4215" w:rsidRPr="00D03B56"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i/>
          <w:sz w:val="20"/>
          <w:szCs w:val="20"/>
        </w:rPr>
        <w:t>Note</w:t>
      </w:r>
      <w:r w:rsidRPr="00D03B56">
        <w:rPr>
          <w:rFonts w:ascii="Times New Roman" w:eastAsia="Times New Roman" w:hAnsi="Times New Roman" w:cs="Times New Roman"/>
          <w:sz w:val="20"/>
          <w:szCs w:val="20"/>
        </w:rPr>
        <w:t>: Data for four participants are missing because responses from other genders were too few to include in the analysis.</w:t>
      </w:r>
    </w:p>
    <w:p w14:paraId="4CC68012" w14:textId="1E7D3959" w:rsidR="00FF11D8" w:rsidRPr="00D03B56" w:rsidRDefault="00FF11D8">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rPr>
        <w:t xml:space="preserve">All comparisons were controlled for age and gender. </w:t>
      </w:r>
    </w:p>
    <w:p w14:paraId="450DC600" w14:textId="2999D56C" w:rsidR="001E7D67" w:rsidRPr="00D03B56" w:rsidRDefault="001E7D67">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rPr>
        <w:t>Data are presented as mean and SD.</w:t>
      </w:r>
    </w:p>
    <w:p w14:paraId="0000055E" w14:textId="022F5B8C" w:rsidR="00CB4215" w:rsidRPr="00D03B56"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rPr>
        <w:t>DQS = Dietary Quality Score (Cleghorn et al. 2016).</w:t>
      </w:r>
    </w:p>
    <w:p w14:paraId="0000055F" w14:textId="77777777" w:rsidR="00CB4215"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rPr>
        <w:t>Significant differences are in bold and highlighted.</w:t>
      </w:r>
    </w:p>
    <w:p w14:paraId="00000560" w14:textId="77777777" w:rsidR="00CB4215" w:rsidRDefault="00CB4215">
      <w:pPr>
        <w:spacing w:line="240" w:lineRule="auto"/>
        <w:rPr>
          <w:rFonts w:ascii="Times New Roman" w:eastAsia="Times New Roman" w:hAnsi="Times New Roman" w:cs="Times New Roman"/>
          <w:sz w:val="20"/>
          <w:szCs w:val="20"/>
        </w:rPr>
      </w:pPr>
    </w:p>
    <w:p w14:paraId="00000561"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4.4.5 Comparison of eating behaviour traits between higher and lower meal chaotic eating groups</w:t>
      </w:r>
    </w:p>
    <w:p w14:paraId="00000562" w14:textId="77777777" w:rsidR="00CB4215" w:rsidRDefault="00CB4215"/>
    <w:p w14:paraId="00000563" w14:textId="2B06C793"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Hierarchical cluster analysis categorised participants into three types of meal chaotic eaters. Specifically, the low meal chaotic eaters were those with a meal chaotic index between 0.17 and 1.67 (n = 157). Participants whose meal chaotic index was calculated between 2 and 3.67 were the medium meal chaotic eaters (n = 67). The meal chaotic index ranging between 4 and 6 was classified as the high meal chaotic eater (n = 29). Table 4.5 shows the comparison of the eating behaviour traits in meal chaotic groups. Results showed that satiety responsiveness significantly differed between low and high meal chaotic eaters, with higher scores in low meal chaotic eaters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sidR="00C954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.02,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.09). In addition, reliance hunger and satiety cue (RHSC) were significantly different in the three groups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.02,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.03). Specifically, participants with a lower chaotic meal index reported higher reliance hunger and satiety cue (RHSC) scores. Of note, cognitive restraint, uncontrolled eating, emotional eating and craving control did not significantly differ between the three groups (smallest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.06, largest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.02).</w:t>
      </w:r>
    </w:p>
    <w:p w14:paraId="00000565" w14:textId="77777777" w:rsidR="00CB4215" w:rsidRDefault="00CB4215">
      <w:pPr>
        <w:spacing w:line="240" w:lineRule="auto"/>
        <w:rPr>
          <w:rFonts w:ascii="Times New Roman" w:eastAsia="Times New Roman" w:hAnsi="Times New Roman" w:cs="Times New Roman"/>
          <w:b/>
        </w:rPr>
      </w:pPr>
    </w:p>
    <w:p w14:paraId="00000566"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i/>
          <w:color w:val="000000"/>
          <w:sz w:val="20"/>
          <w:szCs w:val="20"/>
        </w:rPr>
      </w:pPr>
      <w:bookmarkStart w:id="83" w:name="_heading=h.3hv69ve" w:colFirst="0" w:colLast="0"/>
      <w:bookmarkEnd w:id="83"/>
      <w:r>
        <w:rPr>
          <w:rFonts w:ascii="Times New Roman" w:eastAsia="Times New Roman" w:hAnsi="Times New Roman" w:cs="Times New Roman"/>
          <w:i/>
          <w:color w:val="000000"/>
          <w:sz w:val="20"/>
          <w:szCs w:val="20"/>
        </w:rPr>
        <w:lastRenderedPageBreak/>
        <w:t xml:space="preserve">Table 4.5. </w:t>
      </w:r>
      <w:r>
        <w:rPr>
          <w:rFonts w:ascii="Times New Roman" w:eastAsia="Times New Roman" w:hAnsi="Times New Roman" w:cs="Times New Roman"/>
          <w:color w:val="000000"/>
          <w:sz w:val="20"/>
          <w:szCs w:val="20"/>
        </w:rPr>
        <w:t>Comparison of eating behaviour traits in meal chaotic eating groups</w:t>
      </w:r>
      <w:r>
        <w:rPr>
          <w:rFonts w:ascii="Times New Roman" w:eastAsia="Times New Roman" w:hAnsi="Times New Roman" w:cs="Times New Roman"/>
          <w:i/>
          <w:color w:val="000000"/>
          <w:sz w:val="20"/>
          <w:szCs w:val="20"/>
        </w:rPr>
        <w:t>.</w:t>
      </w:r>
    </w:p>
    <w:tbl>
      <w:tblPr>
        <w:tblStyle w:val="a9"/>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708"/>
        <w:gridCol w:w="709"/>
        <w:gridCol w:w="709"/>
        <w:gridCol w:w="709"/>
        <w:gridCol w:w="850"/>
        <w:gridCol w:w="851"/>
        <w:gridCol w:w="708"/>
        <w:gridCol w:w="851"/>
        <w:gridCol w:w="709"/>
      </w:tblGrid>
      <w:tr w:rsidR="00CB4215" w14:paraId="28D067B4" w14:textId="77777777" w:rsidTr="001705C4">
        <w:trPr>
          <w:trHeight w:val="420"/>
        </w:trPr>
        <w:tc>
          <w:tcPr>
            <w:tcW w:w="4253" w:type="dxa"/>
            <w:gridSpan w:val="4"/>
            <w:tcBorders>
              <w:top w:val="single" w:sz="4" w:space="0" w:color="000000"/>
              <w:left w:val="nil"/>
              <w:bottom w:val="nil"/>
              <w:right w:val="nil"/>
            </w:tcBorders>
            <w:tcMar>
              <w:top w:w="100" w:type="dxa"/>
              <w:left w:w="100" w:type="dxa"/>
              <w:bottom w:w="100" w:type="dxa"/>
              <w:right w:w="100" w:type="dxa"/>
            </w:tcMar>
          </w:tcPr>
          <w:p w14:paraId="00000567" w14:textId="77777777" w:rsidR="00CB4215" w:rsidRDefault="00CB4215">
            <w:pPr>
              <w:widowControl w:val="0"/>
              <w:spacing w:line="240" w:lineRule="auto"/>
              <w:rPr>
                <w:rFonts w:ascii="Times New Roman" w:eastAsia="Times New Roman" w:hAnsi="Times New Roman" w:cs="Times New Roman"/>
              </w:rPr>
            </w:pPr>
          </w:p>
        </w:tc>
        <w:tc>
          <w:tcPr>
            <w:tcW w:w="1559"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56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Low meal </w:t>
            </w:r>
          </w:p>
          <w:p w14:paraId="0000056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chaotic eaters</w:t>
            </w:r>
          </w:p>
          <w:p w14:paraId="0000056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(0.17-1.67)</w:t>
            </w:r>
          </w:p>
          <w:p w14:paraId="0000056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(n=157)</w:t>
            </w:r>
          </w:p>
        </w:tc>
        <w:tc>
          <w:tcPr>
            <w:tcW w:w="1559"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57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Medium meal chaotic eaters</w:t>
            </w:r>
          </w:p>
          <w:p w14:paraId="0000057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(2.00-3.67)</w:t>
            </w:r>
          </w:p>
          <w:p w14:paraId="0000057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(n=67)</w:t>
            </w:r>
          </w:p>
        </w:tc>
        <w:tc>
          <w:tcPr>
            <w:tcW w:w="156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57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High meal chaotic eaters</w:t>
            </w:r>
          </w:p>
          <w:p w14:paraId="0000057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(4.00-6.00)</w:t>
            </w:r>
          </w:p>
          <w:p w14:paraId="0000057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(n=29)</w:t>
            </w:r>
          </w:p>
        </w:tc>
      </w:tr>
      <w:tr w:rsidR="00CB4215" w14:paraId="5E2725E0" w14:textId="77777777" w:rsidTr="001705C4">
        <w:tc>
          <w:tcPr>
            <w:tcW w:w="2127" w:type="dxa"/>
            <w:tcBorders>
              <w:top w:val="nil"/>
              <w:left w:val="nil"/>
              <w:bottom w:val="single" w:sz="4" w:space="0" w:color="000000"/>
              <w:right w:val="nil"/>
            </w:tcBorders>
            <w:tcMar>
              <w:top w:w="100" w:type="dxa"/>
              <w:left w:w="100" w:type="dxa"/>
              <w:bottom w:w="100" w:type="dxa"/>
              <w:right w:w="100" w:type="dxa"/>
            </w:tcMar>
          </w:tcPr>
          <w:p w14:paraId="0000057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Dependent variable</w:t>
            </w:r>
          </w:p>
        </w:tc>
        <w:tc>
          <w:tcPr>
            <w:tcW w:w="708" w:type="dxa"/>
            <w:tcBorders>
              <w:top w:val="nil"/>
              <w:left w:val="nil"/>
              <w:bottom w:val="single" w:sz="4" w:space="0" w:color="000000"/>
              <w:right w:val="nil"/>
            </w:tcBorders>
            <w:tcMar>
              <w:top w:w="100" w:type="dxa"/>
              <w:left w:w="100" w:type="dxa"/>
              <w:bottom w:w="100" w:type="dxa"/>
              <w:right w:w="100" w:type="dxa"/>
            </w:tcMar>
          </w:tcPr>
          <w:p w14:paraId="0000057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w:t>
            </w:r>
          </w:p>
        </w:tc>
        <w:tc>
          <w:tcPr>
            <w:tcW w:w="709" w:type="dxa"/>
            <w:tcBorders>
              <w:top w:val="nil"/>
              <w:left w:val="nil"/>
              <w:bottom w:val="single" w:sz="4" w:space="0" w:color="000000"/>
              <w:right w:val="nil"/>
            </w:tcBorders>
            <w:tcMar>
              <w:top w:w="100" w:type="dxa"/>
              <w:left w:w="100" w:type="dxa"/>
              <w:bottom w:w="100" w:type="dxa"/>
              <w:right w:w="100" w:type="dxa"/>
            </w:tcMar>
          </w:tcPr>
          <w:p w14:paraId="0000057A" w14:textId="77777777" w:rsidR="00CB4215" w:rsidRPr="001705C4" w:rsidRDefault="000530B4">
            <w:pPr>
              <w:widowControl w:val="0"/>
              <w:spacing w:line="240" w:lineRule="auto"/>
              <w:rPr>
                <w:rFonts w:ascii="Times New Roman" w:eastAsia="Times New Roman" w:hAnsi="Times New Roman" w:cs="Times New Roman"/>
                <w:i/>
                <w:iCs/>
              </w:rPr>
            </w:pPr>
            <w:r w:rsidRPr="001705C4">
              <w:rPr>
                <w:rFonts w:ascii="Times New Roman" w:eastAsia="Times New Roman" w:hAnsi="Times New Roman" w:cs="Times New Roman"/>
                <w:i/>
                <w:iCs/>
              </w:rPr>
              <w:t>p</w:t>
            </w:r>
          </w:p>
        </w:tc>
        <w:tc>
          <w:tcPr>
            <w:tcW w:w="709" w:type="dxa"/>
            <w:tcBorders>
              <w:top w:val="nil"/>
              <w:left w:val="nil"/>
              <w:bottom w:val="single" w:sz="4" w:space="0" w:color="000000"/>
              <w:right w:val="nil"/>
            </w:tcBorders>
            <w:tcMar>
              <w:top w:w="100" w:type="dxa"/>
              <w:left w:w="100" w:type="dxa"/>
              <w:bottom w:w="100" w:type="dxa"/>
              <w:right w:w="100" w:type="dxa"/>
            </w:tcMar>
          </w:tcPr>
          <w:p w14:paraId="0000057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i/>
                <w:highlight w:val="white"/>
              </w:rPr>
              <w:t>η2</w:t>
            </w:r>
          </w:p>
        </w:tc>
        <w:tc>
          <w:tcPr>
            <w:tcW w:w="709" w:type="dxa"/>
            <w:tcBorders>
              <w:top w:val="single" w:sz="4" w:space="0" w:color="000000"/>
              <w:left w:val="nil"/>
              <w:bottom w:val="single" w:sz="4" w:space="0" w:color="000000"/>
              <w:right w:val="nil"/>
            </w:tcBorders>
            <w:tcMar>
              <w:top w:w="100" w:type="dxa"/>
              <w:left w:w="100" w:type="dxa"/>
              <w:bottom w:w="100" w:type="dxa"/>
              <w:right w:w="100" w:type="dxa"/>
            </w:tcMar>
          </w:tcPr>
          <w:p w14:paraId="0000057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850" w:type="dxa"/>
            <w:tcBorders>
              <w:top w:val="single" w:sz="4" w:space="0" w:color="000000"/>
              <w:left w:val="nil"/>
              <w:bottom w:val="single" w:sz="4" w:space="0" w:color="000000"/>
              <w:right w:val="nil"/>
            </w:tcBorders>
            <w:tcMar>
              <w:top w:w="100" w:type="dxa"/>
              <w:left w:w="100" w:type="dxa"/>
              <w:bottom w:w="100" w:type="dxa"/>
              <w:right w:w="100" w:type="dxa"/>
            </w:tcMar>
          </w:tcPr>
          <w:p w14:paraId="0000057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c>
          <w:tcPr>
            <w:tcW w:w="851" w:type="dxa"/>
            <w:tcBorders>
              <w:top w:val="single" w:sz="4" w:space="0" w:color="000000"/>
              <w:left w:val="nil"/>
              <w:bottom w:val="single" w:sz="4" w:space="0" w:color="000000"/>
              <w:right w:val="nil"/>
            </w:tcBorders>
            <w:tcMar>
              <w:top w:w="100" w:type="dxa"/>
              <w:left w:w="100" w:type="dxa"/>
              <w:bottom w:w="100" w:type="dxa"/>
              <w:right w:w="100" w:type="dxa"/>
            </w:tcMar>
          </w:tcPr>
          <w:p w14:paraId="0000057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708" w:type="dxa"/>
            <w:tcBorders>
              <w:top w:val="single" w:sz="4" w:space="0" w:color="000000"/>
              <w:left w:val="nil"/>
              <w:bottom w:val="single" w:sz="4" w:space="0" w:color="000000"/>
              <w:right w:val="nil"/>
            </w:tcBorders>
            <w:tcMar>
              <w:top w:w="100" w:type="dxa"/>
              <w:left w:w="100" w:type="dxa"/>
              <w:bottom w:w="100" w:type="dxa"/>
              <w:right w:w="100" w:type="dxa"/>
            </w:tcMar>
          </w:tcPr>
          <w:p w14:paraId="0000057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c>
          <w:tcPr>
            <w:tcW w:w="851" w:type="dxa"/>
            <w:tcBorders>
              <w:top w:val="single" w:sz="4" w:space="0" w:color="000000"/>
              <w:left w:val="nil"/>
              <w:bottom w:val="single" w:sz="4" w:space="0" w:color="000000"/>
              <w:right w:val="nil"/>
            </w:tcBorders>
            <w:tcMar>
              <w:top w:w="100" w:type="dxa"/>
              <w:left w:w="100" w:type="dxa"/>
              <w:bottom w:w="100" w:type="dxa"/>
              <w:right w:w="100" w:type="dxa"/>
            </w:tcMar>
          </w:tcPr>
          <w:p w14:paraId="0000058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709" w:type="dxa"/>
            <w:tcBorders>
              <w:top w:val="single" w:sz="4" w:space="0" w:color="000000"/>
              <w:left w:val="nil"/>
              <w:bottom w:val="single" w:sz="4" w:space="0" w:color="000000"/>
              <w:right w:val="nil"/>
            </w:tcBorders>
            <w:tcMar>
              <w:top w:w="100" w:type="dxa"/>
              <w:left w:w="100" w:type="dxa"/>
              <w:bottom w:w="100" w:type="dxa"/>
              <w:right w:w="100" w:type="dxa"/>
            </w:tcMar>
          </w:tcPr>
          <w:p w14:paraId="0000058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r>
      <w:tr w:rsidR="00CB4215" w14:paraId="1EE4F924" w14:textId="77777777" w:rsidTr="001705C4">
        <w:trPr>
          <w:trHeight w:val="83"/>
        </w:trPr>
        <w:tc>
          <w:tcPr>
            <w:tcW w:w="2127" w:type="dxa"/>
            <w:tcBorders>
              <w:top w:val="single" w:sz="4" w:space="0" w:color="000000"/>
              <w:left w:val="nil"/>
              <w:bottom w:val="nil"/>
              <w:right w:val="nil"/>
            </w:tcBorders>
            <w:tcMar>
              <w:top w:w="100" w:type="dxa"/>
              <w:left w:w="100" w:type="dxa"/>
              <w:bottom w:w="100" w:type="dxa"/>
              <w:right w:w="100" w:type="dxa"/>
            </w:tcMar>
          </w:tcPr>
          <w:p w14:paraId="00000582" w14:textId="1C4D8674"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w:t>
            </w:r>
            <w:r w:rsidR="004C48C1">
              <w:rPr>
                <w:rFonts w:ascii="Times New Roman" w:eastAsia="Times New Roman" w:hAnsi="Times New Roman" w:cs="Times New Roman"/>
              </w:rPr>
              <w:t>O</w:t>
            </w:r>
            <w:r>
              <w:rPr>
                <w:rFonts w:ascii="Times New Roman" w:eastAsia="Times New Roman" w:hAnsi="Times New Roman" w:cs="Times New Roman"/>
              </w:rPr>
              <w:t>EQ-CC</w:t>
            </w:r>
          </w:p>
        </w:tc>
        <w:tc>
          <w:tcPr>
            <w:tcW w:w="708" w:type="dxa"/>
            <w:tcBorders>
              <w:top w:val="single" w:sz="4" w:space="0" w:color="000000"/>
              <w:left w:val="nil"/>
              <w:bottom w:val="nil"/>
              <w:right w:val="nil"/>
            </w:tcBorders>
            <w:tcMar>
              <w:top w:w="100" w:type="dxa"/>
              <w:left w:w="100" w:type="dxa"/>
              <w:bottom w:w="100" w:type="dxa"/>
              <w:right w:w="100" w:type="dxa"/>
            </w:tcMar>
          </w:tcPr>
          <w:p w14:paraId="0000058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1.68</w:t>
            </w:r>
          </w:p>
        </w:tc>
        <w:tc>
          <w:tcPr>
            <w:tcW w:w="709" w:type="dxa"/>
            <w:tcBorders>
              <w:top w:val="single" w:sz="4" w:space="0" w:color="000000"/>
              <w:left w:val="nil"/>
              <w:bottom w:val="nil"/>
              <w:right w:val="nil"/>
            </w:tcBorders>
            <w:tcMar>
              <w:top w:w="100" w:type="dxa"/>
              <w:left w:w="100" w:type="dxa"/>
              <w:bottom w:w="100" w:type="dxa"/>
              <w:right w:w="100" w:type="dxa"/>
            </w:tcMar>
          </w:tcPr>
          <w:p w14:paraId="0000058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0.19</w:t>
            </w:r>
          </w:p>
        </w:tc>
        <w:tc>
          <w:tcPr>
            <w:tcW w:w="709" w:type="dxa"/>
            <w:tcBorders>
              <w:top w:val="single" w:sz="4" w:space="0" w:color="000000"/>
              <w:left w:val="nil"/>
              <w:bottom w:val="nil"/>
              <w:right w:val="nil"/>
            </w:tcBorders>
            <w:tcMar>
              <w:top w:w="100" w:type="dxa"/>
              <w:left w:w="100" w:type="dxa"/>
              <w:bottom w:w="100" w:type="dxa"/>
              <w:right w:w="100" w:type="dxa"/>
            </w:tcMar>
          </w:tcPr>
          <w:p w14:paraId="0000058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0.01</w:t>
            </w:r>
          </w:p>
        </w:tc>
        <w:tc>
          <w:tcPr>
            <w:tcW w:w="709" w:type="dxa"/>
            <w:tcBorders>
              <w:top w:val="single" w:sz="4" w:space="0" w:color="000000"/>
              <w:left w:val="nil"/>
              <w:bottom w:val="nil"/>
              <w:right w:val="nil"/>
            </w:tcBorders>
            <w:tcMar>
              <w:top w:w="100" w:type="dxa"/>
              <w:left w:w="100" w:type="dxa"/>
              <w:bottom w:w="100" w:type="dxa"/>
              <w:right w:w="100" w:type="dxa"/>
            </w:tcMar>
          </w:tcPr>
          <w:p w14:paraId="0000058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53.04</w:t>
            </w:r>
          </w:p>
        </w:tc>
        <w:tc>
          <w:tcPr>
            <w:tcW w:w="850" w:type="dxa"/>
            <w:tcBorders>
              <w:top w:val="single" w:sz="4" w:space="0" w:color="000000"/>
              <w:left w:val="nil"/>
              <w:bottom w:val="nil"/>
              <w:right w:val="nil"/>
            </w:tcBorders>
            <w:tcMar>
              <w:top w:w="100" w:type="dxa"/>
              <w:left w:w="100" w:type="dxa"/>
              <w:bottom w:w="100" w:type="dxa"/>
              <w:right w:w="100" w:type="dxa"/>
            </w:tcMar>
          </w:tcPr>
          <w:p w14:paraId="0000058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23.28</w:t>
            </w:r>
          </w:p>
        </w:tc>
        <w:tc>
          <w:tcPr>
            <w:tcW w:w="851" w:type="dxa"/>
            <w:tcBorders>
              <w:top w:val="single" w:sz="4" w:space="0" w:color="000000"/>
              <w:left w:val="nil"/>
              <w:bottom w:val="nil"/>
              <w:right w:val="nil"/>
            </w:tcBorders>
            <w:tcMar>
              <w:top w:w="100" w:type="dxa"/>
              <w:left w:w="100" w:type="dxa"/>
              <w:bottom w:w="100" w:type="dxa"/>
              <w:right w:w="100" w:type="dxa"/>
            </w:tcMar>
          </w:tcPr>
          <w:p w14:paraId="0000058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58.84</w:t>
            </w:r>
          </w:p>
        </w:tc>
        <w:tc>
          <w:tcPr>
            <w:tcW w:w="708" w:type="dxa"/>
            <w:tcBorders>
              <w:top w:val="single" w:sz="4" w:space="0" w:color="000000"/>
              <w:left w:val="nil"/>
              <w:bottom w:val="nil"/>
              <w:right w:val="nil"/>
            </w:tcBorders>
            <w:tcMar>
              <w:top w:w="100" w:type="dxa"/>
              <w:left w:w="100" w:type="dxa"/>
              <w:bottom w:w="100" w:type="dxa"/>
              <w:right w:w="100" w:type="dxa"/>
            </w:tcMar>
          </w:tcPr>
          <w:p w14:paraId="0000058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24.34</w:t>
            </w:r>
          </w:p>
        </w:tc>
        <w:tc>
          <w:tcPr>
            <w:tcW w:w="851" w:type="dxa"/>
            <w:tcBorders>
              <w:top w:val="single" w:sz="4" w:space="0" w:color="000000"/>
              <w:left w:val="nil"/>
              <w:bottom w:val="nil"/>
              <w:right w:val="nil"/>
            </w:tcBorders>
            <w:tcMar>
              <w:top w:w="100" w:type="dxa"/>
              <w:left w:w="100" w:type="dxa"/>
              <w:bottom w:w="100" w:type="dxa"/>
              <w:right w:w="100" w:type="dxa"/>
            </w:tcMar>
          </w:tcPr>
          <w:p w14:paraId="0000058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51.88</w:t>
            </w:r>
          </w:p>
        </w:tc>
        <w:tc>
          <w:tcPr>
            <w:tcW w:w="709" w:type="dxa"/>
            <w:tcBorders>
              <w:top w:val="single" w:sz="4" w:space="0" w:color="000000"/>
              <w:left w:val="nil"/>
              <w:bottom w:val="nil"/>
              <w:right w:val="nil"/>
            </w:tcBorders>
            <w:tcMar>
              <w:top w:w="100" w:type="dxa"/>
              <w:left w:w="100" w:type="dxa"/>
              <w:bottom w:w="100" w:type="dxa"/>
              <w:right w:w="100" w:type="dxa"/>
            </w:tcMar>
          </w:tcPr>
          <w:p w14:paraId="0000058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26.10</w:t>
            </w:r>
          </w:p>
        </w:tc>
      </w:tr>
      <w:tr w:rsidR="00CB4215" w14:paraId="513689BB" w14:textId="77777777" w:rsidTr="001705C4">
        <w:tc>
          <w:tcPr>
            <w:tcW w:w="2127" w:type="dxa"/>
            <w:tcBorders>
              <w:top w:val="nil"/>
              <w:left w:val="nil"/>
              <w:bottom w:val="nil"/>
              <w:right w:val="nil"/>
            </w:tcBorders>
            <w:tcMar>
              <w:top w:w="100" w:type="dxa"/>
              <w:left w:w="100" w:type="dxa"/>
              <w:bottom w:w="100" w:type="dxa"/>
              <w:right w:w="100" w:type="dxa"/>
            </w:tcMar>
          </w:tcPr>
          <w:p w14:paraId="0000058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TFEQ-UE</w:t>
            </w:r>
          </w:p>
        </w:tc>
        <w:tc>
          <w:tcPr>
            <w:tcW w:w="708" w:type="dxa"/>
            <w:tcBorders>
              <w:top w:val="nil"/>
              <w:left w:val="nil"/>
              <w:bottom w:val="nil"/>
              <w:right w:val="nil"/>
            </w:tcBorders>
            <w:tcMar>
              <w:top w:w="100" w:type="dxa"/>
              <w:left w:w="100" w:type="dxa"/>
              <w:bottom w:w="100" w:type="dxa"/>
              <w:right w:w="100" w:type="dxa"/>
            </w:tcMar>
          </w:tcPr>
          <w:p w14:paraId="0000058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0.42</w:t>
            </w:r>
          </w:p>
        </w:tc>
        <w:tc>
          <w:tcPr>
            <w:tcW w:w="709" w:type="dxa"/>
            <w:tcBorders>
              <w:top w:val="nil"/>
              <w:left w:val="nil"/>
              <w:bottom w:val="nil"/>
              <w:right w:val="nil"/>
            </w:tcBorders>
            <w:tcMar>
              <w:top w:w="100" w:type="dxa"/>
              <w:left w:w="100" w:type="dxa"/>
              <w:bottom w:w="100" w:type="dxa"/>
              <w:right w:w="100" w:type="dxa"/>
            </w:tcMar>
          </w:tcPr>
          <w:p w14:paraId="0000058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0.66</w:t>
            </w:r>
          </w:p>
        </w:tc>
        <w:tc>
          <w:tcPr>
            <w:tcW w:w="709" w:type="dxa"/>
            <w:tcBorders>
              <w:top w:val="nil"/>
              <w:left w:val="nil"/>
              <w:bottom w:val="nil"/>
              <w:right w:val="nil"/>
            </w:tcBorders>
            <w:tcMar>
              <w:top w:w="100" w:type="dxa"/>
              <w:left w:w="100" w:type="dxa"/>
              <w:bottom w:w="100" w:type="dxa"/>
              <w:right w:w="100" w:type="dxa"/>
            </w:tcMar>
          </w:tcPr>
          <w:p w14:paraId="0000058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0.003</w:t>
            </w:r>
          </w:p>
        </w:tc>
        <w:tc>
          <w:tcPr>
            <w:tcW w:w="709" w:type="dxa"/>
            <w:tcBorders>
              <w:top w:val="nil"/>
              <w:left w:val="nil"/>
              <w:bottom w:val="nil"/>
              <w:right w:val="nil"/>
            </w:tcBorders>
            <w:tcMar>
              <w:top w:w="100" w:type="dxa"/>
              <w:left w:w="100" w:type="dxa"/>
              <w:bottom w:w="100" w:type="dxa"/>
              <w:right w:w="100" w:type="dxa"/>
            </w:tcMar>
          </w:tcPr>
          <w:p w14:paraId="0000059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2.18</w:t>
            </w:r>
          </w:p>
        </w:tc>
        <w:tc>
          <w:tcPr>
            <w:tcW w:w="850" w:type="dxa"/>
            <w:tcBorders>
              <w:top w:val="nil"/>
              <w:left w:val="nil"/>
              <w:bottom w:val="nil"/>
              <w:right w:val="nil"/>
            </w:tcBorders>
            <w:tcMar>
              <w:top w:w="100" w:type="dxa"/>
              <w:left w:w="100" w:type="dxa"/>
              <w:bottom w:w="100" w:type="dxa"/>
              <w:right w:w="100" w:type="dxa"/>
            </w:tcMar>
          </w:tcPr>
          <w:p w14:paraId="0000059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0.57</w:t>
            </w:r>
          </w:p>
        </w:tc>
        <w:tc>
          <w:tcPr>
            <w:tcW w:w="851" w:type="dxa"/>
            <w:tcBorders>
              <w:top w:val="nil"/>
              <w:left w:val="nil"/>
              <w:bottom w:val="nil"/>
              <w:right w:val="nil"/>
            </w:tcBorders>
            <w:tcMar>
              <w:top w:w="100" w:type="dxa"/>
              <w:left w:w="100" w:type="dxa"/>
              <w:bottom w:w="100" w:type="dxa"/>
              <w:right w:w="100" w:type="dxa"/>
            </w:tcMar>
          </w:tcPr>
          <w:p w14:paraId="0000059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2.12</w:t>
            </w:r>
          </w:p>
        </w:tc>
        <w:tc>
          <w:tcPr>
            <w:tcW w:w="708" w:type="dxa"/>
            <w:tcBorders>
              <w:top w:val="nil"/>
              <w:left w:val="nil"/>
              <w:bottom w:val="nil"/>
              <w:right w:val="nil"/>
            </w:tcBorders>
            <w:tcMar>
              <w:top w:w="100" w:type="dxa"/>
              <w:left w:w="100" w:type="dxa"/>
              <w:bottom w:w="100" w:type="dxa"/>
              <w:right w:w="100" w:type="dxa"/>
            </w:tcMar>
          </w:tcPr>
          <w:p w14:paraId="0000059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0.59</w:t>
            </w:r>
          </w:p>
        </w:tc>
        <w:tc>
          <w:tcPr>
            <w:tcW w:w="851" w:type="dxa"/>
            <w:tcBorders>
              <w:top w:val="nil"/>
              <w:left w:val="nil"/>
              <w:bottom w:val="nil"/>
              <w:right w:val="nil"/>
            </w:tcBorders>
            <w:tcMar>
              <w:top w:w="100" w:type="dxa"/>
              <w:left w:w="100" w:type="dxa"/>
              <w:bottom w:w="100" w:type="dxa"/>
              <w:right w:w="100" w:type="dxa"/>
            </w:tcMar>
          </w:tcPr>
          <w:p w14:paraId="0000059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2.22</w:t>
            </w:r>
          </w:p>
        </w:tc>
        <w:tc>
          <w:tcPr>
            <w:tcW w:w="709" w:type="dxa"/>
            <w:tcBorders>
              <w:top w:val="nil"/>
              <w:left w:val="nil"/>
              <w:bottom w:val="nil"/>
              <w:right w:val="nil"/>
            </w:tcBorders>
            <w:tcMar>
              <w:top w:w="100" w:type="dxa"/>
              <w:left w:w="100" w:type="dxa"/>
              <w:bottom w:w="100" w:type="dxa"/>
              <w:right w:w="100" w:type="dxa"/>
            </w:tcMar>
          </w:tcPr>
          <w:p w14:paraId="0000059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0.63</w:t>
            </w:r>
          </w:p>
        </w:tc>
      </w:tr>
      <w:tr w:rsidR="00CB4215" w14:paraId="344EB8DB" w14:textId="77777777" w:rsidTr="001705C4">
        <w:tc>
          <w:tcPr>
            <w:tcW w:w="2127" w:type="dxa"/>
            <w:tcBorders>
              <w:top w:val="nil"/>
              <w:left w:val="nil"/>
              <w:bottom w:val="nil"/>
              <w:right w:val="nil"/>
            </w:tcBorders>
            <w:tcMar>
              <w:top w:w="100" w:type="dxa"/>
              <w:left w:w="100" w:type="dxa"/>
              <w:bottom w:w="100" w:type="dxa"/>
              <w:right w:w="100" w:type="dxa"/>
            </w:tcMar>
          </w:tcPr>
          <w:p w14:paraId="0000059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TFEQ-EE</w:t>
            </w:r>
          </w:p>
        </w:tc>
        <w:tc>
          <w:tcPr>
            <w:tcW w:w="708" w:type="dxa"/>
            <w:tcBorders>
              <w:top w:val="nil"/>
              <w:left w:val="nil"/>
              <w:bottom w:val="nil"/>
              <w:right w:val="nil"/>
            </w:tcBorders>
            <w:tcMar>
              <w:top w:w="100" w:type="dxa"/>
              <w:left w:w="100" w:type="dxa"/>
              <w:bottom w:w="100" w:type="dxa"/>
              <w:right w:w="100" w:type="dxa"/>
            </w:tcMar>
          </w:tcPr>
          <w:p w14:paraId="0000059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2.83</w:t>
            </w:r>
          </w:p>
        </w:tc>
        <w:tc>
          <w:tcPr>
            <w:tcW w:w="709" w:type="dxa"/>
            <w:tcBorders>
              <w:top w:val="nil"/>
              <w:left w:val="nil"/>
              <w:bottom w:val="nil"/>
              <w:right w:val="nil"/>
            </w:tcBorders>
            <w:tcMar>
              <w:top w:w="100" w:type="dxa"/>
              <w:left w:w="100" w:type="dxa"/>
              <w:bottom w:w="100" w:type="dxa"/>
              <w:right w:w="100" w:type="dxa"/>
            </w:tcMar>
          </w:tcPr>
          <w:p w14:paraId="0000059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0.06</w:t>
            </w:r>
          </w:p>
        </w:tc>
        <w:tc>
          <w:tcPr>
            <w:tcW w:w="709" w:type="dxa"/>
            <w:tcBorders>
              <w:top w:val="nil"/>
              <w:left w:val="nil"/>
              <w:bottom w:val="nil"/>
              <w:right w:val="nil"/>
            </w:tcBorders>
            <w:tcMar>
              <w:top w:w="100" w:type="dxa"/>
              <w:left w:w="100" w:type="dxa"/>
              <w:bottom w:w="100" w:type="dxa"/>
              <w:right w:w="100" w:type="dxa"/>
            </w:tcMar>
          </w:tcPr>
          <w:p w14:paraId="0000059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709" w:type="dxa"/>
            <w:tcBorders>
              <w:top w:val="nil"/>
              <w:left w:val="nil"/>
              <w:bottom w:val="nil"/>
              <w:right w:val="nil"/>
            </w:tcBorders>
            <w:tcMar>
              <w:top w:w="100" w:type="dxa"/>
              <w:left w:w="100" w:type="dxa"/>
              <w:bottom w:w="100" w:type="dxa"/>
              <w:right w:w="100" w:type="dxa"/>
            </w:tcMar>
          </w:tcPr>
          <w:p w14:paraId="0000059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2.28</w:t>
            </w:r>
          </w:p>
        </w:tc>
        <w:tc>
          <w:tcPr>
            <w:tcW w:w="850" w:type="dxa"/>
            <w:tcBorders>
              <w:top w:val="nil"/>
              <w:left w:val="nil"/>
              <w:bottom w:val="nil"/>
              <w:right w:val="nil"/>
            </w:tcBorders>
            <w:tcMar>
              <w:top w:w="100" w:type="dxa"/>
              <w:left w:w="100" w:type="dxa"/>
              <w:bottom w:w="100" w:type="dxa"/>
              <w:right w:w="100" w:type="dxa"/>
            </w:tcMar>
          </w:tcPr>
          <w:p w14:paraId="0000059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0.84</w:t>
            </w:r>
          </w:p>
        </w:tc>
        <w:tc>
          <w:tcPr>
            <w:tcW w:w="851" w:type="dxa"/>
            <w:tcBorders>
              <w:top w:val="nil"/>
              <w:left w:val="nil"/>
              <w:bottom w:val="nil"/>
              <w:right w:val="nil"/>
            </w:tcBorders>
            <w:tcMar>
              <w:top w:w="100" w:type="dxa"/>
              <w:left w:w="100" w:type="dxa"/>
              <w:bottom w:w="100" w:type="dxa"/>
              <w:right w:w="100" w:type="dxa"/>
            </w:tcMar>
          </w:tcPr>
          <w:p w14:paraId="0000059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2.35</w:t>
            </w:r>
          </w:p>
        </w:tc>
        <w:tc>
          <w:tcPr>
            <w:tcW w:w="708" w:type="dxa"/>
            <w:tcBorders>
              <w:top w:val="nil"/>
              <w:left w:val="nil"/>
              <w:bottom w:val="nil"/>
              <w:right w:val="nil"/>
            </w:tcBorders>
            <w:tcMar>
              <w:top w:w="100" w:type="dxa"/>
              <w:left w:w="100" w:type="dxa"/>
              <w:bottom w:w="100" w:type="dxa"/>
              <w:right w:w="100" w:type="dxa"/>
            </w:tcMar>
          </w:tcPr>
          <w:p w14:paraId="0000059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0.90</w:t>
            </w:r>
          </w:p>
        </w:tc>
        <w:tc>
          <w:tcPr>
            <w:tcW w:w="851" w:type="dxa"/>
            <w:tcBorders>
              <w:top w:val="nil"/>
              <w:left w:val="nil"/>
              <w:bottom w:val="nil"/>
              <w:right w:val="nil"/>
            </w:tcBorders>
            <w:tcMar>
              <w:top w:w="100" w:type="dxa"/>
              <w:left w:w="100" w:type="dxa"/>
              <w:bottom w:w="100" w:type="dxa"/>
              <w:right w:w="100" w:type="dxa"/>
            </w:tcMar>
          </w:tcPr>
          <w:p w14:paraId="0000059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2.63</w:t>
            </w:r>
          </w:p>
        </w:tc>
        <w:tc>
          <w:tcPr>
            <w:tcW w:w="709" w:type="dxa"/>
            <w:tcBorders>
              <w:top w:val="nil"/>
              <w:left w:val="nil"/>
              <w:bottom w:val="nil"/>
              <w:right w:val="nil"/>
            </w:tcBorders>
            <w:tcMar>
              <w:top w:w="100" w:type="dxa"/>
              <w:left w:w="100" w:type="dxa"/>
              <w:bottom w:w="100" w:type="dxa"/>
              <w:right w:w="100" w:type="dxa"/>
            </w:tcMar>
          </w:tcPr>
          <w:p w14:paraId="0000059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0.92</w:t>
            </w:r>
          </w:p>
        </w:tc>
      </w:tr>
      <w:tr w:rsidR="00CB4215" w14:paraId="4B166EF1" w14:textId="77777777" w:rsidTr="001705C4">
        <w:tc>
          <w:tcPr>
            <w:tcW w:w="2127" w:type="dxa"/>
            <w:tcBorders>
              <w:top w:val="nil"/>
              <w:left w:val="nil"/>
              <w:bottom w:val="nil"/>
              <w:right w:val="nil"/>
            </w:tcBorders>
            <w:tcMar>
              <w:top w:w="100" w:type="dxa"/>
              <w:left w:w="100" w:type="dxa"/>
              <w:bottom w:w="100" w:type="dxa"/>
              <w:right w:w="100" w:type="dxa"/>
            </w:tcMar>
          </w:tcPr>
          <w:p w14:paraId="000005A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TFEQ-CR</w:t>
            </w:r>
          </w:p>
        </w:tc>
        <w:tc>
          <w:tcPr>
            <w:tcW w:w="708" w:type="dxa"/>
            <w:tcBorders>
              <w:top w:val="nil"/>
              <w:left w:val="nil"/>
              <w:bottom w:val="nil"/>
              <w:right w:val="nil"/>
            </w:tcBorders>
            <w:tcMar>
              <w:top w:w="100" w:type="dxa"/>
              <w:left w:w="100" w:type="dxa"/>
              <w:bottom w:w="100" w:type="dxa"/>
              <w:right w:w="100" w:type="dxa"/>
            </w:tcMar>
          </w:tcPr>
          <w:p w14:paraId="000005A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709" w:type="dxa"/>
            <w:tcBorders>
              <w:top w:val="nil"/>
              <w:left w:val="nil"/>
              <w:bottom w:val="nil"/>
              <w:right w:val="nil"/>
            </w:tcBorders>
            <w:tcMar>
              <w:top w:w="100" w:type="dxa"/>
              <w:left w:w="100" w:type="dxa"/>
              <w:bottom w:w="100" w:type="dxa"/>
              <w:right w:w="100" w:type="dxa"/>
            </w:tcMar>
          </w:tcPr>
          <w:p w14:paraId="000005A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0.93</w:t>
            </w:r>
          </w:p>
        </w:tc>
        <w:tc>
          <w:tcPr>
            <w:tcW w:w="709" w:type="dxa"/>
            <w:tcBorders>
              <w:top w:val="nil"/>
              <w:left w:val="nil"/>
              <w:bottom w:val="nil"/>
              <w:right w:val="nil"/>
            </w:tcBorders>
            <w:tcMar>
              <w:top w:w="100" w:type="dxa"/>
              <w:left w:w="100" w:type="dxa"/>
              <w:bottom w:w="100" w:type="dxa"/>
              <w:right w:w="100" w:type="dxa"/>
            </w:tcMar>
          </w:tcPr>
          <w:p w14:paraId="000005A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0.001</w:t>
            </w:r>
          </w:p>
        </w:tc>
        <w:tc>
          <w:tcPr>
            <w:tcW w:w="709" w:type="dxa"/>
            <w:tcBorders>
              <w:top w:val="nil"/>
              <w:left w:val="nil"/>
              <w:bottom w:val="nil"/>
              <w:right w:val="nil"/>
            </w:tcBorders>
            <w:tcMar>
              <w:top w:w="100" w:type="dxa"/>
              <w:left w:w="100" w:type="dxa"/>
              <w:bottom w:w="100" w:type="dxa"/>
              <w:right w:w="100" w:type="dxa"/>
            </w:tcMar>
          </w:tcPr>
          <w:p w14:paraId="000005A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2.17</w:t>
            </w:r>
          </w:p>
        </w:tc>
        <w:tc>
          <w:tcPr>
            <w:tcW w:w="850" w:type="dxa"/>
            <w:tcBorders>
              <w:top w:val="nil"/>
              <w:left w:val="nil"/>
              <w:bottom w:val="nil"/>
              <w:right w:val="nil"/>
            </w:tcBorders>
            <w:tcMar>
              <w:top w:w="100" w:type="dxa"/>
              <w:left w:w="100" w:type="dxa"/>
              <w:bottom w:w="100" w:type="dxa"/>
              <w:right w:w="100" w:type="dxa"/>
            </w:tcMar>
          </w:tcPr>
          <w:p w14:paraId="000005A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0.50</w:t>
            </w:r>
          </w:p>
        </w:tc>
        <w:tc>
          <w:tcPr>
            <w:tcW w:w="851" w:type="dxa"/>
            <w:tcBorders>
              <w:top w:val="nil"/>
              <w:left w:val="nil"/>
              <w:bottom w:val="nil"/>
              <w:right w:val="nil"/>
            </w:tcBorders>
            <w:tcMar>
              <w:top w:w="100" w:type="dxa"/>
              <w:left w:w="100" w:type="dxa"/>
              <w:bottom w:w="100" w:type="dxa"/>
              <w:right w:w="100" w:type="dxa"/>
            </w:tcMar>
          </w:tcPr>
          <w:p w14:paraId="000005A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2.14</w:t>
            </w:r>
          </w:p>
        </w:tc>
        <w:tc>
          <w:tcPr>
            <w:tcW w:w="708" w:type="dxa"/>
            <w:tcBorders>
              <w:top w:val="nil"/>
              <w:left w:val="nil"/>
              <w:bottom w:val="nil"/>
              <w:right w:val="nil"/>
            </w:tcBorders>
            <w:tcMar>
              <w:top w:w="100" w:type="dxa"/>
              <w:left w:w="100" w:type="dxa"/>
              <w:bottom w:w="100" w:type="dxa"/>
              <w:right w:w="100" w:type="dxa"/>
            </w:tcMar>
          </w:tcPr>
          <w:p w14:paraId="000005A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0.54</w:t>
            </w:r>
          </w:p>
        </w:tc>
        <w:tc>
          <w:tcPr>
            <w:tcW w:w="851" w:type="dxa"/>
            <w:tcBorders>
              <w:top w:val="nil"/>
              <w:left w:val="nil"/>
              <w:bottom w:val="nil"/>
              <w:right w:val="nil"/>
            </w:tcBorders>
            <w:tcMar>
              <w:top w:w="100" w:type="dxa"/>
              <w:left w:w="100" w:type="dxa"/>
              <w:bottom w:w="100" w:type="dxa"/>
              <w:right w:w="100" w:type="dxa"/>
            </w:tcMar>
          </w:tcPr>
          <w:p w14:paraId="000005A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2.13</w:t>
            </w:r>
          </w:p>
        </w:tc>
        <w:tc>
          <w:tcPr>
            <w:tcW w:w="709" w:type="dxa"/>
            <w:tcBorders>
              <w:top w:val="nil"/>
              <w:left w:val="nil"/>
              <w:bottom w:val="nil"/>
              <w:right w:val="nil"/>
            </w:tcBorders>
            <w:tcMar>
              <w:top w:w="100" w:type="dxa"/>
              <w:left w:w="100" w:type="dxa"/>
              <w:bottom w:w="100" w:type="dxa"/>
              <w:right w:w="100" w:type="dxa"/>
            </w:tcMar>
          </w:tcPr>
          <w:p w14:paraId="000005A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0.63</w:t>
            </w:r>
          </w:p>
        </w:tc>
      </w:tr>
      <w:tr w:rsidR="00CB4215" w:rsidRPr="001705C4" w14:paraId="36AAF509" w14:textId="77777777" w:rsidTr="001705C4">
        <w:tc>
          <w:tcPr>
            <w:tcW w:w="2127" w:type="dxa"/>
            <w:tcBorders>
              <w:top w:val="nil"/>
              <w:left w:val="nil"/>
              <w:bottom w:val="nil"/>
              <w:right w:val="nil"/>
            </w:tcBorders>
            <w:shd w:val="clear" w:color="auto" w:fill="FFFF00"/>
            <w:tcMar>
              <w:top w:w="100" w:type="dxa"/>
              <w:left w:w="100" w:type="dxa"/>
              <w:bottom w:w="100" w:type="dxa"/>
              <w:right w:w="100" w:type="dxa"/>
            </w:tcMar>
          </w:tcPr>
          <w:p w14:paraId="000005AA"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AEBQ-SR</w:t>
            </w:r>
          </w:p>
        </w:tc>
        <w:tc>
          <w:tcPr>
            <w:tcW w:w="708" w:type="dxa"/>
            <w:tcBorders>
              <w:top w:val="nil"/>
              <w:left w:val="nil"/>
              <w:bottom w:val="nil"/>
              <w:right w:val="nil"/>
            </w:tcBorders>
            <w:shd w:val="clear" w:color="auto" w:fill="FFFF00"/>
            <w:tcMar>
              <w:top w:w="100" w:type="dxa"/>
              <w:left w:w="100" w:type="dxa"/>
              <w:bottom w:w="100" w:type="dxa"/>
              <w:right w:w="100" w:type="dxa"/>
            </w:tcMar>
          </w:tcPr>
          <w:p w14:paraId="000005AB"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4.09</w:t>
            </w:r>
          </w:p>
        </w:tc>
        <w:tc>
          <w:tcPr>
            <w:tcW w:w="709" w:type="dxa"/>
            <w:tcBorders>
              <w:top w:val="nil"/>
              <w:left w:val="nil"/>
              <w:bottom w:val="nil"/>
              <w:right w:val="nil"/>
            </w:tcBorders>
            <w:shd w:val="clear" w:color="auto" w:fill="FFFF00"/>
            <w:tcMar>
              <w:top w:w="100" w:type="dxa"/>
              <w:left w:w="100" w:type="dxa"/>
              <w:bottom w:w="100" w:type="dxa"/>
              <w:right w:w="100" w:type="dxa"/>
            </w:tcMar>
          </w:tcPr>
          <w:p w14:paraId="000005AC" w14:textId="37CE5051" w:rsidR="00CB4215" w:rsidRPr="001705C4" w:rsidRDefault="001705C4">
            <w:pPr>
              <w:widowControl w:val="0"/>
              <w:spacing w:line="240" w:lineRule="auto"/>
              <w:rPr>
                <w:rFonts w:ascii="Times New Roman" w:eastAsia="Times New Roman" w:hAnsi="Times New Roman" w:cs="Times New Roman"/>
                <w:b/>
                <w:bCs/>
                <w:shd w:val="clear" w:color="auto" w:fill="FF9900"/>
              </w:rPr>
            </w:pPr>
            <w:r w:rsidRPr="001705C4">
              <w:rPr>
                <w:rFonts w:ascii="Times New Roman" w:eastAsia="Times New Roman" w:hAnsi="Times New Roman" w:cs="Times New Roman"/>
                <w:b/>
                <w:bCs/>
              </w:rPr>
              <w:t>0.02</w:t>
            </w:r>
          </w:p>
        </w:tc>
        <w:tc>
          <w:tcPr>
            <w:tcW w:w="709" w:type="dxa"/>
            <w:tcBorders>
              <w:top w:val="nil"/>
              <w:left w:val="nil"/>
              <w:bottom w:val="nil"/>
              <w:right w:val="nil"/>
            </w:tcBorders>
            <w:shd w:val="clear" w:color="auto" w:fill="FFFF00"/>
            <w:tcMar>
              <w:top w:w="100" w:type="dxa"/>
              <w:left w:w="100" w:type="dxa"/>
              <w:bottom w:w="100" w:type="dxa"/>
              <w:right w:w="100" w:type="dxa"/>
            </w:tcMar>
          </w:tcPr>
          <w:p w14:paraId="000005AD"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0.09</w:t>
            </w:r>
          </w:p>
        </w:tc>
        <w:tc>
          <w:tcPr>
            <w:tcW w:w="709" w:type="dxa"/>
            <w:tcBorders>
              <w:top w:val="nil"/>
              <w:left w:val="nil"/>
              <w:bottom w:val="nil"/>
              <w:right w:val="nil"/>
            </w:tcBorders>
            <w:shd w:val="clear" w:color="auto" w:fill="FFFF00"/>
            <w:tcMar>
              <w:top w:w="100" w:type="dxa"/>
              <w:left w:w="100" w:type="dxa"/>
              <w:bottom w:w="100" w:type="dxa"/>
              <w:right w:w="100" w:type="dxa"/>
            </w:tcMar>
          </w:tcPr>
          <w:p w14:paraId="000005AE"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2.40</w:t>
            </w:r>
          </w:p>
        </w:tc>
        <w:tc>
          <w:tcPr>
            <w:tcW w:w="850" w:type="dxa"/>
            <w:tcBorders>
              <w:top w:val="nil"/>
              <w:left w:val="nil"/>
              <w:bottom w:val="nil"/>
              <w:right w:val="nil"/>
            </w:tcBorders>
            <w:shd w:val="clear" w:color="auto" w:fill="FFFF00"/>
            <w:tcMar>
              <w:top w:w="100" w:type="dxa"/>
              <w:left w:w="100" w:type="dxa"/>
              <w:bottom w:w="100" w:type="dxa"/>
              <w:right w:w="100" w:type="dxa"/>
            </w:tcMar>
          </w:tcPr>
          <w:p w14:paraId="000005AF"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0.82</w:t>
            </w:r>
          </w:p>
        </w:tc>
        <w:tc>
          <w:tcPr>
            <w:tcW w:w="851" w:type="dxa"/>
            <w:tcBorders>
              <w:top w:val="nil"/>
              <w:left w:val="nil"/>
              <w:bottom w:val="nil"/>
              <w:right w:val="nil"/>
            </w:tcBorders>
            <w:shd w:val="clear" w:color="auto" w:fill="FFFF00"/>
            <w:tcMar>
              <w:top w:w="100" w:type="dxa"/>
              <w:left w:w="100" w:type="dxa"/>
              <w:bottom w:w="100" w:type="dxa"/>
              <w:right w:w="100" w:type="dxa"/>
            </w:tcMar>
          </w:tcPr>
          <w:p w14:paraId="000005B0"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2.30</w:t>
            </w:r>
          </w:p>
        </w:tc>
        <w:tc>
          <w:tcPr>
            <w:tcW w:w="708" w:type="dxa"/>
            <w:tcBorders>
              <w:top w:val="nil"/>
              <w:left w:val="nil"/>
              <w:bottom w:val="nil"/>
              <w:right w:val="nil"/>
            </w:tcBorders>
            <w:shd w:val="clear" w:color="auto" w:fill="FFFF00"/>
            <w:tcMar>
              <w:top w:w="100" w:type="dxa"/>
              <w:left w:w="100" w:type="dxa"/>
              <w:bottom w:w="100" w:type="dxa"/>
              <w:right w:w="100" w:type="dxa"/>
            </w:tcMar>
          </w:tcPr>
          <w:p w14:paraId="000005B1"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0.93</w:t>
            </w:r>
          </w:p>
        </w:tc>
        <w:tc>
          <w:tcPr>
            <w:tcW w:w="851" w:type="dxa"/>
            <w:tcBorders>
              <w:top w:val="nil"/>
              <w:left w:val="nil"/>
              <w:bottom w:val="nil"/>
              <w:right w:val="nil"/>
            </w:tcBorders>
            <w:shd w:val="clear" w:color="auto" w:fill="FFFF00"/>
            <w:tcMar>
              <w:top w:w="100" w:type="dxa"/>
              <w:left w:w="100" w:type="dxa"/>
              <w:bottom w:w="100" w:type="dxa"/>
              <w:right w:w="100" w:type="dxa"/>
            </w:tcMar>
          </w:tcPr>
          <w:p w14:paraId="000005B2" w14:textId="77777777" w:rsidR="00CB4215" w:rsidRPr="001705C4" w:rsidRDefault="000530B4">
            <w:pPr>
              <w:widowControl w:val="0"/>
              <w:spacing w:line="240" w:lineRule="auto"/>
              <w:rPr>
                <w:rFonts w:ascii="Times New Roman" w:eastAsia="Times New Roman" w:hAnsi="Times New Roman" w:cs="Times New Roman"/>
                <w:b/>
                <w:bCs/>
                <w:vertAlign w:val="superscript"/>
              </w:rPr>
            </w:pPr>
            <w:r w:rsidRPr="001705C4">
              <w:rPr>
                <w:rFonts w:ascii="Times New Roman" w:eastAsia="Times New Roman" w:hAnsi="Times New Roman" w:cs="Times New Roman"/>
                <w:b/>
                <w:bCs/>
              </w:rPr>
              <w:t>1.95</w:t>
            </w:r>
            <w:r w:rsidRPr="001705C4">
              <w:rPr>
                <w:rFonts w:ascii="Times New Roman" w:eastAsia="Times New Roman" w:hAnsi="Times New Roman" w:cs="Times New Roman"/>
                <w:b/>
                <w:bCs/>
                <w:vertAlign w:val="superscript"/>
              </w:rPr>
              <w:t>a</w:t>
            </w:r>
          </w:p>
        </w:tc>
        <w:tc>
          <w:tcPr>
            <w:tcW w:w="709" w:type="dxa"/>
            <w:tcBorders>
              <w:top w:val="nil"/>
              <w:left w:val="nil"/>
              <w:bottom w:val="nil"/>
              <w:right w:val="nil"/>
            </w:tcBorders>
            <w:shd w:val="clear" w:color="auto" w:fill="FFFF00"/>
            <w:tcMar>
              <w:top w:w="100" w:type="dxa"/>
              <w:left w:w="100" w:type="dxa"/>
              <w:bottom w:w="100" w:type="dxa"/>
              <w:right w:w="100" w:type="dxa"/>
            </w:tcMar>
          </w:tcPr>
          <w:p w14:paraId="000005B3"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0.65</w:t>
            </w:r>
          </w:p>
        </w:tc>
      </w:tr>
      <w:tr w:rsidR="00CB4215" w:rsidRPr="001705C4" w14:paraId="578719CF" w14:textId="77777777" w:rsidTr="001705C4">
        <w:trPr>
          <w:trHeight w:val="24"/>
        </w:trPr>
        <w:tc>
          <w:tcPr>
            <w:tcW w:w="2127" w:type="dxa"/>
            <w:tcBorders>
              <w:top w:val="nil"/>
              <w:left w:val="nil"/>
              <w:bottom w:val="single" w:sz="4" w:space="0" w:color="000000"/>
              <w:right w:val="nil"/>
            </w:tcBorders>
            <w:shd w:val="clear" w:color="auto" w:fill="FFFF00"/>
            <w:tcMar>
              <w:top w:w="100" w:type="dxa"/>
              <w:left w:w="100" w:type="dxa"/>
              <w:bottom w:w="100" w:type="dxa"/>
              <w:right w:w="100" w:type="dxa"/>
            </w:tcMar>
          </w:tcPr>
          <w:p w14:paraId="000005B4"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IES-RHSC</w:t>
            </w:r>
          </w:p>
        </w:tc>
        <w:tc>
          <w:tcPr>
            <w:tcW w:w="708" w:type="dxa"/>
            <w:tcBorders>
              <w:top w:val="nil"/>
              <w:left w:val="nil"/>
              <w:bottom w:val="single" w:sz="4" w:space="0" w:color="000000"/>
              <w:right w:val="nil"/>
            </w:tcBorders>
            <w:shd w:val="clear" w:color="auto" w:fill="FFFF00"/>
            <w:tcMar>
              <w:top w:w="100" w:type="dxa"/>
              <w:left w:w="100" w:type="dxa"/>
              <w:bottom w:w="100" w:type="dxa"/>
              <w:right w:w="100" w:type="dxa"/>
            </w:tcMar>
          </w:tcPr>
          <w:p w14:paraId="000005B5"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4.17</w:t>
            </w:r>
          </w:p>
        </w:tc>
        <w:tc>
          <w:tcPr>
            <w:tcW w:w="709" w:type="dxa"/>
            <w:tcBorders>
              <w:top w:val="nil"/>
              <w:left w:val="nil"/>
              <w:bottom w:val="single" w:sz="4" w:space="0" w:color="000000"/>
              <w:right w:val="nil"/>
            </w:tcBorders>
            <w:shd w:val="clear" w:color="auto" w:fill="FFFF00"/>
            <w:tcMar>
              <w:top w:w="100" w:type="dxa"/>
              <w:left w:w="100" w:type="dxa"/>
              <w:bottom w:w="100" w:type="dxa"/>
              <w:right w:w="100" w:type="dxa"/>
            </w:tcMar>
          </w:tcPr>
          <w:p w14:paraId="000005B6" w14:textId="6D0262EC" w:rsidR="00CB4215" w:rsidRPr="001705C4" w:rsidRDefault="001705C4">
            <w:pPr>
              <w:widowControl w:val="0"/>
              <w:spacing w:line="240" w:lineRule="auto"/>
              <w:rPr>
                <w:rFonts w:ascii="Times New Roman" w:eastAsia="Times New Roman" w:hAnsi="Times New Roman" w:cs="Times New Roman"/>
                <w:b/>
                <w:bCs/>
                <w:shd w:val="clear" w:color="auto" w:fill="FF9900"/>
              </w:rPr>
            </w:pPr>
            <w:r w:rsidRPr="001705C4">
              <w:rPr>
                <w:rFonts w:ascii="Times New Roman" w:eastAsia="Times New Roman" w:hAnsi="Times New Roman" w:cs="Times New Roman"/>
                <w:b/>
                <w:bCs/>
              </w:rPr>
              <w:t>0.02</w:t>
            </w:r>
          </w:p>
        </w:tc>
        <w:tc>
          <w:tcPr>
            <w:tcW w:w="709" w:type="dxa"/>
            <w:tcBorders>
              <w:top w:val="nil"/>
              <w:left w:val="nil"/>
              <w:bottom w:val="single" w:sz="4" w:space="0" w:color="000000"/>
              <w:right w:val="nil"/>
            </w:tcBorders>
            <w:shd w:val="clear" w:color="auto" w:fill="FFFF00"/>
            <w:tcMar>
              <w:top w:w="100" w:type="dxa"/>
              <w:left w:w="100" w:type="dxa"/>
              <w:bottom w:w="100" w:type="dxa"/>
              <w:right w:w="100" w:type="dxa"/>
            </w:tcMar>
          </w:tcPr>
          <w:p w14:paraId="000005B7"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0.03</w:t>
            </w:r>
          </w:p>
        </w:tc>
        <w:tc>
          <w:tcPr>
            <w:tcW w:w="709" w:type="dxa"/>
            <w:tcBorders>
              <w:top w:val="nil"/>
              <w:left w:val="nil"/>
              <w:bottom w:val="single" w:sz="4" w:space="0" w:color="000000"/>
              <w:right w:val="nil"/>
            </w:tcBorders>
            <w:shd w:val="clear" w:color="auto" w:fill="FFFF00"/>
            <w:tcMar>
              <w:top w:w="100" w:type="dxa"/>
              <w:left w:w="100" w:type="dxa"/>
              <w:bottom w:w="100" w:type="dxa"/>
              <w:right w:w="100" w:type="dxa"/>
            </w:tcMar>
          </w:tcPr>
          <w:p w14:paraId="000005B8"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3.40</w:t>
            </w:r>
          </w:p>
        </w:tc>
        <w:tc>
          <w:tcPr>
            <w:tcW w:w="850" w:type="dxa"/>
            <w:tcBorders>
              <w:top w:val="nil"/>
              <w:left w:val="nil"/>
              <w:bottom w:val="single" w:sz="4" w:space="0" w:color="000000"/>
              <w:right w:val="nil"/>
            </w:tcBorders>
            <w:shd w:val="clear" w:color="auto" w:fill="FFFF00"/>
            <w:tcMar>
              <w:top w:w="100" w:type="dxa"/>
              <w:left w:w="100" w:type="dxa"/>
              <w:bottom w:w="100" w:type="dxa"/>
              <w:right w:w="100" w:type="dxa"/>
            </w:tcMar>
          </w:tcPr>
          <w:p w14:paraId="000005B9" w14:textId="7369D212"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0.76</w:t>
            </w:r>
          </w:p>
        </w:tc>
        <w:tc>
          <w:tcPr>
            <w:tcW w:w="851" w:type="dxa"/>
            <w:tcBorders>
              <w:top w:val="nil"/>
              <w:left w:val="nil"/>
              <w:bottom w:val="single" w:sz="4" w:space="0" w:color="000000"/>
              <w:right w:val="nil"/>
            </w:tcBorders>
            <w:shd w:val="clear" w:color="auto" w:fill="FFFF00"/>
            <w:tcMar>
              <w:top w:w="100" w:type="dxa"/>
              <w:left w:w="100" w:type="dxa"/>
              <w:bottom w:w="100" w:type="dxa"/>
              <w:right w:w="100" w:type="dxa"/>
            </w:tcMar>
          </w:tcPr>
          <w:p w14:paraId="000005BA" w14:textId="2E9A0BAB"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3.38</w:t>
            </w:r>
            <w:r w:rsidR="006D67BA" w:rsidRPr="001705C4">
              <w:rPr>
                <w:rFonts w:ascii="Times New Roman" w:eastAsia="Times New Roman" w:hAnsi="Times New Roman" w:cs="Times New Roman"/>
                <w:b/>
                <w:bCs/>
                <w:vertAlign w:val="superscript"/>
              </w:rPr>
              <w:t xml:space="preserve"> b</w:t>
            </w:r>
          </w:p>
        </w:tc>
        <w:tc>
          <w:tcPr>
            <w:tcW w:w="708" w:type="dxa"/>
            <w:tcBorders>
              <w:top w:val="nil"/>
              <w:left w:val="nil"/>
              <w:bottom w:val="single" w:sz="4" w:space="0" w:color="000000"/>
              <w:right w:val="nil"/>
            </w:tcBorders>
            <w:shd w:val="clear" w:color="auto" w:fill="FFFF00"/>
            <w:tcMar>
              <w:top w:w="100" w:type="dxa"/>
              <w:left w:w="100" w:type="dxa"/>
              <w:bottom w:w="100" w:type="dxa"/>
              <w:right w:w="100" w:type="dxa"/>
            </w:tcMar>
          </w:tcPr>
          <w:p w14:paraId="000005BB"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0.66</w:t>
            </w:r>
          </w:p>
        </w:tc>
        <w:tc>
          <w:tcPr>
            <w:tcW w:w="851" w:type="dxa"/>
            <w:tcBorders>
              <w:top w:val="nil"/>
              <w:left w:val="nil"/>
              <w:bottom w:val="single" w:sz="4" w:space="0" w:color="000000"/>
              <w:right w:val="nil"/>
            </w:tcBorders>
            <w:shd w:val="clear" w:color="auto" w:fill="FFFF00"/>
            <w:tcMar>
              <w:top w:w="100" w:type="dxa"/>
              <w:left w:w="100" w:type="dxa"/>
              <w:bottom w:w="100" w:type="dxa"/>
              <w:right w:w="100" w:type="dxa"/>
            </w:tcMar>
          </w:tcPr>
          <w:p w14:paraId="000005BC"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3.04</w:t>
            </w:r>
            <w:r w:rsidRPr="001705C4">
              <w:rPr>
                <w:rFonts w:ascii="Times New Roman" w:eastAsia="Times New Roman" w:hAnsi="Times New Roman" w:cs="Times New Roman"/>
                <w:b/>
                <w:bCs/>
                <w:vertAlign w:val="superscript"/>
              </w:rPr>
              <w:t>b</w:t>
            </w:r>
          </w:p>
        </w:tc>
        <w:tc>
          <w:tcPr>
            <w:tcW w:w="709" w:type="dxa"/>
            <w:tcBorders>
              <w:top w:val="nil"/>
              <w:left w:val="nil"/>
              <w:bottom w:val="single" w:sz="4" w:space="0" w:color="000000"/>
              <w:right w:val="nil"/>
            </w:tcBorders>
            <w:shd w:val="clear" w:color="auto" w:fill="FFFF00"/>
            <w:tcMar>
              <w:top w:w="100" w:type="dxa"/>
              <w:left w:w="100" w:type="dxa"/>
              <w:bottom w:w="100" w:type="dxa"/>
              <w:right w:w="100" w:type="dxa"/>
            </w:tcMar>
          </w:tcPr>
          <w:p w14:paraId="000005BD" w14:textId="77777777" w:rsidR="00CB4215" w:rsidRPr="001705C4" w:rsidRDefault="000530B4">
            <w:pPr>
              <w:widowControl w:val="0"/>
              <w:spacing w:line="240" w:lineRule="auto"/>
              <w:rPr>
                <w:rFonts w:ascii="Times New Roman" w:eastAsia="Times New Roman" w:hAnsi="Times New Roman" w:cs="Times New Roman"/>
                <w:b/>
                <w:bCs/>
              </w:rPr>
            </w:pPr>
            <w:r w:rsidRPr="001705C4">
              <w:rPr>
                <w:rFonts w:ascii="Times New Roman" w:eastAsia="Times New Roman" w:hAnsi="Times New Roman" w:cs="Times New Roman"/>
                <w:b/>
                <w:bCs/>
              </w:rPr>
              <w:t>0.64</w:t>
            </w:r>
          </w:p>
        </w:tc>
      </w:tr>
    </w:tbl>
    <w:p w14:paraId="000005BE" w14:textId="251A372F"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Note</w:t>
      </w:r>
      <w:r>
        <w:rPr>
          <w:rFonts w:ascii="Times New Roman" w:eastAsia="Times New Roman" w:hAnsi="Times New Roman" w:cs="Times New Roman"/>
          <w:sz w:val="20"/>
          <w:szCs w:val="20"/>
        </w:rPr>
        <w:t>: All comparisons were controlled for age and gender.</w:t>
      </w:r>
      <w:r w:rsidR="001E7D67" w:rsidRPr="001E7D67">
        <w:rPr>
          <w:rFonts w:ascii="Times New Roman" w:eastAsia="Times New Roman" w:hAnsi="Times New Roman" w:cs="Times New Roman"/>
          <w:sz w:val="20"/>
          <w:szCs w:val="20"/>
        </w:rPr>
        <w:t xml:space="preserve"> </w:t>
      </w:r>
      <w:r w:rsidR="001E7D67">
        <w:rPr>
          <w:rFonts w:ascii="Times New Roman" w:eastAsia="Times New Roman" w:hAnsi="Times New Roman" w:cs="Times New Roman"/>
          <w:sz w:val="20"/>
          <w:szCs w:val="20"/>
        </w:rPr>
        <w:t>Data are presented as mean and SD.</w:t>
      </w:r>
    </w:p>
    <w:p w14:paraId="000005BF"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COEQ = Control of Eating Questionnaire; CC = Craving Control (Dalton et al., 2015).</w:t>
      </w:r>
    </w:p>
    <w:p w14:paraId="000005C0"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TFEQ = Three Factor Eating Questionnaire revised 18-items; CR = Cognitive restraint; UE = Uncontrolled Eating; EE = Emotional Eating (Karlsson et al., 2000).</w:t>
      </w:r>
    </w:p>
    <w:p w14:paraId="000005C1"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AEBQ = Adult Eating Behaviour Questionnaire; SR = Satiety Responsiveness (</w:t>
      </w:r>
      <w:proofErr w:type="spellStart"/>
      <w:r>
        <w:rPr>
          <w:rFonts w:ascii="Times New Roman" w:eastAsia="Times New Roman" w:hAnsi="Times New Roman" w:cs="Times New Roman"/>
          <w:sz w:val="20"/>
          <w:szCs w:val="20"/>
        </w:rPr>
        <w:t>Hunot</w:t>
      </w:r>
      <w:proofErr w:type="spellEnd"/>
      <w:r>
        <w:rPr>
          <w:rFonts w:ascii="Times New Roman" w:eastAsia="Times New Roman" w:hAnsi="Times New Roman" w:cs="Times New Roman"/>
          <w:sz w:val="20"/>
          <w:szCs w:val="20"/>
        </w:rPr>
        <w:t xml:space="preserve"> et al., 2016).</w:t>
      </w:r>
    </w:p>
    <w:p w14:paraId="000005C2"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IES = Intuitive Eating Scale - 2; RHSC = Reliance Hunger and Satiety Cues (</w:t>
      </w:r>
      <w:proofErr w:type="spellStart"/>
      <w:r>
        <w:rPr>
          <w:rFonts w:ascii="Times New Roman" w:eastAsia="Times New Roman" w:hAnsi="Times New Roman" w:cs="Times New Roman"/>
          <w:sz w:val="20"/>
          <w:szCs w:val="20"/>
        </w:rPr>
        <w:t>Tylka</w:t>
      </w:r>
      <w:proofErr w:type="spellEnd"/>
      <w:r>
        <w:rPr>
          <w:rFonts w:ascii="Times New Roman" w:eastAsia="Times New Roman" w:hAnsi="Times New Roman" w:cs="Times New Roman"/>
          <w:sz w:val="20"/>
          <w:szCs w:val="20"/>
        </w:rPr>
        <w:t xml:space="preserve"> et al. 2013).</w:t>
      </w:r>
    </w:p>
    <w:p w14:paraId="000005C4" w14:textId="182C59EF"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rPr>
        <w:t xml:space="preserve"> </w:t>
      </w:r>
      <w:r w:rsidRPr="003E7A03">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&lt;0.05 vs low meal chaotic eaters</w:t>
      </w:r>
      <w:r w:rsidR="00FF11D8">
        <w:rPr>
          <w:rFonts w:ascii="Times New Roman" w:eastAsia="Times New Roman" w:hAnsi="Times New Roman" w:cs="Times New Roman"/>
          <w:sz w:val="20"/>
          <w:szCs w:val="20"/>
        </w:rPr>
        <w:t>.</w:t>
      </w:r>
    </w:p>
    <w:p w14:paraId="000005C5" w14:textId="261DBAE0"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b</w:t>
      </w:r>
      <w:r>
        <w:rPr>
          <w:rFonts w:ascii="Times New Roman" w:eastAsia="Times New Roman" w:hAnsi="Times New Roman" w:cs="Times New Roman"/>
          <w:sz w:val="20"/>
          <w:szCs w:val="20"/>
        </w:rPr>
        <w:t xml:space="preserve"> </w:t>
      </w:r>
      <w:r w:rsidRPr="003E7A03">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&lt;0.05 vs low meal chaotic eaters</w:t>
      </w:r>
      <w:r w:rsidR="006A4262">
        <w:rPr>
          <w:rFonts w:ascii="Times New Roman" w:eastAsia="Times New Roman" w:hAnsi="Times New Roman" w:cs="Times New Roman"/>
          <w:sz w:val="20"/>
          <w:szCs w:val="20"/>
        </w:rPr>
        <w:t>.</w:t>
      </w:r>
    </w:p>
    <w:p w14:paraId="5D96FD5D" w14:textId="401BD857" w:rsidR="001E7D67" w:rsidRDefault="001E7D6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 differences are in bold and highlighted.</w:t>
      </w:r>
    </w:p>
    <w:p w14:paraId="000005C6" w14:textId="77777777" w:rsidR="00CB4215" w:rsidRDefault="00CB4215">
      <w:pPr>
        <w:spacing w:line="240" w:lineRule="auto"/>
        <w:rPr>
          <w:rFonts w:ascii="Times New Roman" w:eastAsia="Times New Roman" w:hAnsi="Times New Roman" w:cs="Times New Roman"/>
          <w:sz w:val="20"/>
          <w:szCs w:val="20"/>
        </w:rPr>
      </w:pPr>
    </w:p>
    <w:p w14:paraId="000005C7"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4.4.6 Comparison of health behaviours between higher and lower meal chaotic eating groups</w:t>
      </w:r>
    </w:p>
    <w:p w14:paraId="000005C8" w14:textId="77777777" w:rsidR="00CB4215" w:rsidRDefault="00CB4215"/>
    <w:p w14:paraId="000005C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significant differences in the daily consumption window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.10) between the three groups. Specifically, participants who ate meals at variable times of day reported a longer daily consumption window. Sleep duration, wake time, sleep time, physical activity and dietary quality did not significantly differ between groups (smallest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.13, largest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.02). </w:t>
      </w:r>
    </w:p>
    <w:p w14:paraId="000005CA" w14:textId="77777777" w:rsidR="00CB4215" w:rsidRDefault="00CB4215">
      <w:pPr>
        <w:spacing w:line="480" w:lineRule="auto"/>
        <w:rPr>
          <w:rFonts w:ascii="Times New Roman" w:eastAsia="Times New Roman" w:hAnsi="Times New Roman" w:cs="Times New Roman"/>
          <w:sz w:val="24"/>
          <w:szCs w:val="24"/>
        </w:rPr>
      </w:pPr>
    </w:p>
    <w:p w14:paraId="000005CB" w14:textId="77777777" w:rsidR="00CB4215" w:rsidRDefault="00CB4215">
      <w:pPr>
        <w:spacing w:line="480" w:lineRule="auto"/>
        <w:rPr>
          <w:rFonts w:ascii="Times New Roman" w:eastAsia="Times New Roman" w:hAnsi="Times New Roman" w:cs="Times New Roman"/>
          <w:sz w:val="24"/>
          <w:szCs w:val="24"/>
        </w:rPr>
      </w:pPr>
    </w:p>
    <w:p w14:paraId="000005CC" w14:textId="77777777" w:rsidR="00CB4215" w:rsidRDefault="00CB4215">
      <w:pPr>
        <w:spacing w:line="480" w:lineRule="auto"/>
        <w:rPr>
          <w:rFonts w:ascii="Times New Roman" w:eastAsia="Times New Roman" w:hAnsi="Times New Roman" w:cs="Times New Roman"/>
          <w:sz w:val="24"/>
          <w:szCs w:val="24"/>
        </w:rPr>
      </w:pPr>
    </w:p>
    <w:p w14:paraId="000005CD" w14:textId="77777777" w:rsidR="00CB4215" w:rsidRDefault="00CB4215">
      <w:pPr>
        <w:spacing w:line="480" w:lineRule="auto"/>
        <w:rPr>
          <w:rFonts w:ascii="Times New Roman" w:eastAsia="Times New Roman" w:hAnsi="Times New Roman" w:cs="Times New Roman"/>
          <w:sz w:val="24"/>
          <w:szCs w:val="24"/>
        </w:rPr>
      </w:pPr>
    </w:p>
    <w:p w14:paraId="000005CE" w14:textId="77777777" w:rsidR="00CB4215" w:rsidRDefault="00CB4215">
      <w:pPr>
        <w:spacing w:line="480" w:lineRule="auto"/>
        <w:rPr>
          <w:rFonts w:ascii="Times New Roman" w:eastAsia="Times New Roman" w:hAnsi="Times New Roman" w:cs="Times New Roman"/>
          <w:sz w:val="24"/>
          <w:szCs w:val="24"/>
        </w:rPr>
      </w:pPr>
    </w:p>
    <w:p w14:paraId="000005CF"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84" w:name="_heading=h.1x0gk37" w:colFirst="0" w:colLast="0"/>
      <w:bookmarkEnd w:id="84"/>
      <w:r>
        <w:rPr>
          <w:rFonts w:ascii="Times New Roman" w:eastAsia="Times New Roman" w:hAnsi="Times New Roman" w:cs="Times New Roman"/>
          <w:i/>
          <w:color w:val="000000"/>
          <w:sz w:val="20"/>
          <w:szCs w:val="20"/>
        </w:rPr>
        <w:lastRenderedPageBreak/>
        <w:t xml:space="preserve">Table 4.6. </w:t>
      </w:r>
      <w:r>
        <w:rPr>
          <w:rFonts w:ascii="Times New Roman" w:eastAsia="Times New Roman" w:hAnsi="Times New Roman" w:cs="Times New Roman"/>
          <w:color w:val="000000"/>
          <w:sz w:val="20"/>
          <w:szCs w:val="20"/>
        </w:rPr>
        <w:t xml:space="preserve">Comparison of health behaviours in meal chaotic eating groups. </w:t>
      </w:r>
    </w:p>
    <w:tbl>
      <w:tblPr>
        <w:tblStyle w:val="aa"/>
        <w:tblW w:w="9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709"/>
        <w:gridCol w:w="851"/>
        <w:gridCol w:w="708"/>
        <w:gridCol w:w="709"/>
        <w:gridCol w:w="709"/>
        <w:gridCol w:w="850"/>
        <w:gridCol w:w="709"/>
        <w:gridCol w:w="805"/>
        <w:gridCol w:w="717"/>
      </w:tblGrid>
      <w:tr w:rsidR="00CB4215" w14:paraId="74F5F53C" w14:textId="77777777" w:rsidTr="007F0D2F">
        <w:trPr>
          <w:trHeight w:val="426"/>
        </w:trPr>
        <w:tc>
          <w:tcPr>
            <w:tcW w:w="4536" w:type="dxa"/>
            <w:gridSpan w:val="4"/>
            <w:tcBorders>
              <w:top w:val="single" w:sz="4" w:space="0" w:color="000000"/>
              <w:left w:val="nil"/>
              <w:bottom w:val="nil"/>
              <w:right w:val="nil"/>
            </w:tcBorders>
            <w:tcMar>
              <w:top w:w="100" w:type="dxa"/>
              <w:left w:w="100" w:type="dxa"/>
              <w:bottom w:w="100" w:type="dxa"/>
              <w:right w:w="100" w:type="dxa"/>
            </w:tcMar>
          </w:tcPr>
          <w:p w14:paraId="000005D0" w14:textId="77777777" w:rsidR="00CB4215" w:rsidRDefault="00CB4215">
            <w:pPr>
              <w:widowControl w:val="0"/>
              <w:spacing w:line="240" w:lineRule="auto"/>
              <w:rPr>
                <w:rFonts w:ascii="Times New Roman" w:eastAsia="Times New Roman" w:hAnsi="Times New Roman" w:cs="Times New Roman"/>
              </w:rPr>
            </w:pPr>
          </w:p>
        </w:tc>
        <w:tc>
          <w:tcPr>
            <w:tcW w:w="1418"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5D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Low meal chaotic eaters</w:t>
            </w:r>
          </w:p>
          <w:p w14:paraId="000005D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(0.17-1.67)</w:t>
            </w:r>
          </w:p>
          <w:p w14:paraId="000005D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(n=157)</w:t>
            </w:r>
          </w:p>
        </w:tc>
        <w:tc>
          <w:tcPr>
            <w:tcW w:w="1559"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5D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Medium meal chaotic eaters</w:t>
            </w:r>
          </w:p>
          <w:p w14:paraId="000005D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(2.00-3.67)</w:t>
            </w:r>
          </w:p>
          <w:p w14:paraId="000005D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(n=67)</w:t>
            </w:r>
          </w:p>
        </w:tc>
        <w:tc>
          <w:tcPr>
            <w:tcW w:w="1522"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5D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High meal chaotic eaters</w:t>
            </w:r>
          </w:p>
          <w:p w14:paraId="000005D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(4.00-6.00)</w:t>
            </w:r>
          </w:p>
          <w:p w14:paraId="000005D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(n=29)</w:t>
            </w:r>
          </w:p>
        </w:tc>
      </w:tr>
      <w:tr w:rsidR="00CB4215" w14:paraId="1ACDF33D" w14:textId="77777777" w:rsidTr="007F0D2F">
        <w:trPr>
          <w:trHeight w:val="268"/>
        </w:trPr>
        <w:tc>
          <w:tcPr>
            <w:tcW w:w="2268" w:type="dxa"/>
            <w:tcBorders>
              <w:top w:val="nil"/>
              <w:left w:val="nil"/>
              <w:bottom w:val="single" w:sz="4" w:space="0" w:color="000000"/>
              <w:right w:val="nil"/>
            </w:tcBorders>
            <w:tcMar>
              <w:top w:w="100" w:type="dxa"/>
              <w:left w:w="100" w:type="dxa"/>
              <w:bottom w:w="100" w:type="dxa"/>
              <w:right w:w="100" w:type="dxa"/>
            </w:tcMar>
          </w:tcPr>
          <w:p w14:paraId="000005E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Dependent variable</w:t>
            </w:r>
          </w:p>
        </w:tc>
        <w:tc>
          <w:tcPr>
            <w:tcW w:w="709" w:type="dxa"/>
            <w:tcBorders>
              <w:top w:val="nil"/>
              <w:left w:val="nil"/>
              <w:bottom w:val="single" w:sz="4" w:space="0" w:color="000000"/>
              <w:right w:val="nil"/>
            </w:tcBorders>
            <w:tcMar>
              <w:top w:w="100" w:type="dxa"/>
              <w:left w:w="100" w:type="dxa"/>
              <w:bottom w:w="100" w:type="dxa"/>
              <w:right w:w="100" w:type="dxa"/>
            </w:tcMar>
          </w:tcPr>
          <w:p w14:paraId="000005E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w:t>
            </w:r>
          </w:p>
        </w:tc>
        <w:tc>
          <w:tcPr>
            <w:tcW w:w="851" w:type="dxa"/>
            <w:tcBorders>
              <w:top w:val="nil"/>
              <w:left w:val="nil"/>
              <w:bottom w:val="single" w:sz="4" w:space="0" w:color="000000"/>
              <w:right w:val="nil"/>
            </w:tcBorders>
            <w:tcMar>
              <w:top w:w="100" w:type="dxa"/>
              <w:left w:w="100" w:type="dxa"/>
              <w:bottom w:w="100" w:type="dxa"/>
              <w:right w:w="100" w:type="dxa"/>
            </w:tcMar>
          </w:tcPr>
          <w:p w14:paraId="000005E2" w14:textId="77777777" w:rsidR="00CB4215" w:rsidRPr="003E7A03" w:rsidRDefault="000530B4">
            <w:pPr>
              <w:widowControl w:val="0"/>
              <w:spacing w:line="240" w:lineRule="auto"/>
              <w:rPr>
                <w:rFonts w:ascii="Times New Roman" w:eastAsia="Times New Roman" w:hAnsi="Times New Roman" w:cs="Times New Roman"/>
                <w:i/>
                <w:iCs/>
              </w:rPr>
            </w:pPr>
            <w:r w:rsidRPr="003E7A03">
              <w:rPr>
                <w:rFonts w:ascii="Times New Roman" w:eastAsia="Times New Roman" w:hAnsi="Times New Roman" w:cs="Times New Roman"/>
                <w:i/>
                <w:iCs/>
              </w:rPr>
              <w:t>p</w:t>
            </w:r>
          </w:p>
        </w:tc>
        <w:tc>
          <w:tcPr>
            <w:tcW w:w="708" w:type="dxa"/>
            <w:tcBorders>
              <w:top w:val="nil"/>
              <w:left w:val="nil"/>
              <w:bottom w:val="single" w:sz="4" w:space="0" w:color="000000"/>
              <w:right w:val="nil"/>
            </w:tcBorders>
            <w:tcMar>
              <w:top w:w="100" w:type="dxa"/>
              <w:left w:w="100" w:type="dxa"/>
              <w:bottom w:w="100" w:type="dxa"/>
              <w:right w:w="100" w:type="dxa"/>
            </w:tcMar>
          </w:tcPr>
          <w:p w14:paraId="000005E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i/>
                <w:highlight w:val="white"/>
              </w:rPr>
              <w:t>η2</w:t>
            </w:r>
          </w:p>
        </w:tc>
        <w:tc>
          <w:tcPr>
            <w:tcW w:w="709" w:type="dxa"/>
            <w:tcBorders>
              <w:top w:val="single" w:sz="4" w:space="0" w:color="000000"/>
              <w:left w:val="nil"/>
              <w:bottom w:val="single" w:sz="4" w:space="0" w:color="000000"/>
              <w:right w:val="nil"/>
            </w:tcBorders>
            <w:tcMar>
              <w:top w:w="100" w:type="dxa"/>
              <w:left w:w="100" w:type="dxa"/>
              <w:bottom w:w="100" w:type="dxa"/>
              <w:right w:w="100" w:type="dxa"/>
            </w:tcMar>
          </w:tcPr>
          <w:p w14:paraId="000005E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709" w:type="dxa"/>
            <w:tcBorders>
              <w:top w:val="single" w:sz="4" w:space="0" w:color="000000"/>
              <w:left w:val="nil"/>
              <w:bottom w:val="single" w:sz="4" w:space="0" w:color="000000"/>
              <w:right w:val="nil"/>
            </w:tcBorders>
            <w:tcMar>
              <w:top w:w="100" w:type="dxa"/>
              <w:left w:w="100" w:type="dxa"/>
              <w:bottom w:w="100" w:type="dxa"/>
              <w:right w:w="100" w:type="dxa"/>
            </w:tcMar>
          </w:tcPr>
          <w:p w14:paraId="000005E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c>
          <w:tcPr>
            <w:tcW w:w="850" w:type="dxa"/>
            <w:tcBorders>
              <w:top w:val="single" w:sz="4" w:space="0" w:color="000000"/>
              <w:left w:val="nil"/>
              <w:bottom w:val="single" w:sz="4" w:space="0" w:color="000000"/>
              <w:right w:val="nil"/>
            </w:tcBorders>
            <w:tcMar>
              <w:top w:w="100" w:type="dxa"/>
              <w:left w:w="100" w:type="dxa"/>
              <w:bottom w:w="100" w:type="dxa"/>
              <w:right w:w="100" w:type="dxa"/>
            </w:tcMar>
          </w:tcPr>
          <w:p w14:paraId="000005E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709" w:type="dxa"/>
            <w:tcBorders>
              <w:top w:val="single" w:sz="4" w:space="0" w:color="000000"/>
              <w:left w:val="nil"/>
              <w:bottom w:val="single" w:sz="4" w:space="0" w:color="000000"/>
              <w:right w:val="nil"/>
            </w:tcBorders>
            <w:tcMar>
              <w:top w:w="100" w:type="dxa"/>
              <w:left w:w="100" w:type="dxa"/>
              <w:bottom w:w="100" w:type="dxa"/>
              <w:right w:w="100" w:type="dxa"/>
            </w:tcMar>
          </w:tcPr>
          <w:p w14:paraId="000005E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c>
          <w:tcPr>
            <w:tcW w:w="805" w:type="dxa"/>
            <w:tcBorders>
              <w:top w:val="single" w:sz="4" w:space="0" w:color="000000"/>
              <w:left w:val="nil"/>
              <w:bottom w:val="single" w:sz="4" w:space="0" w:color="000000"/>
              <w:right w:val="nil"/>
            </w:tcBorders>
            <w:tcMar>
              <w:top w:w="100" w:type="dxa"/>
              <w:left w:w="100" w:type="dxa"/>
              <w:bottom w:w="100" w:type="dxa"/>
              <w:right w:w="100" w:type="dxa"/>
            </w:tcMar>
          </w:tcPr>
          <w:p w14:paraId="000005E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717" w:type="dxa"/>
            <w:tcBorders>
              <w:top w:val="single" w:sz="4" w:space="0" w:color="000000"/>
              <w:left w:val="nil"/>
              <w:bottom w:val="single" w:sz="4" w:space="0" w:color="000000"/>
              <w:right w:val="nil"/>
            </w:tcBorders>
            <w:tcMar>
              <w:top w:w="100" w:type="dxa"/>
              <w:left w:w="100" w:type="dxa"/>
              <w:bottom w:w="100" w:type="dxa"/>
              <w:right w:w="100" w:type="dxa"/>
            </w:tcMar>
          </w:tcPr>
          <w:p w14:paraId="000005E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r>
      <w:tr w:rsidR="007F0D2F" w:rsidRPr="003E7A03" w14:paraId="69F92920" w14:textId="77777777" w:rsidTr="007F0D2F">
        <w:trPr>
          <w:trHeight w:val="213"/>
        </w:trPr>
        <w:tc>
          <w:tcPr>
            <w:tcW w:w="2268"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EA" w14:textId="77777777" w:rsidR="00CB4215" w:rsidRPr="003E7A03" w:rsidRDefault="000530B4">
            <w:pPr>
              <w:widowControl w:val="0"/>
              <w:spacing w:line="240" w:lineRule="auto"/>
              <w:rPr>
                <w:rFonts w:ascii="Times New Roman" w:eastAsia="Times New Roman" w:hAnsi="Times New Roman" w:cs="Times New Roman"/>
                <w:b/>
                <w:bCs/>
              </w:rPr>
            </w:pPr>
            <w:r w:rsidRPr="003E7A03">
              <w:rPr>
                <w:rFonts w:ascii="Times New Roman" w:eastAsia="Times New Roman" w:hAnsi="Times New Roman" w:cs="Times New Roman"/>
                <w:b/>
                <w:bCs/>
              </w:rPr>
              <w:t>Daily consumption window (h)</w:t>
            </w:r>
          </w:p>
        </w:tc>
        <w:tc>
          <w:tcPr>
            <w:tcW w:w="709"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EB" w14:textId="77777777" w:rsidR="00CB4215" w:rsidRPr="003E7A03" w:rsidRDefault="000530B4">
            <w:pPr>
              <w:widowControl w:val="0"/>
              <w:spacing w:line="240" w:lineRule="auto"/>
              <w:rPr>
                <w:rFonts w:ascii="Times New Roman" w:eastAsia="Times New Roman" w:hAnsi="Times New Roman" w:cs="Times New Roman"/>
                <w:b/>
                <w:bCs/>
              </w:rPr>
            </w:pPr>
            <w:r w:rsidRPr="003E7A03">
              <w:rPr>
                <w:rFonts w:ascii="Times New Roman" w:eastAsia="Times New Roman" w:hAnsi="Times New Roman" w:cs="Times New Roman"/>
                <w:b/>
                <w:bCs/>
              </w:rPr>
              <w:t>12.39</w:t>
            </w:r>
          </w:p>
        </w:tc>
        <w:tc>
          <w:tcPr>
            <w:tcW w:w="851"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EC" w14:textId="723C41EB" w:rsidR="00CB4215" w:rsidRPr="003E7A03" w:rsidRDefault="003E7A03">
            <w:pPr>
              <w:widowControl w:val="0"/>
              <w:spacing w:line="240" w:lineRule="auto"/>
              <w:rPr>
                <w:rFonts w:ascii="Times New Roman" w:eastAsia="Times New Roman" w:hAnsi="Times New Roman" w:cs="Times New Roman"/>
                <w:b/>
                <w:bCs/>
                <w:shd w:val="clear" w:color="auto" w:fill="FF9900"/>
              </w:rPr>
            </w:pPr>
            <w:r w:rsidRPr="003E7A03">
              <w:rPr>
                <w:rFonts w:ascii="Times New Roman" w:eastAsia="Times New Roman" w:hAnsi="Times New Roman" w:cs="Times New Roman"/>
                <w:b/>
                <w:bCs/>
              </w:rPr>
              <w:t>&lt;0.001</w:t>
            </w:r>
          </w:p>
        </w:tc>
        <w:tc>
          <w:tcPr>
            <w:tcW w:w="708"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ED" w14:textId="77777777" w:rsidR="00CB4215" w:rsidRPr="003E7A03" w:rsidRDefault="000530B4">
            <w:pPr>
              <w:widowControl w:val="0"/>
              <w:spacing w:line="240" w:lineRule="auto"/>
              <w:rPr>
                <w:rFonts w:ascii="Times New Roman" w:eastAsia="Times New Roman" w:hAnsi="Times New Roman" w:cs="Times New Roman"/>
                <w:b/>
                <w:bCs/>
              </w:rPr>
            </w:pPr>
            <w:r w:rsidRPr="003E7A03">
              <w:rPr>
                <w:rFonts w:ascii="Times New Roman" w:eastAsia="Times New Roman" w:hAnsi="Times New Roman" w:cs="Times New Roman"/>
                <w:b/>
                <w:bCs/>
              </w:rPr>
              <w:t>0.10</w:t>
            </w:r>
          </w:p>
        </w:tc>
        <w:tc>
          <w:tcPr>
            <w:tcW w:w="709"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EE" w14:textId="77777777" w:rsidR="00CB4215" w:rsidRPr="003E7A03" w:rsidRDefault="000530B4">
            <w:pPr>
              <w:widowControl w:val="0"/>
              <w:spacing w:line="240" w:lineRule="auto"/>
              <w:rPr>
                <w:rFonts w:ascii="Times New Roman" w:eastAsia="Times New Roman" w:hAnsi="Times New Roman" w:cs="Times New Roman"/>
                <w:b/>
                <w:bCs/>
              </w:rPr>
            </w:pPr>
            <w:r w:rsidRPr="003E7A03">
              <w:rPr>
                <w:rFonts w:ascii="Times New Roman" w:eastAsia="Times New Roman" w:hAnsi="Times New Roman" w:cs="Times New Roman"/>
                <w:b/>
                <w:bCs/>
              </w:rPr>
              <w:t>10.12</w:t>
            </w:r>
          </w:p>
        </w:tc>
        <w:tc>
          <w:tcPr>
            <w:tcW w:w="709"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EF" w14:textId="77777777" w:rsidR="00CB4215" w:rsidRPr="003E7A03" w:rsidRDefault="000530B4">
            <w:pPr>
              <w:widowControl w:val="0"/>
              <w:spacing w:line="240" w:lineRule="auto"/>
              <w:rPr>
                <w:rFonts w:ascii="Times New Roman" w:eastAsia="Times New Roman" w:hAnsi="Times New Roman" w:cs="Times New Roman"/>
                <w:b/>
                <w:bCs/>
              </w:rPr>
            </w:pPr>
            <w:r w:rsidRPr="003E7A03">
              <w:rPr>
                <w:rFonts w:ascii="Times New Roman" w:eastAsia="Times New Roman" w:hAnsi="Times New Roman" w:cs="Times New Roman"/>
                <w:b/>
                <w:bCs/>
              </w:rPr>
              <w:t>2.64</w:t>
            </w:r>
          </w:p>
        </w:tc>
        <w:tc>
          <w:tcPr>
            <w:tcW w:w="850"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F0" w14:textId="77777777" w:rsidR="00CB4215" w:rsidRPr="003E7A03" w:rsidRDefault="000530B4">
            <w:pPr>
              <w:widowControl w:val="0"/>
              <w:spacing w:line="240" w:lineRule="auto"/>
              <w:rPr>
                <w:rFonts w:ascii="Times New Roman" w:eastAsia="Times New Roman" w:hAnsi="Times New Roman" w:cs="Times New Roman"/>
                <w:b/>
                <w:bCs/>
                <w:vertAlign w:val="superscript"/>
              </w:rPr>
            </w:pPr>
            <w:r w:rsidRPr="003E7A03">
              <w:rPr>
                <w:rFonts w:ascii="Times New Roman" w:eastAsia="Times New Roman" w:hAnsi="Times New Roman" w:cs="Times New Roman"/>
                <w:b/>
                <w:bCs/>
              </w:rPr>
              <w:t>11.31</w:t>
            </w:r>
            <w:r w:rsidRPr="003E7A03">
              <w:rPr>
                <w:rFonts w:ascii="Times New Roman" w:eastAsia="Times New Roman" w:hAnsi="Times New Roman" w:cs="Times New Roman"/>
                <w:b/>
                <w:bCs/>
                <w:vertAlign w:val="superscript"/>
              </w:rPr>
              <w:t>a</w:t>
            </w:r>
          </w:p>
        </w:tc>
        <w:tc>
          <w:tcPr>
            <w:tcW w:w="709"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F1" w14:textId="77777777" w:rsidR="00CB4215" w:rsidRPr="003E7A03" w:rsidRDefault="000530B4">
            <w:pPr>
              <w:widowControl w:val="0"/>
              <w:spacing w:line="240" w:lineRule="auto"/>
              <w:rPr>
                <w:rFonts w:ascii="Times New Roman" w:eastAsia="Times New Roman" w:hAnsi="Times New Roman" w:cs="Times New Roman"/>
                <w:b/>
                <w:bCs/>
              </w:rPr>
            </w:pPr>
            <w:r w:rsidRPr="003E7A03">
              <w:rPr>
                <w:rFonts w:ascii="Times New Roman" w:eastAsia="Times New Roman" w:hAnsi="Times New Roman" w:cs="Times New Roman"/>
                <w:b/>
                <w:bCs/>
              </w:rPr>
              <w:t>2.04</w:t>
            </w:r>
          </w:p>
        </w:tc>
        <w:tc>
          <w:tcPr>
            <w:tcW w:w="805"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F2" w14:textId="77777777" w:rsidR="00CB4215" w:rsidRPr="003E7A03" w:rsidRDefault="000530B4">
            <w:pPr>
              <w:widowControl w:val="0"/>
              <w:spacing w:line="240" w:lineRule="auto"/>
              <w:rPr>
                <w:rFonts w:ascii="Times New Roman" w:eastAsia="Times New Roman" w:hAnsi="Times New Roman" w:cs="Times New Roman"/>
                <w:b/>
                <w:bCs/>
                <w:vertAlign w:val="superscript"/>
              </w:rPr>
            </w:pPr>
            <w:r w:rsidRPr="003E7A03">
              <w:rPr>
                <w:rFonts w:ascii="Times New Roman" w:eastAsia="Times New Roman" w:hAnsi="Times New Roman" w:cs="Times New Roman"/>
                <w:b/>
                <w:bCs/>
              </w:rPr>
              <w:t>12.24</w:t>
            </w:r>
            <w:r w:rsidRPr="003E7A03">
              <w:rPr>
                <w:rFonts w:ascii="Times New Roman" w:eastAsia="Times New Roman" w:hAnsi="Times New Roman" w:cs="Times New Roman"/>
                <w:b/>
                <w:bCs/>
                <w:vertAlign w:val="superscript"/>
              </w:rPr>
              <w:t>a</w:t>
            </w:r>
          </w:p>
        </w:tc>
        <w:tc>
          <w:tcPr>
            <w:tcW w:w="717" w:type="dxa"/>
            <w:tcBorders>
              <w:top w:val="single" w:sz="4" w:space="0" w:color="000000"/>
              <w:left w:val="nil"/>
              <w:bottom w:val="nil"/>
              <w:right w:val="nil"/>
            </w:tcBorders>
            <w:shd w:val="clear" w:color="auto" w:fill="FFFF00"/>
            <w:tcMar>
              <w:top w:w="100" w:type="dxa"/>
              <w:left w:w="100" w:type="dxa"/>
              <w:bottom w:w="100" w:type="dxa"/>
              <w:right w:w="100" w:type="dxa"/>
            </w:tcMar>
          </w:tcPr>
          <w:p w14:paraId="000005F3" w14:textId="77777777" w:rsidR="00CB4215" w:rsidRPr="003E7A03" w:rsidRDefault="000530B4">
            <w:pPr>
              <w:widowControl w:val="0"/>
              <w:spacing w:line="240" w:lineRule="auto"/>
              <w:rPr>
                <w:rFonts w:ascii="Times New Roman" w:eastAsia="Times New Roman" w:hAnsi="Times New Roman" w:cs="Times New Roman"/>
                <w:b/>
                <w:bCs/>
              </w:rPr>
            </w:pPr>
            <w:r w:rsidRPr="003E7A03">
              <w:rPr>
                <w:rFonts w:ascii="Times New Roman" w:eastAsia="Times New Roman" w:hAnsi="Times New Roman" w:cs="Times New Roman"/>
                <w:b/>
                <w:bCs/>
              </w:rPr>
              <w:t>2.23</w:t>
            </w:r>
          </w:p>
        </w:tc>
      </w:tr>
      <w:tr w:rsidR="00CB4215" w14:paraId="16AB92C9" w14:textId="77777777" w:rsidTr="007F0D2F">
        <w:trPr>
          <w:trHeight w:val="259"/>
        </w:trPr>
        <w:tc>
          <w:tcPr>
            <w:tcW w:w="2268" w:type="dxa"/>
            <w:tcBorders>
              <w:top w:val="nil"/>
              <w:left w:val="nil"/>
              <w:bottom w:val="nil"/>
              <w:right w:val="nil"/>
            </w:tcBorders>
            <w:tcMar>
              <w:top w:w="100" w:type="dxa"/>
              <w:left w:w="100" w:type="dxa"/>
              <w:bottom w:w="100" w:type="dxa"/>
              <w:right w:w="100" w:type="dxa"/>
            </w:tcMar>
          </w:tcPr>
          <w:p w14:paraId="000005F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Sleep duration (h)</w:t>
            </w:r>
          </w:p>
        </w:tc>
        <w:tc>
          <w:tcPr>
            <w:tcW w:w="709" w:type="dxa"/>
            <w:tcBorders>
              <w:top w:val="nil"/>
              <w:left w:val="nil"/>
              <w:bottom w:val="nil"/>
              <w:right w:val="nil"/>
            </w:tcBorders>
            <w:tcMar>
              <w:top w:w="100" w:type="dxa"/>
              <w:left w:w="100" w:type="dxa"/>
              <w:bottom w:w="100" w:type="dxa"/>
              <w:right w:w="100" w:type="dxa"/>
            </w:tcMar>
          </w:tcPr>
          <w:p w14:paraId="000005F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0.10</w:t>
            </w:r>
          </w:p>
        </w:tc>
        <w:tc>
          <w:tcPr>
            <w:tcW w:w="851" w:type="dxa"/>
            <w:tcBorders>
              <w:top w:val="nil"/>
              <w:left w:val="nil"/>
              <w:bottom w:val="nil"/>
              <w:right w:val="nil"/>
            </w:tcBorders>
            <w:tcMar>
              <w:top w:w="100" w:type="dxa"/>
              <w:left w:w="100" w:type="dxa"/>
              <w:bottom w:w="100" w:type="dxa"/>
              <w:right w:w="100" w:type="dxa"/>
            </w:tcMar>
          </w:tcPr>
          <w:p w14:paraId="000005F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0.91</w:t>
            </w:r>
          </w:p>
        </w:tc>
        <w:tc>
          <w:tcPr>
            <w:tcW w:w="708" w:type="dxa"/>
            <w:tcBorders>
              <w:top w:val="nil"/>
              <w:left w:val="nil"/>
              <w:bottom w:val="nil"/>
              <w:right w:val="nil"/>
            </w:tcBorders>
            <w:tcMar>
              <w:top w:w="100" w:type="dxa"/>
              <w:left w:w="100" w:type="dxa"/>
              <w:bottom w:w="100" w:type="dxa"/>
              <w:right w:w="100" w:type="dxa"/>
            </w:tcMar>
          </w:tcPr>
          <w:p w14:paraId="000005F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0.001</w:t>
            </w:r>
          </w:p>
        </w:tc>
        <w:tc>
          <w:tcPr>
            <w:tcW w:w="709" w:type="dxa"/>
            <w:tcBorders>
              <w:top w:val="nil"/>
              <w:left w:val="nil"/>
              <w:bottom w:val="nil"/>
              <w:right w:val="nil"/>
            </w:tcBorders>
            <w:tcMar>
              <w:top w:w="100" w:type="dxa"/>
              <w:left w:w="100" w:type="dxa"/>
              <w:bottom w:w="100" w:type="dxa"/>
              <w:right w:w="100" w:type="dxa"/>
            </w:tcMar>
          </w:tcPr>
          <w:p w14:paraId="000005F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6.93</w:t>
            </w:r>
          </w:p>
        </w:tc>
        <w:tc>
          <w:tcPr>
            <w:tcW w:w="709" w:type="dxa"/>
            <w:tcBorders>
              <w:top w:val="nil"/>
              <w:left w:val="nil"/>
              <w:bottom w:val="nil"/>
              <w:right w:val="nil"/>
            </w:tcBorders>
            <w:tcMar>
              <w:top w:w="100" w:type="dxa"/>
              <w:left w:w="100" w:type="dxa"/>
              <w:bottom w:w="100" w:type="dxa"/>
              <w:right w:w="100" w:type="dxa"/>
            </w:tcMar>
          </w:tcPr>
          <w:p w14:paraId="000005F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1.10</w:t>
            </w:r>
          </w:p>
        </w:tc>
        <w:tc>
          <w:tcPr>
            <w:tcW w:w="850" w:type="dxa"/>
            <w:tcBorders>
              <w:top w:val="nil"/>
              <w:left w:val="nil"/>
              <w:bottom w:val="nil"/>
              <w:right w:val="nil"/>
            </w:tcBorders>
            <w:tcMar>
              <w:top w:w="100" w:type="dxa"/>
              <w:left w:w="100" w:type="dxa"/>
              <w:bottom w:w="100" w:type="dxa"/>
              <w:right w:w="100" w:type="dxa"/>
            </w:tcMar>
          </w:tcPr>
          <w:p w14:paraId="000005F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6.90</w:t>
            </w:r>
          </w:p>
        </w:tc>
        <w:tc>
          <w:tcPr>
            <w:tcW w:w="709" w:type="dxa"/>
            <w:tcBorders>
              <w:top w:val="nil"/>
              <w:left w:val="nil"/>
              <w:bottom w:val="nil"/>
              <w:right w:val="nil"/>
            </w:tcBorders>
            <w:tcMar>
              <w:top w:w="100" w:type="dxa"/>
              <w:left w:w="100" w:type="dxa"/>
              <w:bottom w:w="100" w:type="dxa"/>
              <w:right w:w="100" w:type="dxa"/>
            </w:tcMar>
          </w:tcPr>
          <w:p w14:paraId="000005F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1.10</w:t>
            </w:r>
          </w:p>
        </w:tc>
        <w:tc>
          <w:tcPr>
            <w:tcW w:w="805" w:type="dxa"/>
            <w:tcBorders>
              <w:top w:val="nil"/>
              <w:left w:val="nil"/>
              <w:bottom w:val="nil"/>
              <w:right w:val="nil"/>
            </w:tcBorders>
            <w:tcMar>
              <w:top w:w="100" w:type="dxa"/>
              <w:left w:w="100" w:type="dxa"/>
              <w:bottom w:w="100" w:type="dxa"/>
              <w:right w:w="100" w:type="dxa"/>
            </w:tcMar>
          </w:tcPr>
          <w:p w14:paraId="000005F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6.90</w:t>
            </w:r>
          </w:p>
        </w:tc>
        <w:tc>
          <w:tcPr>
            <w:tcW w:w="717" w:type="dxa"/>
            <w:tcBorders>
              <w:top w:val="nil"/>
              <w:left w:val="nil"/>
              <w:bottom w:val="nil"/>
              <w:right w:val="nil"/>
            </w:tcBorders>
            <w:tcMar>
              <w:top w:w="100" w:type="dxa"/>
              <w:left w:w="100" w:type="dxa"/>
              <w:bottom w:w="100" w:type="dxa"/>
              <w:right w:w="100" w:type="dxa"/>
            </w:tcMar>
          </w:tcPr>
          <w:p w14:paraId="000005F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0.94</w:t>
            </w:r>
          </w:p>
        </w:tc>
      </w:tr>
      <w:tr w:rsidR="00CB4215" w14:paraId="4F2ADA8C" w14:textId="77777777" w:rsidTr="007F0D2F">
        <w:trPr>
          <w:trHeight w:val="198"/>
        </w:trPr>
        <w:tc>
          <w:tcPr>
            <w:tcW w:w="2268" w:type="dxa"/>
            <w:tcBorders>
              <w:top w:val="nil"/>
              <w:left w:val="nil"/>
              <w:bottom w:val="nil"/>
              <w:right w:val="nil"/>
            </w:tcBorders>
            <w:tcMar>
              <w:top w:w="100" w:type="dxa"/>
              <w:left w:w="100" w:type="dxa"/>
              <w:bottom w:w="100" w:type="dxa"/>
              <w:right w:w="100" w:type="dxa"/>
            </w:tcMar>
          </w:tcPr>
          <w:p w14:paraId="000005FF" w14:textId="64A9766E"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Wake time</w:t>
            </w:r>
            <w:r w:rsidR="007F0D2F">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hh</w:t>
            </w:r>
            <w:proofErr w:type="spellEnd"/>
            <w:r>
              <w:rPr>
                <w:rFonts w:ascii="Times New Roman" w:eastAsia="Times New Roman" w:hAnsi="Times New Roman" w:cs="Times New Roman"/>
              </w:rPr>
              <w:t>: mm)</w:t>
            </w:r>
          </w:p>
        </w:tc>
        <w:tc>
          <w:tcPr>
            <w:tcW w:w="709" w:type="dxa"/>
            <w:tcBorders>
              <w:top w:val="nil"/>
              <w:left w:val="nil"/>
              <w:bottom w:val="nil"/>
              <w:right w:val="nil"/>
            </w:tcBorders>
            <w:tcMar>
              <w:top w:w="100" w:type="dxa"/>
              <w:left w:w="100" w:type="dxa"/>
              <w:bottom w:w="100" w:type="dxa"/>
              <w:right w:w="100" w:type="dxa"/>
            </w:tcMar>
          </w:tcPr>
          <w:p w14:paraId="0000060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0.87</w:t>
            </w:r>
          </w:p>
        </w:tc>
        <w:tc>
          <w:tcPr>
            <w:tcW w:w="851" w:type="dxa"/>
            <w:tcBorders>
              <w:top w:val="nil"/>
              <w:left w:val="nil"/>
              <w:bottom w:val="nil"/>
              <w:right w:val="nil"/>
            </w:tcBorders>
            <w:tcMar>
              <w:top w:w="100" w:type="dxa"/>
              <w:left w:w="100" w:type="dxa"/>
              <w:bottom w:w="100" w:type="dxa"/>
              <w:right w:w="100" w:type="dxa"/>
            </w:tcMar>
          </w:tcPr>
          <w:p w14:paraId="0000060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0.42</w:t>
            </w:r>
          </w:p>
        </w:tc>
        <w:tc>
          <w:tcPr>
            <w:tcW w:w="708" w:type="dxa"/>
            <w:tcBorders>
              <w:top w:val="nil"/>
              <w:left w:val="nil"/>
              <w:bottom w:val="nil"/>
              <w:right w:val="nil"/>
            </w:tcBorders>
            <w:tcMar>
              <w:top w:w="100" w:type="dxa"/>
              <w:left w:w="100" w:type="dxa"/>
              <w:bottom w:w="100" w:type="dxa"/>
              <w:right w:w="100" w:type="dxa"/>
            </w:tcMar>
          </w:tcPr>
          <w:p w14:paraId="0000060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0.01</w:t>
            </w:r>
          </w:p>
        </w:tc>
        <w:tc>
          <w:tcPr>
            <w:tcW w:w="709" w:type="dxa"/>
            <w:tcBorders>
              <w:top w:val="nil"/>
              <w:left w:val="nil"/>
              <w:bottom w:val="nil"/>
              <w:right w:val="nil"/>
            </w:tcBorders>
            <w:tcMar>
              <w:top w:w="100" w:type="dxa"/>
              <w:left w:w="100" w:type="dxa"/>
              <w:bottom w:w="100" w:type="dxa"/>
              <w:right w:w="100" w:type="dxa"/>
            </w:tcMar>
          </w:tcPr>
          <w:p w14:paraId="0000060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7:46</w:t>
            </w:r>
          </w:p>
        </w:tc>
        <w:tc>
          <w:tcPr>
            <w:tcW w:w="709" w:type="dxa"/>
            <w:tcBorders>
              <w:top w:val="nil"/>
              <w:left w:val="nil"/>
              <w:bottom w:val="nil"/>
              <w:right w:val="nil"/>
            </w:tcBorders>
            <w:tcMar>
              <w:top w:w="100" w:type="dxa"/>
              <w:left w:w="100" w:type="dxa"/>
              <w:bottom w:w="100" w:type="dxa"/>
              <w:right w:w="100" w:type="dxa"/>
            </w:tcMar>
          </w:tcPr>
          <w:p w14:paraId="0000060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1:59</w:t>
            </w:r>
          </w:p>
        </w:tc>
        <w:tc>
          <w:tcPr>
            <w:tcW w:w="850" w:type="dxa"/>
            <w:tcBorders>
              <w:top w:val="nil"/>
              <w:left w:val="nil"/>
              <w:bottom w:val="nil"/>
              <w:right w:val="nil"/>
            </w:tcBorders>
            <w:tcMar>
              <w:top w:w="100" w:type="dxa"/>
              <w:left w:w="100" w:type="dxa"/>
              <w:bottom w:w="100" w:type="dxa"/>
              <w:right w:w="100" w:type="dxa"/>
            </w:tcMar>
          </w:tcPr>
          <w:p w14:paraId="0000060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7:34</w:t>
            </w:r>
          </w:p>
        </w:tc>
        <w:tc>
          <w:tcPr>
            <w:tcW w:w="709" w:type="dxa"/>
            <w:tcBorders>
              <w:top w:val="nil"/>
              <w:left w:val="nil"/>
              <w:bottom w:val="nil"/>
              <w:right w:val="nil"/>
            </w:tcBorders>
            <w:tcMar>
              <w:top w:w="100" w:type="dxa"/>
              <w:left w:w="100" w:type="dxa"/>
              <w:bottom w:w="100" w:type="dxa"/>
              <w:right w:w="100" w:type="dxa"/>
            </w:tcMar>
          </w:tcPr>
          <w:p w14:paraId="0000060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1:24</w:t>
            </w:r>
          </w:p>
        </w:tc>
        <w:tc>
          <w:tcPr>
            <w:tcW w:w="805" w:type="dxa"/>
            <w:tcBorders>
              <w:top w:val="nil"/>
              <w:left w:val="nil"/>
              <w:bottom w:val="nil"/>
              <w:right w:val="nil"/>
            </w:tcBorders>
            <w:tcMar>
              <w:top w:w="100" w:type="dxa"/>
              <w:left w:w="100" w:type="dxa"/>
              <w:bottom w:w="100" w:type="dxa"/>
              <w:right w:w="100" w:type="dxa"/>
            </w:tcMar>
          </w:tcPr>
          <w:p w14:paraId="0000060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8:20</w:t>
            </w:r>
          </w:p>
        </w:tc>
        <w:tc>
          <w:tcPr>
            <w:tcW w:w="717" w:type="dxa"/>
            <w:tcBorders>
              <w:top w:val="nil"/>
              <w:left w:val="nil"/>
              <w:bottom w:val="nil"/>
              <w:right w:val="nil"/>
            </w:tcBorders>
            <w:tcMar>
              <w:top w:w="100" w:type="dxa"/>
              <w:left w:w="100" w:type="dxa"/>
              <w:bottom w:w="100" w:type="dxa"/>
              <w:right w:w="100" w:type="dxa"/>
            </w:tcMar>
          </w:tcPr>
          <w:p w14:paraId="0000060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1:49</w:t>
            </w:r>
          </w:p>
        </w:tc>
      </w:tr>
      <w:tr w:rsidR="00CB4215" w14:paraId="3A0F092C" w14:textId="77777777" w:rsidTr="007F0D2F">
        <w:trPr>
          <w:trHeight w:val="163"/>
        </w:trPr>
        <w:tc>
          <w:tcPr>
            <w:tcW w:w="2268" w:type="dxa"/>
            <w:tcBorders>
              <w:top w:val="nil"/>
              <w:left w:val="nil"/>
              <w:bottom w:val="nil"/>
              <w:right w:val="nil"/>
            </w:tcBorders>
            <w:tcMar>
              <w:top w:w="100" w:type="dxa"/>
              <w:left w:w="100" w:type="dxa"/>
              <w:bottom w:w="100" w:type="dxa"/>
              <w:right w:w="100" w:type="dxa"/>
            </w:tcMar>
          </w:tcPr>
          <w:p w14:paraId="0000060A" w14:textId="5BF51813"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Sleep time (</w:t>
            </w:r>
            <w:proofErr w:type="spellStart"/>
            <w:r>
              <w:rPr>
                <w:rFonts w:ascii="Times New Roman" w:eastAsia="Times New Roman" w:hAnsi="Times New Roman" w:cs="Times New Roman"/>
              </w:rPr>
              <w:t>hh</w:t>
            </w:r>
            <w:proofErr w:type="spellEnd"/>
            <w:r>
              <w:rPr>
                <w:rFonts w:ascii="Times New Roman" w:eastAsia="Times New Roman" w:hAnsi="Times New Roman" w:cs="Times New Roman"/>
              </w:rPr>
              <w:t>: mm)</w:t>
            </w:r>
          </w:p>
        </w:tc>
        <w:tc>
          <w:tcPr>
            <w:tcW w:w="709" w:type="dxa"/>
            <w:tcBorders>
              <w:top w:val="nil"/>
              <w:left w:val="nil"/>
              <w:bottom w:val="nil"/>
              <w:right w:val="nil"/>
            </w:tcBorders>
            <w:tcMar>
              <w:top w:w="100" w:type="dxa"/>
              <w:left w:w="100" w:type="dxa"/>
              <w:bottom w:w="100" w:type="dxa"/>
              <w:right w:w="100" w:type="dxa"/>
            </w:tcMar>
          </w:tcPr>
          <w:p w14:paraId="0000060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2.06</w:t>
            </w:r>
          </w:p>
        </w:tc>
        <w:tc>
          <w:tcPr>
            <w:tcW w:w="851" w:type="dxa"/>
            <w:tcBorders>
              <w:top w:val="nil"/>
              <w:left w:val="nil"/>
              <w:bottom w:val="nil"/>
              <w:right w:val="nil"/>
            </w:tcBorders>
            <w:tcMar>
              <w:top w:w="100" w:type="dxa"/>
              <w:left w:w="100" w:type="dxa"/>
              <w:bottom w:w="100" w:type="dxa"/>
              <w:right w:w="100" w:type="dxa"/>
            </w:tcMar>
          </w:tcPr>
          <w:p w14:paraId="0000060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0.13</w:t>
            </w:r>
          </w:p>
        </w:tc>
        <w:tc>
          <w:tcPr>
            <w:tcW w:w="708" w:type="dxa"/>
            <w:tcBorders>
              <w:top w:val="nil"/>
              <w:left w:val="nil"/>
              <w:bottom w:val="nil"/>
              <w:right w:val="nil"/>
            </w:tcBorders>
            <w:tcMar>
              <w:top w:w="100" w:type="dxa"/>
              <w:left w:w="100" w:type="dxa"/>
              <w:bottom w:w="100" w:type="dxa"/>
              <w:right w:w="100" w:type="dxa"/>
            </w:tcMar>
          </w:tcPr>
          <w:p w14:paraId="0000060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709" w:type="dxa"/>
            <w:tcBorders>
              <w:top w:val="nil"/>
              <w:left w:val="nil"/>
              <w:bottom w:val="nil"/>
              <w:right w:val="nil"/>
            </w:tcBorders>
            <w:tcMar>
              <w:top w:w="100" w:type="dxa"/>
              <w:left w:w="100" w:type="dxa"/>
              <w:bottom w:w="100" w:type="dxa"/>
              <w:right w:w="100" w:type="dxa"/>
            </w:tcMar>
          </w:tcPr>
          <w:p w14:paraId="0000060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23:27</w:t>
            </w:r>
          </w:p>
        </w:tc>
        <w:tc>
          <w:tcPr>
            <w:tcW w:w="709" w:type="dxa"/>
            <w:tcBorders>
              <w:top w:val="nil"/>
              <w:left w:val="nil"/>
              <w:bottom w:val="nil"/>
              <w:right w:val="nil"/>
            </w:tcBorders>
            <w:tcMar>
              <w:top w:w="100" w:type="dxa"/>
              <w:left w:w="100" w:type="dxa"/>
              <w:bottom w:w="100" w:type="dxa"/>
              <w:right w:w="100" w:type="dxa"/>
            </w:tcMar>
          </w:tcPr>
          <w:p w14:paraId="0000060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1:41</w:t>
            </w:r>
          </w:p>
        </w:tc>
        <w:tc>
          <w:tcPr>
            <w:tcW w:w="850" w:type="dxa"/>
            <w:tcBorders>
              <w:top w:val="nil"/>
              <w:left w:val="nil"/>
              <w:bottom w:val="nil"/>
              <w:right w:val="nil"/>
            </w:tcBorders>
            <w:tcMar>
              <w:top w:w="100" w:type="dxa"/>
              <w:left w:w="100" w:type="dxa"/>
              <w:bottom w:w="100" w:type="dxa"/>
              <w:right w:w="100" w:type="dxa"/>
            </w:tcMar>
          </w:tcPr>
          <w:p w14:paraId="0000061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23:09</w:t>
            </w:r>
          </w:p>
        </w:tc>
        <w:tc>
          <w:tcPr>
            <w:tcW w:w="709" w:type="dxa"/>
            <w:tcBorders>
              <w:top w:val="nil"/>
              <w:left w:val="nil"/>
              <w:bottom w:val="nil"/>
              <w:right w:val="nil"/>
            </w:tcBorders>
            <w:tcMar>
              <w:top w:w="100" w:type="dxa"/>
              <w:left w:w="100" w:type="dxa"/>
              <w:bottom w:w="100" w:type="dxa"/>
              <w:right w:w="100" w:type="dxa"/>
            </w:tcMar>
          </w:tcPr>
          <w:p w14:paraId="0000061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1:15</w:t>
            </w:r>
          </w:p>
        </w:tc>
        <w:tc>
          <w:tcPr>
            <w:tcW w:w="805" w:type="dxa"/>
            <w:tcBorders>
              <w:top w:val="nil"/>
              <w:left w:val="nil"/>
              <w:bottom w:val="nil"/>
              <w:right w:val="nil"/>
            </w:tcBorders>
            <w:tcMar>
              <w:top w:w="100" w:type="dxa"/>
              <w:left w:w="100" w:type="dxa"/>
              <w:bottom w:w="100" w:type="dxa"/>
              <w:right w:w="100" w:type="dxa"/>
            </w:tcMar>
          </w:tcPr>
          <w:p w14:paraId="0000061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23:56</w:t>
            </w:r>
          </w:p>
        </w:tc>
        <w:tc>
          <w:tcPr>
            <w:tcW w:w="717" w:type="dxa"/>
            <w:tcBorders>
              <w:top w:val="nil"/>
              <w:left w:val="nil"/>
              <w:bottom w:val="nil"/>
              <w:right w:val="nil"/>
            </w:tcBorders>
            <w:tcMar>
              <w:top w:w="100" w:type="dxa"/>
              <w:left w:w="100" w:type="dxa"/>
              <w:bottom w:w="100" w:type="dxa"/>
              <w:right w:w="100" w:type="dxa"/>
            </w:tcMar>
          </w:tcPr>
          <w:p w14:paraId="0000061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1:23</w:t>
            </w:r>
          </w:p>
        </w:tc>
      </w:tr>
      <w:tr w:rsidR="00CB4215" w14:paraId="6DDFAE6E" w14:textId="77777777" w:rsidTr="007F0D2F">
        <w:trPr>
          <w:trHeight w:val="259"/>
        </w:trPr>
        <w:tc>
          <w:tcPr>
            <w:tcW w:w="2268" w:type="dxa"/>
            <w:tcBorders>
              <w:top w:val="nil"/>
              <w:left w:val="nil"/>
              <w:bottom w:val="nil"/>
              <w:right w:val="nil"/>
            </w:tcBorders>
            <w:tcMar>
              <w:top w:w="100" w:type="dxa"/>
              <w:left w:w="100" w:type="dxa"/>
              <w:bottom w:w="100" w:type="dxa"/>
              <w:right w:w="100" w:type="dxa"/>
            </w:tcMar>
          </w:tcPr>
          <w:p w14:paraId="0000061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Physical activity</w:t>
            </w:r>
          </w:p>
        </w:tc>
        <w:tc>
          <w:tcPr>
            <w:tcW w:w="709" w:type="dxa"/>
            <w:tcBorders>
              <w:top w:val="nil"/>
              <w:left w:val="nil"/>
              <w:bottom w:val="nil"/>
              <w:right w:val="nil"/>
            </w:tcBorders>
            <w:tcMar>
              <w:top w:w="100" w:type="dxa"/>
              <w:left w:w="100" w:type="dxa"/>
              <w:bottom w:w="100" w:type="dxa"/>
              <w:right w:w="100" w:type="dxa"/>
            </w:tcMar>
          </w:tcPr>
          <w:p w14:paraId="0000061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0.30</w:t>
            </w:r>
          </w:p>
        </w:tc>
        <w:tc>
          <w:tcPr>
            <w:tcW w:w="851" w:type="dxa"/>
            <w:tcBorders>
              <w:top w:val="nil"/>
              <w:left w:val="nil"/>
              <w:bottom w:val="nil"/>
              <w:right w:val="nil"/>
            </w:tcBorders>
            <w:tcMar>
              <w:top w:w="100" w:type="dxa"/>
              <w:left w:w="100" w:type="dxa"/>
              <w:bottom w:w="100" w:type="dxa"/>
              <w:right w:w="100" w:type="dxa"/>
            </w:tcMar>
          </w:tcPr>
          <w:p w14:paraId="0000061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0.74</w:t>
            </w:r>
          </w:p>
        </w:tc>
        <w:tc>
          <w:tcPr>
            <w:tcW w:w="708" w:type="dxa"/>
            <w:tcBorders>
              <w:top w:val="nil"/>
              <w:left w:val="nil"/>
              <w:bottom w:val="nil"/>
              <w:right w:val="nil"/>
            </w:tcBorders>
            <w:tcMar>
              <w:top w:w="100" w:type="dxa"/>
              <w:left w:w="100" w:type="dxa"/>
              <w:bottom w:w="100" w:type="dxa"/>
              <w:right w:w="100" w:type="dxa"/>
            </w:tcMar>
          </w:tcPr>
          <w:p w14:paraId="0000061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0.002</w:t>
            </w:r>
          </w:p>
        </w:tc>
        <w:tc>
          <w:tcPr>
            <w:tcW w:w="709" w:type="dxa"/>
            <w:tcBorders>
              <w:top w:val="nil"/>
              <w:left w:val="nil"/>
              <w:bottom w:val="nil"/>
              <w:right w:val="nil"/>
            </w:tcBorders>
            <w:tcMar>
              <w:top w:w="100" w:type="dxa"/>
              <w:left w:w="100" w:type="dxa"/>
              <w:bottom w:w="100" w:type="dxa"/>
              <w:right w:w="100" w:type="dxa"/>
            </w:tcMar>
          </w:tcPr>
          <w:p w14:paraId="0000061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2.90</w:t>
            </w:r>
          </w:p>
        </w:tc>
        <w:tc>
          <w:tcPr>
            <w:tcW w:w="709" w:type="dxa"/>
            <w:tcBorders>
              <w:top w:val="nil"/>
              <w:left w:val="nil"/>
              <w:bottom w:val="nil"/>
              <w:right w:val="nil"/>
            </w:tcBorders>
            <w:tcMar>
              <w:top w:w="100" w:type="dxa"/>
              <w:left w:w="100" w:type="dxa"/>
              <w:bottom w:w="100" w:type="dxa"/>
              <w:right w:w="100" w:type="dxa"/>
            </w:tcMar>
          </w:tcPr>
          <w:p w14:paraId="0000061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2.10</w:t>
            </w:r>
          </w:p>
        </w:tc>
        <w:tc>
          <w:tcPr>
            <w:tcW w:w="850" w:type="dxa"/>
            <w:tcBorders>
              <w:top w:val="nil"/>
              <w:left w:val="nil"/>
              <w:bottom w:val="nil"/>
              <w:right w:val="nil"/>
            </w:tcBorders>
            <w:tcMar>
              <w:top w:w="100" w:type="dxa"/>
              <w:left w:w="100" w:type="dxa"/>
              <w:bottom w:w="100" w:type="dxa"/>
              <w:right w:w="100" w:type="dxa"/>
            </w:tcMar>
          </w:tcPr>
          <w:p w14:paraId="0000061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2.81</w:t>
            </w:r>
          </w:p>
        </w:tc>
        <w:tc>
          <w:tcPr>
            <w:tcW w:w="709" w:type="dxa"/>
            <w:tcBorders>
              <w:top w:val="nil"/>
              <w:left w:val="nil"/>
              <w:bottom w:val="nil"/>
              <w:right w:val="nil"/>
            </w:tcBorders>
            <w:tcMar>
              <w:top w:w="100" w:type="dxa"/>
              <w:left w:w="100" w:type="dxa"/>
              <w:bottom w:w="100" w:type="dxa"/>
              <w:right w:w="100" w:type="dxa"/>
            </w:tcMar>
          </w:tcPr>
          <w:p w14:paraId="0000061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2.25</w:t>
            </w:r>
          </w:p>
        </w:tc>
        <w:tc>
          <w:tcPr>
            <w:tcW w:w="805" w:type="dxa"/>
            <w:tcBorders>
              <w:top w:val="nil"/>
              <w:left w:val="nil"/>
              <w:bottom w:val="nil"/>
              <w:right w:val="nil"/>
            </w:tcBorders>
            <w:tcMar>
              <w:top w:w="100" w:type="dxa"/>
              <w:left w:w="100" w:type="dxa"/>
              <w:bottom w:w="100" w:type="dxa"/>
              <w:right w:w="100" w:type="dxa"/>
            </w:tcMar>
          </w:tcPr>
          <w:p w14:paraId="0000061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3.21</w:t>
            </w:r>
          </w:p>
        </w:tc>
        <w:tc>
          <w:tcPr>
            <w:tcW w:w="717" w:type="dxa"/>
            <w:tcBorders>
              <w:top w:val="nil"/>
              <w:left w:val="nil"/>
              <w:bottom w:val="nil"/>
              <w:right w:val="nil"/>
            </w:tcBorders>
            <w:tcMar>
              <w:top w:w="100" w:type="dxa"/>
              <w:left w:w="100" w:type="dxa"/>
              <w:bottom w:w="100" w:type="dxa"/>
              <w:right w:w="100" w:type="dxa"/>
            </w:tcMar>
          </w:tcPr>
          <w:p w14:paraId="0000061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1.80</w:t>
            </w:r>
          </w:p>
        </w:tc>
      </w:tr>
      <w:tr w:rsidR="00CB4215" w14:paraId="39339CCF" w14:textId="77777777" w:rsidTr="007F0D2F">
        <w:trPr>
          <w:trHeight w:val="242"/>
        </w:trPr>
        <w:tc>
          <w:tcPr>
            <w:tcW w:w="2268" w:type="dxa"/>
            <w:tcBorders>
              <w:top w:val="nil"/>
              <w:left w:val="nil"/>
              <w:bottom w:val="single" w:sz="4" w:space="0" w:color="000000"/>
              <w:right w:val="nil"/>
            </w:tcBorders>
            <w:tcMar>
              <w:top w:w="100" w:type="dxa"/>
              <w:left w:w="100" w:type="dxa"/>
              <w:bottom w:w="100" w:type="dxa"/>
              <w:right w:w="100" w:type="dxa"/>
            </w:tcMar>
          </w:tcPr>
          <w:p w14:paraId="0000061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Dietary Quality Score</w:t>
            </w:r>
          </w:p>
        </w:tc>
        <w:tc>
          <w:tcPr>
            <w:tcW w:w="709" w:type="dxa"/>
            <w:tcBorders>
              <w:top w:val="nil"/>
              <w:left w:val="nil"/>
              <w:bottom w:val="single" w:sz="4" w:space="0" w:color="000000"/>
              <w:right w:val="nil"/>
            </w:tcBorders>
            <w:tcMar>
              <w:top w:w="100" w:type="dxa"/>
              <w:left w:w="100" w:type="dxa"/>
              <w:bottom w:w="100" w:type="dxa"/>
              <w:right w:w="100" w:type="dxa"/>
            </w:tcMar>
          </w:tcPr>
          <w:p w14:paraId="0000061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0.74</w:t>
            </w:r>
          </w:p>
        </w:tc>
        <w:tc>
          <w:tcPr>
            <w:tcW w:w="851" w:type="dxa"/>
            <w:tcBorders>
              <w:top w:val="nil"/>
              <w:left w:val="nil"/>
              <w:bottom w:val="single" w:sz="4" w:space="0" w:color="000000"/>
              <w:right w:val="nil"/>
            </w:tcBorders>
            <w:tcMar>
              <w:top w:w="100" w:type="dxa"/>
              <w:left w:w="100" w:type="dxa"/>
              <w:bottom w:w="100" w:type="dxa"/>
              <w:right w:w="100" w:type="dxa"/>
            </w:tcMar>
          </w:tcPr>
          <w:p w14:paraId="0000062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0.48</w:t>
            </w:r>
          </w:p>
        </w:tc>
        <w:tc>
          <w:tcPr>
            <w:tcW w:w="708" w:type="dxa"/>
            <w:tcBorders>
              <w:top w:val="nil"/>
              <w:left w:val="nil"/>
              <w:bottom w:val="single" w:sz="4" w:space="0" w:color="000000"/>
              <w:right w:val="nil"/>
            </w:tcBorders>
            <w:tcMar>
              <w:top w:w="100" w:type="dxa"/>
              <w:left w:w="100" w:type="dxa"/>
              <w:bottom w:w="100" w:type="dxa"/>
              <w:right w:w="100" w:type="dxa"/>
            </w:tcMar>
          </w:tcPr>
          <w:p w14:paraId="0000062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0.01</w:t>
            </w:r>
          </w:p>
        </w:tc>
        <w:tc>
          <w:tcPr>
            <w:tcW w:w="709" w:type="dxa"/>
            <w:tcBorders>
              <w:top w:val="nil"/>
              <w:left w:val="nil"/>
              <w:bottom w:val="single" w:sz="4" w:space="0" w:color="000000"/>
              <w:right w:val="nil"/>
            </w:tcBorders>
            <w:tcMar>
              <w:top w:w="100" w:type="dxa"/>
              <w:left w:w="100" w:type="dxa"/>
              <w:bottom w:w="100" w:type="dxa"/>
              <w:right w:w="100" w:type="dxa"/>
            </w:tcMar>
          </w:tcPr>
          <w:p w14:paraId="0000062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9.85</w:t>
            </w:r>
          </w:p>
        </w:tc>
        <w:tc>
          <w:tcPr>
            <w:tcW w:w="709" w:type="dxa"/>
            <w:tcBorders>
              <w:top w:val="nil"/>
              <w:left w:val="nil"/>
              <w:bottom w:val="single" w:sz="4" w:space="0" w:color="000000"/>
              <w:right w:val="nil"/>
            </w:tcBorders>
            <w:tcMar>
              <w:top w:w="100" w:type="dxa"/>
              <w:left w:w="100" w:type="dxa"/>
              <w:bottom w:w="100" w:type="dxa"/>
              <w:right w:w="100" w:type="dxa"/>
            </w:tcMar>
          </w:tcPr>
          <w:p w14:paraId="0000062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1.85</w:t>
            </w:r>
          </w:p>
        </w:tc>
        <w:tc>
          <w:tcPr>
            <w:tcW w:w="850" w:type="dxa"/>
            <w:tcBorders>
              <w:top w:val="nil"/>
              <w:left w:val="nil"/>
              <w:bottom w:val="single" w:sz="4" w:space="0" w:color="000000"/>
              <w:right w:val="nil"/>
            </w:tcBorders>
            <w:tcMar>
              <w:top w:w="100" w:type="dxa"/>
              <w:left w:w="100" w:type="dxa"/>
              <w:bottom w:w="100" w:type="dxa"/>
              <w:right w:w="100" w:type="dxa"/>
            </w:tcMar>
          </w:tcPr>
          <w:p w14:paraId="0000062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10.18</w:t>
            </w:r>
          </w:p>
        </w:tc>
        <w:tc>
          <w:tcPr>
            <w:tcW w:w="709" w:type="dxa"/>
            <w:tcBorders>
              <w:top w:val="nil"/>
              <w:left w:val="nil"/>
              <w:bottom w:val="single" w:sz="4" w:space="0" w:color="000000"/>
              <w:right w:val="nil"/>
            </w:tcBorders>
            <w:tcMar>
              <w:top w:w="100" w:type="dxa"/>
              <w:left w:w="100" w:type="dxa"/>
              <w:bottom w:w="100" w:type="dxa"/>
              <w:right w:w="100" w:type="dxa"/>
            </w:tcMar>
          </w:tcPr>
          <w:p w14:paraId="0000062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1.97</w:t>
            </w:r>
          </w:p>
        </w:tc>
        <w:tc>
          <w:tcPr>
            <w:tcW w:w="805" w:type="dxa"/>
            <w:tcBorders>
              <w:top w:val="nil"/>
              <w:left w:val="nil"/>
              <w:bottom w:val="single" w:sz="4" w:space="0" w:color="000000"/>
              <w:right w:val="nil"/>
            </w:tcBorders>
            <w:tcMar>
              <w:top w:w="100" w:type="dxa"/>
              <w:left w:w="100" w:type="dxa"/>
              <w:bottom w:w="100" w:type="dxa"/>
              <w:right w:w="100" w:type="dxa"/>
            </w:tcMar>
          </w:tcPr>
          <w:p w14:paraId="0000062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9.93</w:t>
            </w:r>
          </w:p>
        </w:tc>
        <w:tc>
          <w:tcPr>
            <w:tcW w:w="717" w:type="dxa"/>
            <w:tcBorders>
              <w:top w:val="nil"/>
              <w:left w:val="nil"/>
              <w:bottom w:val="single" w:sz="4" w:space="0" w:color="000000"/>
              <w:right w:val="nil"/>
            </w:tcBorders>
            <w:tcMar>
              <w:top w:w="100" w:type="dxa"/>
              <w:left w:w="100" w:type="dxa"/>
              <w:bottom w:w="100" w:type="dxa"/>
              <w:right w:w="100" w:type="dxa"/>
            </w:tcMar>
          </w:tcPr>
          <w:p w14:paraId="0000062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1.60</w:t>
            </w:r>
          </w:p>
        </w:tc>
      </w:tr>
    </w:tbl>
    <w:p w14:paraId="0C2FD712" w14:textId="0A0C7F84" w:rsidR="00FF11D8" w:rsidRPr="00D03B56"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i/>
          <w:sz w:val="20"/>
          <w:szCs w:val="20"/>
        </w:rPr>
        <w:t>Note</w:t>
      </w:r>
      <w:r w:rsidRPr="00D03B56">
        <w:rPr>
          <w:rFonts w:ascii="Times New Roman" w:eastAsia="Times New Roman" w:hAnsi="Times New Roman" w:cs="Times New Roman"/>
          <w:sz w:val="20"/>
          <w:szCs w:val="20"/>
        </w:rPr>
        <w:t xml:space="preserve">: </w:t>
      </w:r>
      <w:r w:rsidR="00FF11D8" w:rsidRPr="00D03B56">
        <w:rPr>
          <w:rFonts w:ascii="Times New Roman" w:eastAsia="Times New Roman" w:hAnsi="Times New Roman" w:cs="Times New Roman"/>
          <w:sz w:val="20"/>
          <w:szCs w:val="20"/>
        </w:rPr>
        <w:t xml:space="preserve">All comparisons were controlled for age and gender. </w:t>
      </w:r>
      <w:r w:rsidR="001E7D67" w:rsidRPr="00D03B56">
        <w:rPr>
          <w:rFonts w:ascii="Times New Roman" w:eastAsia="Times New Roman" w:hAnsi="Times New Roman" w:cs="Times New Roman"/>
          <w:sz w:val="20"/>
          <w:szCs w:val="20"/>
        </w:rPr>
        <w:t>Data are presented as mean and SD.</w:t>
      </w:r>
    </w:p>
    <w:p w14:paraId="00000628" w14:textId="0CDCC2F5" w:rsidR="00CB4215" w:rsidRPr="00D03B56"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rPr>
        <w:t>Dietary Quality Score (Cleghorn et al. 2016).</w:t>
      </w:r>
    </w:p>
    <w:p w14:paraId="00000629" w14:textId="77777777" w:rsidR="00CB4215" w:rsidRPr="00D03B56"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vertAlign w:val="superscript"/>
        </w:rPr>
        <w:t>a</w:t>
      </w:r>
      <w:r w:rsidRPr="00D03B56">
        <w:rPr>
          <w:rFonts w:ascii="Times New Roman" w:eastAsia="Times New Roman" w:hAnsi="Times New Roman" w:cs="Times New Roman"/>
          <w:sz w:val="20"/>
          <w:szCs w:val="20"/>
        </w:rPr>
        <w:t xml:space="preserve"> </w:t>
      </w:r>
      <w:r w:rsidRPr="00D03B56">
        <w:rPr>
          <w:rFonts w:ascii="Times New Roman" w:eastAsia="Times New Roman" w:hAnsi="Times New Roman" w:cs="Times New Roman"/>
          <w:i/>
          <w:iCs/>
          <w:sz w:val="20"/>
          <w:szCs w:val="20"/>
        </w:rPr>
        <w:t>p</w:t>
      </w:r>
      <w:r w:rsidRPr="00D03B56">
        <w:rPr>
          <w:rFonts w:ascii="Times New Roman" w:eastAsia="Times New Roman" w:hAnsi="Times New Roman" w:cs="Times New Roman"/>
          <w:sz w:val="20"/>
          <w:szCs w:val="20"/>
        </w:rPr>
        <w:t>&lt;0.001 vs low meal chaotic eaters.</w:t>
      </w:r>
    </w:p>
    <w:p w14:paraId="0000062A" w14:textId="193D8009" w:rsidR="00CB4215"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rPr>
        <w:t>Significant difference is in bold and highlighted</w:t>
      </w:r>
      <w:r w:rsidR="00FF11D8">
        <w:rPr>
          <w:rFonts w:ascii="Times New Roman" w:eastAsia="Times New Roman" w:hAnsi="Times New Roman" w:cs="Times New Roman"/>
          <w:sz w:val="20"/>
          <w:szCs w:val="20"/>
        </w:rPr>
        <w:t>.</w:t>
      </w:r>
    </w:p>
    <w:p w14:paraId="0000062B" w14:textId="77777777" w:rsidR="00CB4215" w:rsidRDefault="00CB4215">
      <w:pPr>
        <w:spacing w:line="240" w:lineRule="auto"/>
        <w:rPr>
          <w:rFonts w:ascii="Times New Roman" w:eastAsia="Times New Roman" w:hAnsi="Times New Roman" w:cs="Times New Roman"/>
          <w:sz w:val="20"/>
          <w:szCs w:val="20"/>
        </w:rPr>
      </w:pPr>
    </w:p>
    <w:p w14:paraId="0000062C" w14:textId="77777777" w:rsidR="00CB4215" w:rsidRDefault="000530B4">
      <w:pPr>
        <w:pStyle w:val="Heading3"/>
        <w:rPr>
          <w:rFonts w:ascii="Times New Roman" w:eastAsia="Times New Roman" w:hAnsi="Times New Roman" w:cs="Times New Roman"/>
          <w:b/>
          <w:color w:val="000000"/>
        </w:rPr>
      </w:pPr>
      <w:bookmarkStart w:id="85" w:name="_Toc172984804"/>
      <w:r>
        <w:rPr>
          <w:rFonts w:ascii="Times New Roman" w:eastAsia="Times New Roman" w:hAnsi="Times New Roman" w:cs="Times New Roman"/>
          <w:b/>
          <w:color w:val="000000"/>
        </w:rPr>
        <w:t>4.5 Discussion</w:t>
      </w:r>
      <w:bookmarkEnd w:id="85"/>
    </w:p>
    <w:p w14:paraId="0000062D"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4.5.1 Meal timing</w:t>
      </w:r>
    </w:p>
    <w:p w14:paraId="0000062E" w14:textId="77777777" w:rsidR="00CB4215" w:rsidRDefault="00CB4215"/>
    <w:p w14:paraId="0000062F"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study found that late eating was not significantly associated with higher BMI. However, late eaters scored lower on craving control and reported longer daily consumption windows than early eaters. Other eating behaviour traits and health behaviours did not significantly differ between early versus late eaters. </w:t>
      </w:r>
    </w:p>
    <w:p w14:paraId="00000630" w14:textId="77777777" w:rsidR="00CB4215" w:rsidRDefault="00CB4215">
      <w:pPr>
        <w:spacing w:line="480" w:lineRule="auto"/>
        <w:rPr>
          <w:rFonts w:ascii="Times New Roman" w:eastAsia="Times New Roman" w:hAnsi="Times New Roman" w:cs="Times New Roman"/>
          <w:sz w:val="24"/>
          <w:szCs w:val="24"/>
        </w:rPr>
      </w:pPr>
    </w:p>
    <w:p w14:paraId="00000631" w14:textId="3E230D85"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 that no significant associations between late eating and higher BMI is in line with previous studies (</w:t>
      </w:r>
      <w:proofErr w:type="spellStart"/>
      <w:r>
        <w:rPr>
          <w:rFonts w:ascii="Times New Roman" w:eastAsia="Times New Roman" w:hAnsi="Times New Roman" w:cs="Times New Roman"/>
          <w:sz w:val="24"/>
          <w:szCs w:val="24"/>
        </w:rPr>
        <w:t>Kutsuma</w:t>
      </w:r>
      <w:proofErr w:type="spellEnd"/>
      <w:r>
        <w:rPr>
          <w:rFonts w:ascii="Times New Roman" w:eastAsia="Times New Roman" w:hAnsi="Times New Roman" w:cs="Times New Roman"/>
          <w:sz w:val="24"/>
          <w:szCs w:val="24"/>
        </w:rPr>
        <w:t xml:space="preserve"> et al., 2014; Sandhu et al., 2017; </w:t>
      </w:r>
      <w:proofErr w:type="spellStart"/>
      <w:r>
        <w:rPr>
          <w:rFonts w:ascii="Times New Roman" w:eastAsia="Times New Roman" w:hAnsi="Times New Roman" w:cs="Times New Roman"/>
          <w:sz w:val="24"/>
          <w:szCs w:val="24"/>
        </w:rPr>
        <w:t>Culnan</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 2019; Lee et al., 2016; Kant et al., 1995; Kant et al., 1997; </w:t>
      </w:r>
      <w:proofErr w:type="spellStart"/>
      <w:r>
        <w:rPr>
          <w:rFonts w:ascii="Times New Roman" w:eastAsia="Times New Roman" w:hAnsi="Times New Roman" w:cs="Times New Roman"/>
          <w:sz w:val="24"/>
          <w:szCs w:val="24"/>
        </w:rPr>
        <w:t>Mogensen</w:t>
      </w:r>
      <w:proofErr w:type="spellEnd"/>
      <w:r>
        <w:rPr>
          <w:rFonts w:ascii="Times New Roman" w:eastAsia="Times New Roman" w:hAnsi="Times New Roman" w:cs="Times New Roman"/>
          <w:sz w:val="24"/>
          <w:szCs w:val="24"/>
        </w:rPr>
        <w:t xml:space="preserve"> et al., 2020; Jacob et al., 2023). For example, a study of middle-aged women found that there was no significant association between consuming foods after 10 pm and increased BMI </w:t>
      </w:r>
      <w:hyperlink r:id="rId504">
        <w:r>
          <w:rPr>
            <w:rFonts w:ascii="Times New Roman" w:eastAsia="Times New Roman" w:hAnsi="Times New Roman" w:cs="Times New Roman"/>
            <w:color w:val="000000"/>
            <w:sz w:val="24"/>
            <w:szCs w:val="24"/>
          </w:rPr>
          <w:t>(Mills et al., 2011)</w:t>
        </w:r>
      </w:hyperlink>
      <w:r>
        <w:rPr>
          <w:rFonts w:ascii="Times New Roman" w:eastAsia="Times New Roman" w:hAnsi="Times New Roman" w:cs="Times New Roman"/>
          <w:sz w:val="24"/>
          <w:szCs w:val="24"/>
        </w:rPr>
        <w:t>. In contrast, other studies indicated that late eating was linked with higher BMI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w:t>
      </w:r>
      <w:r>
        <w:rPr>
          <w:rFonts w:ascii="Times New Roman" w:eastAsia="Times New Roman" w:hAnsi="Times New Roman" w:cs="Times New Roman"/>
          <w:sz w:val="24"/>
          <w:szCs w:val="24"/>
        </w:rPr>
        <w:lastRenderedPageBreak/>
        <w:t xml:space="preserve">2021; Baron et al., 2011; </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Okada et al., 2019; Xiao et al., 2019; Yoshida et al., 2018; Bo et al., 2014). For example, a study assessed self-reported meal timing in middle-aged Japanese men with obesity showed that a late dinner time (after 9 pm) was associated with short sleep duration and higher BMI </w:t>
      </w:r>
      <w:hyperlink r:id="rId505">
        <w:r>
          <w:rPr>
            <w:rFonts w:ascii="Times New Roman" w:eastAsia="Times New Roman" w:hAnsi="Times New Roman" w:cs="Times New Roman"/>
            <w:color w:val="000000"/>
            <w:sz w:val="24"/>
            <w:szCs w:val="24"/>
          </w:rPr>
          <w:t>(Hsieh et al., 2011)</w:t>
        </w:r>
      </w:hyperlink>
      <w:r>
        <w:rPr>
          <w:rFonts w:ascii="Times New Roman" w:eastAsia="Times New Roman" w:hAnsi="Times New Roman" w:cs="Times New Roman"/>
          <w:sz w:val="24"/>
          <w:szCs w:val="24"/>
        </w:rPr>
        <w:t>. There are plausible explanations for such inconsistency. Firstly, there is a lack of consensus on the definition of late evening. Previous studies have categorized early and late eaters using various methods, including calculating the midpoint between breakfast and evening meal times (e.g., early: before 14:54 vs late: after 14:54)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Zaman et al., 2019), defining the main meal (lunch) time (e.g., early: before 15:00 vs. late: after 15:00) (</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Ruiz-Lozano et al., 2016; </w:t>
      </w:r>
      <w:proofErr w:type="spellStart"/>
      <w:r>
        <w:rPr>
          <w:rFonts w:ascii="Times New Roman" w:eastAsia="Times New Roman" w:hAnsi="Times New Roman" w:cs="Times New Roman"/>
          <w:sz w:val="24"/>
          <w:szCs w:val="24"/>
        </w:rPr>
        <w:t>Bandin</w:t>
      </w:r>
      <w:proofErr w:type="spellEnd"/>
      <w:r>
        <w:rPr>
          <w:rFonts w:ascii="Times New Roman" w:eastAsia="Times New Roman" w:hAnsi="Times New Roman" w:cs="Times New Roman"/>
          <w:sz w:val="24"/>
          <w:szCs w:val="24"/>
        </w:rPr>
        <w:t xml:space="preserve"> et al., 2015), specifying evening meal times (e.g., routine dinner at 18:00 vs. late dinner at 22:00;) (Gu et al., 2021); (early group: 19:00-19:30, late group: 22:30-23:00) (</w:t>
      </w:r>
      <w:proofErr w:type="spellStart"/>
      <w:r>
        <w:rPr>
          <w:rFonts w:ascii="Times New Roman" w:eastAsia="Times New Roman" w:hAnsi="Times New Roman" w:cs="Times New Roman"/>
          <w:sz w:val="24"/>
          <w:szCs w:val="24"/>
        </w:rPr>
        <w:t>Madjd</w:t>
      </w:r>
      <w:proofErr w:type="spellEnd"/>
      <w:r>
        <w:rPr>
          <w:rFonts w:ascii="Times New Roman" w:eastAsia="Times New Roman" w:hAnsi="Times New Roman" w:cs="Times New Roman"/>
          <w:sz w:val="24"/>
          <w:szCs w:val="24"/>
        </w:rPr>
        <w:t xml:space="preserve"> et al., 2021); (early: before 18:00 vs late: after 20:00) (Sandhu et al., 2017); (early: before 20:00; late: after 20:00) (Baron et al., 2011; </w:t>
      </w:r>
      <w:proofErr w:type="spellStart"/>
      <w:r>
        <w:rPr>
          <w:rFonts w:ascii="Times New Roman" w:eastAsia="Times New Roman" w:hAnsi="Times New Roman" w:cs="Times New Roman"/>
          <w:sz w:val="24"/>
          <w:szCs w:val="24"/>
        </w:rPr>
        <w:t>kant</w:t>
      </w:r>
      <w:proofErr w:type="spellEnd"/>
      <w:r>
        <w:rPr>
          <w:rFonts w:ascii="Times New Roman" w:eastAsia="Times New Roman" w:hAnsi="Times New Roman" w:cs="Times New Roman"/>
          <w:sz w:val="24"/>
          <w:szCs w:val="24"/>
        </w:rPr>
        <w:t xml:space="preserve"> et al.,1997), and using self-administered questionnaires (Okada et al., 2019; </w:t>
      </w:r>
      <w:proofErr w:type="spellStart"/>
      <w:r>
        <w:rPr>
          <w:rFonts w:ascii="Times New Roman" w:eastAsia="Times New Roman" w:hAnsi="Times New Roman" w:cs="Times New Roman"/>
          <w:sz w:val="24"/>
          <w:szCs w:val="24"/>
        </w:rPr>
        <w:t>Kutsuma</w:t>
      </w:r>
      <w:proofErr w:type="spellEnd"/>
      <w:r>
        <w:rPr>
          <w:rFonts w:ascii="Times New Roman" w:eastAsia="Times New Roman" w:hAnsi="Times New Roman" w:cs="Times New Roman"/>
          <w:sz w:val="24"/>
          <w:szCs w:val="24"/>
        </w:rPr>
        <w:t xml:space="preserve"> et al., 2014; Lee et al., 2016). In the current study, early and late evening eaters were categorised differently by using hierarchical cluster analysis (Ward's method) based on the time of the last eating episode self-reported by participants. Furthermore, the cut-off point in this study is 8 PM, aligning with some previous research (Baron et al., 2011; Jacob et al., 2023; Sandhu et al., 2017). Second is the consideration of total energy intake because not all studies adjusted for total energy intake </w:t>
      </w:r>
      <w:hyperlink r:id="rId50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Kahleova</w:t>
        </w:r>
        <w:proofErr w:type="spellEnd"/>
        <w:r>
          <w:rPr>
            <w:rFonts w:ascii="Times New Roman" w:eastAsia="Times New Roman" w:hAnsi="Times New Roman" w:cs="Times New Roman"/>
            <w:color w:val="000000"/>
            <w:sz w:val="24"/>
            <w:szCs w:val="24"/>
          </w:rPr>
          <w:t xml:space="preserve"> et al. 2017; Okada et al. 2019; </w:t>
        </w:r>
        <w:proofErr w:type="spellStart"/>
        <w:r>
          <w:rPr>
            <w:rFonts w:ascii="Times New Roman" w:eastAsia="Times New Roman" w:hAnsi="Times New Roman" w:cs="Times New Roman"/>
            <w:color w:val="000000"/>
            <w:sz w:val="24"/>
            <w:szCs w:val="24"/>
          </w:rPr>
          <w:t>Kito</w:t>
        </w:r>
        <w:proofErr w:type="spellEnd"/>
        <w:r>
          <w:rPr>
            <w:rFonts w:ascii="Times New Roman" w:eastAsia="Times New Roman" w:hAnsi="Times New Roman" w:cs="Times New Roman"/>
            <w:color w:val="000000"/>
            <w:sz w:val="24"/>
            <w:szCs w:val="24"/>
          </w:rPr>
          <w:t xml:space="preserve"> et al. 2019)</w:t>
        </w:r>
      </w:hyperlink>
      <w:r>
        <w:rPr>
          <w:rFonts w:ascii="Times New Roman" w:eastAsia="Times New Roman" w:hAnsi="Times New Roman" w:cs="Times New Roman"/>
          <w:sz w:val="24"/>
          <w:szCs w:val="24"/>
        </w:rPr>
        <w:t xml:space="preserve">. There is evidence that foods consumed in the evening have a higher energy density than those consumed earlier in the day </w:t>
      </w:r>
      <w:hyperlink r:id="rId507">
        <w:r>
          <w:rPr>
            <w:rFonts w:ascii="Times New Roman" w:eastAsia="Times New Roman" w:hAnsi="Times New Roman" w:cs="Times New Roman"/>
            <w:color w:val="000000"/>
            <w:sz w:val="24"/>
            <w:szCs w:val="24"/>
          </w:rPr>
          <w:t xml:space="preserve">(de Castro 2004; Kant and </w:t>
        </w:r>
        <w:proofErr w:type="spellStart"/>
        <w:r>
          <w:rPr>
            <w:rFonts w:ascii="Times New Roman" w:eastAsia="Times New Roman" w:hAnsi="Times New Roman" w:cs="Times New Roman"/>
            <w:color w:val="000000"/>
            <w:sz w:val="24"/>
            <w:szCs w:val="24"/>
          </w:rPr>
          <w:t>Graubard</w:t>
        </w:r>
        <w:proofErr w:type="spellEnd"/>
        <w:r>
          <w:rPr>
            <w:rFonts w:ascii="Times New Roman" w:eastAsia="Times New Roman" w:hAnsi="Times New Roman" w:cs="Times New Roman"/>
            <w:color w:val="000000"/>
            <w:sz w:val="24"/>
            <w:szCs w:val="24"/>
          </w:rPr>
          <w:t xml:space="preserve"> 2006)</w:t>
        </w:r>
      </w:hyperlink>
      <w:r>
        <w:rPr>
          <w:rFonts w:ascii="Times New Roman" w:eastAsia="Times New Roman" w:hAnsi="Times New Roman" w:cs="Times New Roman"/>
          <w:sz w:val="24"/>
          <w:szCs w:val="24"/>
        </w:rPr>
        <w:t xml:space="preserve">, which can promote greater energy intake </w:t>
      </w:r>
      <w:hyperlink r:id="rId508">
        <w:r>
          <w:rPr>
            <w:rFonts w:ascii="Times New Roman" w:eastAsia="Times New Roman" w:hAnsi="Times New Roman" w:cs="Times New Roman"/>
            <w:color w:val="000000"/>
            <w:sz w:val="24"/>
            <w:szCs w:val="24"/>
          </w:rPr>
          <w:t xml:space="preserve">(Murakami et al. 2017; </w:t>
        </w:r>
        <w:proofErr w:type="spellStart"/>
        <w:r>
          <w:rPr>
            <w:rFonts w:ascii="Times New Roman" w:eastAsia="Times New Roman" w:hAnsi="Times New Roman" w:cs="Times New Roman"/>
            <w:color w:val="000000"/>
            <w:sz w:val="24"/>
            <w:szCs w:val="24"/>
          </w:rPr>
          <w:t>Ledikwe</w:t>
        </w:r>
        <w:proofErr w:type="spellEnd"/>
        <w:r>
          <w:rPr>
            <w:rFonts w:ascii="Times New Roman" w:eastAsia="Times New Roman" w:hAnsi="Times New Roman" w:cs="Times New Roman"/>
            <w:color w:val="000000"/>
            <w:sz w:val="24"/>
            <w:szCs w:val="24"/>
          </w:rPr>
          <w:t xml:space="preserve"> et al. 2006)</w:t>
        </w:r>
      </w:hyperlink>
      <w:r>
        <w:rPr>
          <w:rFonts w:ascii="Times New Roman" w:eastAsia="Times New Roman" w:hAnsi="Times New Roman" w:cs="Times New Roman"/>
          <w:sz w:val="24"/>
          <w:szCs w:val="24"/>
        </w:rPr>
        <w:t xml:space="preserve">. Finally, the weight status of participants could contribute to inconsistent results. In the present study, participants with overweight and obesity (n = 131) and healthy participants (n = 129) were recruited. It should be noted that </w:t>
      </w:r>
      <w:r>
        <w:rPr>
          <w:rFonts w:ascii="Times New Roman" w:eastAsia="Times New Roman" w:hAnsi="Times New Roman" w:cs="Times New Roman"/>
          <w:sz w:val="24"/>
          <w:szCs w:val="24"/>
        </w:rPr>
        <w:lastRenderedPageBreak/>
        <w:t>weight status could influence the timing and frequency of eating episodes (</w:t>
      </w:r>
      <w:proofErr w:type="spellStart"/>
      <w:r>
        <w:rPr>
          <w:rFonts w:ascii="Times New Roman" w:eastAsia="Times New Roman" w:hAnsi="Times New Roman" w:cs="Times New Roman"/>
          <w:sz w:val="24"/>
          <w:szCs w:val="24"/>
        </w:rPr>
        <w:t>Dasti</w:t>
      </w:r>
      <w:proofErr w:type="spellEnd"/>
      <w:r>
        <w:rPr>
          <w:rFonts w:ascii="Times New Roman" w:eastAsia="Times New Roman" w:hAnsi="Times New Roman" w:cs="Times New Roman"/>
          <w:sz w:val="24"/>
          <w:szCs w:val="24"/>
        </w:rPr>
        <w:t xml:space="preserve"> et al., 2019). For example, in a study of 83 women with obesity and 94 women without obesity, meal frequency, type, and timing were assessed by a self-reported questionnaire. Results showed that participants with obesity consumed more meals in the afternoon and evening and had more frequent eating episodes than participants without obesity </w:t>
      </w:r>
      <w:hyperlink r:id="rId50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Bertéus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Forslund</w:t>
        </w:r>
        <w:proofErr w:type="spellEnd"/>
        <w:r>
          <w:rPr>
            <w:rFonts w:ascii="Times New Roman" w:eastAsia="Times New Roman" w:hAnsi="Times New Roman" w:cs="Times New Roman"/>
            <w:color w:val="000000"/>
            <w:sz w:val="24"/>
            <w:szCs w:val="24"/>
          </w:rPr>
          <w:t xml:space="preserve"> et al., 2002)</w:t>
        </w:r>
      </w:hyperlink>
      <w:r>
        <w:rPr>
          <w:rFonts w:ascii="Times New Roman" w:eastAsia="Times New Roman" w:hAnsi="Times New Roman" w:cs="Times New Roman"/>
          <w:sz w:val="24"/>
          <w:szCs w:val="24"/>
        </w:rPr>
        <w:t xml:space="preserve">. Population-based cohort analyses have also observed that participants with overweight were also more likely to skip breakfast </w:t>
      </w:r>
      <w:hyperlink r:id="rId510">
        <w:r>
          <w:rPr>
            <w:rFonts w:ascii="Times New Roman" w:eastAsia="Times New Roman" w:hAnsi="Times New Roman" w:cs="Times New Roman"/>
            <w:color w:val="000000"/>
            <w:sz w:val="24"/>
            <w:szCs w:val="24"/>
          </w:rPr>
          <w:t xml:space="preserve">(Kant and </w:t>
        </w:r>
        <w:proofErr w:type="spellStart"/>
        <w:r>
          <w:rPr>
            <w:rFonts w:ascii="Times New Roman" w:eastAsia="Times New Roman" w:hAnsi="Times New Roman" w:cs="Times New Roman"/>
            <w:color w:val="000000"/>
            <w:sz w:val="24"/>
            <w:szCs w:val="24"/>
          </w:rPr>
          <w:t>Graubard</w:t>
        </w:r>
        <w:proofErr w:type="spellEnd"/>
        <w:r w:rsidR="00C954F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2015)</w:t>
        </w:r>
      </w:hyperlink>
      <w:r>
        <w:rPr>
          <w:rFonts w:ascii="Times New Roman" w:eastAsia="Times New Roman" w:hAnsi="Times New Roman" w:cs="Times New Roman"/>
          <w:sz w:val="24"/>
          <w:szCs w:val="24"/>
        </w:rPr>
        <w:t xml:space="preserve"> and eat more in the evening </w:t>
      </w:r>
      <w:hyperlink r:id="rId511">
        <w:r>
          <w:rPr>
            <w:rFonts w:ascii="Times New Roman" w:eastAsia="Times New Roman" w:hAnsi="Times New Roman" w:cs="Times New Roman"/>
            <w:color w:val="000000"/>
            <w:sz w:val="24"/>
            <w:szCs w:val="24"/>
          </w:rPr>
          <w:t>(Winkler et al., 1999)</w:t>
        </w:r>
      </w:hyperlink>
      <w:r>
        <w:rPr>
          <w:rFonts w:ascii="Times New Roman" w:eastAsia="Times New Roman" w:hAnsi="Times New Roman" w:cs="Times New Roman"/>
          <w:sz w:val="24"/>
          <w:szCs w:val="24"/>
        </w:rPr>
        <w:t>. Therefore, further research is needed to investigate whether the effect of late eating on body weight is the same in participants with overweight and obesity as participants with normal weight.</w:t>
      </w:r>
    </w:p>
    <w:p w14:paraId="00000632" w14:textId="77777777" w:rsidR="00CB4215" w:rsidRDefault="00CB4215">
      <w:pPr>
        <w:spacing w:line="480" w:lineRule="auto"/>
        <w:rPr>
          <w:rFonts w:ascii="Times New Roman" w:eastAsia="Times New Roman" w:hAnsi="Times New Roman" w:cs="Times New Roman"/>
          <w:sz w:val="24"/>
          <w:szCs w:val="24"/>
        </w:rPr>
      </w:pPr>
    </w:p>
    <w:p w14:paraId="00000633" w14:textId="61CA8D38"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study extends previous research on the association between meal timing and BMI by identifying the eating behaviour traits linked with the time of the last eating episode and BMI. While early reports identified that early meal timing is associated with decreased appetite (Suzuki et al., 2015; Beaulieu et al., 2020), the present study compared eating behaviour traits linked with the susceptibility of overconsumption (uncontrolled eating, craving control, emotional eating, cognitive restraint, satiety responsiveness and reliance on hunger and satiety cues) between early versus late eaters and found that late eaters scored lower in craving control than early eaters. While other research comparing late and early eaters has found that late eaters are more likely to eat under stress, overeat in the evening, and eat while watching TV, compared with early eaters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at the time of this study, limited research has been done on the psychological characteristics (eating behaviour traits) of late eaters. For the first time, late eaters in this study reported lower ability to control food craving. While experiencing cravings is commonly reported, it is important to note that not all cravings result in actual food consumption (Hill, 2007). Lower craving </w:t>
      </w:r>
      <w:r>
        <w:rPr>
          <w:rFonts w:ascii="Times New Roman" w:eastAsia="Times New Roman" w:hAnsi="Times New Roman" w:cs="Times New Roman"/>
          <w:sz w:val="24"/>
          <w:szCs w:val="24"/>
        </w:rPr>
        <w:lastRenderedPageBreak/>
        <w:t xml:space="preserve">control has been related with increased binge eating, a propensity to consume opportunistically </w:t>
      </w:r>
      <w:hyperlink r:id="rId512">
        <w:r>
          <w:rPr>
            <w:rFonts w:ascii="Times New Roman" w:eastAsia="Times New Roman" w:hAnsi="Times New Roman" w:cs="Times New Roman"/>
            <w:color w:val="000000"/>
            <w:sz w:val="24"/>
            <w:szCs w:val="24"/>
          </w:rPr>
          <w:t>(Dalton et al., 2015)</w:t>
        </w:r>
      </w:hyperlink>
      <w:r>
        <w:rPr>
          <w:rFonts w:ascii="Times New Roman" w:eastAsia="Times New Roman" w:hAnsi="Times New Roman" w:cs="Times New Roman"/>
          <w:sz w:val="24"/>
          <w:szCs w:val="24"/>
        </w:rPr>
        <w:t xml:space="preserve"> and decreased weight reduction </w:t>
      </w:r>
      <w:hyperlink r:id="rId513">
        <w:r>
          <w:rPr>
            <w:rFonts w:ascii="Times New Roman" w:eastAsia="Times New Roman" w:hAnsi="Times New Roman" w:cs="Times New Roman"/>
            <w:color w:val="000000"/>
            <w:sz w:val="24"/>
            <w:szCs w:val="24"/>
          </w:rPr>
          <w:t>(Smithson and Hill</w:t>
        </w:r>
        <w:r w:rsidR="00FF11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w:t>
        </w:r>
      </w:hyperlink>
      <w:r>
        <w:rPr>
          <w:rFonts w:ascii="Times New Roman" w:eastAsia="Times New Roman" w:hAnsi="Times New Roman" w:cs="Times New Roman"/>
          <w:sz w:val="24"/>
          <w:szCs w:val="24"/>
        </w:rPr>
        <w:t>. In contrast, Smithson and Hill (2017) indicated that greater ability to control cravings and improvements in craving control (Dalton et al., 2017) were associated with improved weight loss outcomes in adults with obesity. Results are in line with studies which showed that hunger and food cravings are more likely to reach their peak at lunch and dinner time (</w:t>
      </w:r>
      <w:proofErr w:type="spellStart"/>
      <w:r>
        <w:rPr>
          <w:rFonts w:ascii="Times New Roman" w:eastAsia="Times New Roman" w:hAnsi="Times New Roman" w:cs="Times New Roman"/>
          <w:sz w:val="24"/>
          <w:szCs w:val="24"/>
        </w:rPr>
        <w:t>Reichenberger</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Pla-Sanjuanelo</w:t>
      </w:r>
      <w:proofErr w:type="spellEnd"/>
      <w:r>
        <w:rPr>
          <w:rFonts w:ascii="Times New Roman" w:eastAsia="Times New Roman" w:hAnsi="Times New Roman" w:cs="Times New Roman"/>
          <w:sz w:val="24"/>
          <w:szCs w:val="24"/>
        </w:rPr>
        <w:t xml:space="preserve"> et al., 2014). There are two primary reasons why cravings may have a 24-hour rhythm. Firstly, the temporal aspect of social and contextual factors, such as the duration of work hours, may influence craving patterns. Secondly, previous research indicated that reward-related phenomena, such as positive affect and craving, follow a 24-hour rhythm, increasing from morning to late afternoon or evening </w:t>
      </w:r>
      <w:hyperlink r:id="rId514">
        <w:r>
          <w:rPr>
            <w:rFonts w:ascii="Times New Roman" w:eastAsia="Times New Roman" w:hAnsi="Times New Roman" w:cs="Times New Roman"/>
            <w:color w:val="000000"/>
            <w:sz w:val="24"/>
            <w:szCs w:val="24"/>
          </w:rPr>
          <w:t>(Byrne and Murray</w:t>
        </w:r>
        <w:r w:rsidR="00C954F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 Hasler et al., 2008; </w:t>
        </w:r>
        <w:proofErr w:type="spellStart"/>
        <w:r>
          <w:rPr>
            <w:rFonts w:ascii="Times New Roman" w:eastAsia="Times New Roman" w:hAnsi="Times New Roman" w:cs="Times New Roman"/>
            <w:color w:val="000000"/>
            <w:sz w:val="24"/>
            <w:szCs w:val="24"/>
          </w:rPr>
          <w:t>Itzhacki</w:t>
        </w:r>
        <w:proofErr w:type="spellEnd"/>
        <w:r>
          <w:rPr>
            <w:rFonts w:ascii="Times New Roman" w:eastAsia="Times New Roman" w:hAnsi="Times New Roman" w:cs="Times New Roman"/>
            <w:color w:val="000000"/>
            <w:sz w:val="24"/>
            <w:szCs w:val="24"/>
          </w:rPr>
          <w:t xml:space="preserve"> et al., 2019; Miller et al., 2015; Murray et al., 2009)</w:t>
        </w:r>
      </w:hyperlink>
      <w:r>
        <w:rPr>
          <w:rFonts w:ascii="Times New Roman" w:eastAsia="Times New Roman" w:hAnsi="Times New Roman" w:cs="Times New Roman"/>
          <w:sz w:val="24"/>
          <w:szCs w:val="24"/>
        </w:rPr>
        <w:t xml:space="preserve">. These findings indicate the existence of an underlying circadian rhythm in general reward motivation that influences reward-related drives. Therefore, future strategies for late eaters should aim to increase the ability to control cravings and promote controlled eating, including cognitive training, exposure to food cues and mindfulness-based strategies (Alberts, </w:t>
      </w:r>
      <w:proofErr w:type="spellStart"/>
      <w:r>
        <w:rPr>
          <w:rFonts w:ascii="Times New Roman" w:eastAsia="Times New Roman" w:hAnsi="Times New Roman" w:cs="Times New Roman"/>
          <w:sz w:val="24"/>
          <w:szCs w:val="24"/>
        </w:rPr>
        <w:t>Mulkens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Smeets</w:t>
      </w:r>
      <w:proofErr w:type="spellEnd"/>
      <w:r>
        <w:rPr>
          <w:rFonts w:ascii="Times New Roman" w:eastAsia="Times New Roman" w:hAnsi="Times New Roman" w:cs="Times New Roman"/>
          <w:sz w:val="24"/>
          <w:szCs w:val="24"/>
        </w:rPr>
        <w:t xml:space="preserve">, </w:t>
      </w:r>
      <w:r w:rsidR="00FF11D8">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Thewissen</w:t>
      </w:r>
      <w:proofErr w:type="spellEnd"/>
      <w:r>
        <w:rPr>
          <w:rFonts w:ascii="Times New Roman" w:eastAsia="Times New Roman" w:hAnsi="Times New Roman" w:cs="Times New Roman"/>
          <w:sz w:val="24"/>
          <w:szCs w:val="24"/>
        </w:rPr>
        <w:t xml:space="preserve">, 2010; Boswell </w:t>
      </w:r>
      <w:r w:rsidR="00FF11D8">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Kober</w:t>
      </w:r>
      <w:proofErr w:type="spellEnd"/>
      <w:r>
        <w:rPr>
          <w:rFonts w:ascii="Times New Roman" w:eastAsia="Times New Roman" w:hAnsi="Times New Roman" w:cs="Times New Roman"/>
          <w:sz w:val="24"/>
          <w:szCs w:val="24"/>
        </w:rPr>
        <w:t xml:space="preserve">, 2016; Schumacher, Kemps, </w:t>
      </w:r>
      <w:r w:rsidR="00FF11D8">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Tiggemann, 2018; </w:t>
      </w:r>
      <w:proofErr w:type="spellStart"/>
      <w:r>
        <w:rPr>
          <w:rFonts w:ascii="Times New Roman" w:eastAsia="Times New Roman" w:hAnsi="Times New Roman" w:cs="Times New Roman"/>
          <w:sz w:val="24"/>
          <w:szCs w:val="24"/>
        </w:rPr>
        <w:t>Wolz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Nannt</w:t>
      </w:r>
      <w:proofErr w:type="spellEnd"/>
      <w:r>
        <w:rPr>
          <w:rFonts w:ascii="Times New Roman" w:eastAsia="Times New Roman" w:hAnsi="Times New Roman" w:cs="Times New Roman"/>
          <w:sz w:val="24"/>
          <w:szCs w:val="24"/>
        </w:rPr>
        <w:t xml:space="preserve">, </w:t>
      </w:r>
      <w:r w:rsidR="00FF11D8">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Svaldi</w:t>
      </w:r>
      <w:proofErr w:type="spellEnd"/>
      <w:r>
        <w:rPr>
          <w:rFonts w:ascii="Times New Roman" w:eastAsia="Times New Roman" w:hAnsi="Times New Roman" w:cs="Times New Roman"/>
          <w:sz w:val="24"/>
          <w:szCs w:val="24"/>
        </w:rPr>
        <w:t xml:space="preserve">, 2020). Indeed, a meta-analysis of 69 laboratory studies suggests some strategies to reduce cravings and food consumption, such as imagining food cues and inhibitory control </w:t>
      </w:r>
      <w:hyperlink r:id="rId515">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Wolz</w:t>
        </w:r>
        <w:proofErr w:type="spellEnd"/>
        <w:r>
          <w:rPr>
            <w:rFonts w:ascii="Times New Roman" w:eastAsia="Times New Roman" w:hAnsi="Times New Roman" w:cs="Times New Roman"/>
            <w:color w:val="000000"/>
            <w:sz w:val="24"/>
            <w:szCs w:val="24"/>
          </w:rPr>
          <w:t xml:space="preserve"> et al., 2020)</w:t>
        </w:r>
      </w:hyperlink>
      <w:r>
        <w:rPr>
          <w:rFonts w:ascii="Times New Roman" w:eastAsia="Times New Roman" w:hAnsi="Times New Roman" w:cs="Times New Roman"/>
          <w:sz w:val="24"/>
          <w:szCs w:val="24"/>
        </w:rPr>
        <w:t>. Furthermore, studies reported that late eating was associated with other eating behaviour traits linked with susceptibility to overconsumption, including emotional eating (</w:t>
      </w:r>
      <w:proofErr w:type="spellStart"/>
      <w:r>
        <w:rPr>
          <w:rFonts w:ascii="Times New Roman" w:eastAsia="Times New Roman" w:hAnsi="Times New Roman" w:cs="Times New Roman"/>
          <w:sz w:val="24"/>
          <w:szCs w:val="24"/>
        </w:rPr>
        <w:t>Dashiti</w:t>
      </w:r>
      <w:proofErr w:type="spellEnd"/>
      <w:r>
        <w:rPr>
          <w:rFonts w:ascii="Times New Roman" w:eastAsia="Times New Roman" w:hAnsi="Times New Roman" w:cs="Times New Roman"/>
          <w:sz w:val="24"/>
          <w:szCs w:val="24"/>
        </w:rPr>
        <w:t xml:space="preserve"> et al., 2021), disinhibition and susceptibility to hunger (Jacob et al., 2023). More broadly, it has been shown that evening type individuals have later food patterns </w:t>
      </w:r>
      <w:hyperlink r:id="rId51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2019; </w:t>
        </w:r>
        <w:proofErr w:type="spellStart"/>
        <w:r>
          <w:rPr>
            <w:rFonts w:ascii="Times New Roman" w:eastAsia="Times New Roman" w:hAnsi="Times New Roman" w:cs="Times New Roman"/>
            <w:color w:val="000000"/>
            <w:sz w:val="24"/>
            <w:szCs w:val="24"/>
          </w:rPr>
          <w:t>Mazri</w:t>
        </w:r>
        <w:proofErr w:type="spellEnd"/>
        <w:r>
          <w:rPr>
            <w:rFonts w:ascii="Times New Roman" w:eastAsia="Times New Roman" w:hAnsi="Times New Roman" w:cs="Times New Roman"/>
            <w:color w:val="000000"/>
            <w:sz w:val="24"/>
            <w:szCs w:val="24"/>
          </w:rPr>
          <w:t xml:space="preserve"> et al. 2019)</w:t>
        </w:r>
      </w:hyperlink>
      <w:r>
        <w:rPr>
          <w:rFonts w:ascii="Times New Roman" w:eastAsia="Times New Roman" w:hAnsi="Times New Roman" w:cs="Times New Roman"/>
          <w:sz w:val="24"/>
          <w:szCs w:val="24"/>
        </w:rPr>
        <w:t xml:space="preserve"> and are more likely to indicate higher levels of disinhibition, susceptibility to </w:t>
      </w:r>
      <w:r>
        <w:rPr>
          <w:rFonts w:ascii="Times New Roman" w:eastAsia="Times New Roman" w:hAnsi="Times New Roman" w:cs="Times New Roman"/>
          <w:sz w:val="24"/>
          <w:szCs w:val="24"/>
        </w:rPr>
        <w:lastRenderedPageBreak/>
        <w:t xml:space="preserve">hunger and binge eating and lower levels of cognitive restraint </w:t>
      </w:r>
      <w:hyperlink r:id="rId517">
        <w:r>
          <w:rPr>
            <w:rFonts w:ascii="Times New Roman" w:eastAsia="Times New Roman" w:hAnsi="Times New Roman" w:cs="Times New Roman"/>
            <w:color w:val="000000"/>
            <w:sz w:val="24"/>
            <w:szCs w:val="24"/>
          </w:rPr>
          <w:t xml:space="preserve">(Schubert and </w:t>
        </w:r>
        <w:proofErr w:type="spellStart"/>
        <w:r>
          <w:rPr>
            <w:rFonts w:ascii="Times New Roman" w:eastAsia="Times New Roman" w:hAnsi="Times New Roman" w:cs="Times New Roman"/>
            <w:color w:val="000000"/>
            <w:sz w:val="24"/>
            <w:szCs w:val="24"/>
          </w:rPr>
          <w:t>Randler</w:t>
        </w:r>
        <w:proofErr w:type="spellEnd"/>
        <w:r w:rsidR="00FF11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2008; Walker et al. 2015)</w:t>
        </w:r>
      </w:hyperlink>
      <w:r>
        <w:rPr>
          <w:rFonts w:ascii="Times New Roman" w:eastAsia="Times New Roman" w:hAnsi="Times New Roman" w:cs="Times New Roman"/>
          <w:sz w:val="24"/>
          <w:szCs w:val="24"/>
        </w:rPr>
        <w:t xml:space="preserve">. Thus, findings in this study have important implications and suggest that future interventions to promote earlier eating patterns could target increasing the craving control in people susceptible to consuming foods in the evening (Dalton et al., 2017). </w:t>
      </w:r>
    </w:p>
    <w:p w14:paraId="00000634" w14:textId="77777777" w:rsidR="00CB4215" w:rsidRDefault="00CB4215">
      <w:pPr>
        <w:spacing w:line="480" w:lineRule="auto"/>
        <w:rPr>
          <w:rFonts w:ascii="Times New Roman" w:eastAsia="Times New Roman" w:hAnsi="Times New Roman" w:cs="Times New Roman"/>
          <w:sz w:val="24"/>
          <w:szCs w:val="24"/>
        </w:rPr>
      </w:pPr>
    </w:p>
    <w:p w14:paraId="0000063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Indeed, late eaters in the present study reported a longer daily consumption window than early eaters. Time-restricted eating, which is defined as limiting eating to a specific time window, thereby prolonging the fasting period, has also been related to weight reduction (Huang et al., 2023; </w:t>
      </w:r>
      <w:proofErr w:type="spellStart"/>
      <w:r>
        <w:rPr>
          <w:rFonts w:ascii="Times New Roman" w:eastAsia="Times New Roman" w:hAnsi="Times New Roman" w:cs="Times New Roman"/>
          <w:sz w:val="24"/>
          <w:szCs w:val="24"/>
        </w:rPr>
        <w:t>Adafer</w:t>
      </w:r>
      <w:proofErr w:type="spellEnd"/>
      <w:r>
        <w:rPr>
          <w:rFonts w:ascii="Times New Roman" w:eastAsia="Times New Roman" w:hAnsi="Times New Roman" w:cs="Times New Roman"/>
          <w:sz w:val="24"/>
          <w:szCs w:val="24"/>
        </w:rPr>
        <w:t xml:space="preserve"> et al., 2020; Moon et al., 2020). For instance, a randomised controlled trial in adults with overweight and obesity indicated that participants in a time-restricted eating group who were instructed to eat during an 8-hour window showed greater weight loss and consumed earlier meals than a non-time restricted eating group who followed typical eating habits (Simon et al., 2022). In addition to increasing the opportunity to eat, eating late can influence metabolism by misaligning calorie intake with internal circadian rhythms. Other research has also shown that late evening eating is associated with metabolic dysfunction, as the insulin response to the evening meal is lower and therefore the levels of glucose remain high for a longer period of time </w:t>
      </w:r>
      <w:hyperlink r:id="rId518">
        <w:r>
          <w:rPr>
            <w:rFonts w:ascii="Times New Roman" w:eastAsia="Times New Roman" w:hAnsi="Times New Roman" w:cs="Times New Roman"/>
            <w:color w:val="000000"/>
            <w:sz w:val="24"/>
            <w:szCs w:val="24"/>
          </w:rPr>
          <w:t xml:space="preserve">(Van </w:t>
        </w:r>
        <w:proofErr w:type="spellStart"/>
        <w:r>
          <w:rPr>
            <w:rFonts w:ascii="Times New Roman" w:eastAsia="Times New Roman" w:hAnsi="Times New Roman" w:cs="Times New Roman"/>
            <w:color w:val="000000"/>
            <w:sz w:val="24"/>
            <w:szCs w:val="24"/>
          </w:rPr>
          <w:t>Cauter</w:t>
        </w:r>
        <w:proofErr w:type="spellEnd"/>
        <w:r>
          <w:rPr>
            <w:rFonts w:ascii="Times New Roman" w:eastAsia="Times New Roman" w:hAnsi="Times New Roman" w:cs="Times New Roman"/>
            <w:color w:val="000000"/>
            <w:sz w:val="24"/>
            <w:szCs w:val="24"/>
          </w:rPr>
          <w:t xml:space="preserve"> et al., 1997)</w:t>
        </w:r>
      </w:hyperlink>
      <w:r>
        <w:rPr>
          <w:rFonts w:ascii="Times New Roman" w:eastAsia="Times New Roman" w:hAnsi="Times New Roman" w:cs="Times New Roman"/>
          <w:sz w:val="24"/>
          <w:szCs w:val="24"/>
        </w:rPr>
        <w:t xml:space="preserve">. </w:t>
      </w:r>
    </w:p>
    <w:p w14:paraId="00000636" w14:textId="77777777" w:rsidR="00CB4215" w:rsidRDefault="00CB4215">
      <w:pPr>
        <w:spacing w:line="480" w:lineRule="auto"/>
        <w:rPr>
          <w:rFonts w:ascii="Times New Roman" w:eastAsia="Times New Roman" w:hAnsi="Times New Roman" w:cs="Times New Roman"/>
          <w:sz w:val="24"/>
          <w:szCs w:val="24"/>
        </w:rPr>
      </w:pPr>
    </w:p>
    <w:p w14:paraId="00000637"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4.5.2 Chaotic eating</w:t>
      </w:r>
    </w:p>
    <w:p w14:paraId="00000638" w14:textId="77777777" w:rsidR="00CB4215" w:rsidRDefault="00CB4215"/>
    <w:p w14:paraId="0000063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assessed chaotic eating to reflect the variability in the times of meals and snacks. This study found that higher chaotic consumption of meals and snacks significantly associated with lower BMI. This study also found that high meal chaotic eaters scored lower in satiety responsiveness and reliance on hunger and satiety cues and reported longer daily consumption windows. In addition, high snack chaotic eaters showed lower scores on craving control and reported longer daily consumption windows and poorer dietary quality. </w:t>
      </w:r>
    </w:p>
    <w:p w14:paraId="0000063B"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Meal patterns have been identified as a factor influencing body weight (</w:t>
      </w:r>
      <w:proofErr w:type="spellStart"/>
      <w:r>
        <w:rPr>
          <w:rFonts w:ascii="Times New Roman" w:eastAsia="Times New Roman" w:hAnsi="Times New Roman" w:cs="Times New Roman"/>
          <w:sz w:val="24"/>
          <w:szCs w:val="24"/>
        </w:rPr>
        <w:t>Febry</w:t>
      </w:r>
      <w:proofErr w:type="spellEnd"/>
      <w:r>
        <w:rPr>
          <w:rFonts w:ascii="Times New Roman" w:eastAsia="Times New Roman" w:hAnsi="Times New Roman" w:cs="Times New Roman"/>
          <w:sz w:val="24"/>
          <w:szCs w:val="24"/>
        </w:rPr>
        <w:t xml:space="preserve"> et al., 1964). Various aspects of eating patterns, such as daily meal frequency, irregular meal frequency and skipping breakfast, have been observed to be related to higher BMI, increased food intake, metabolic syndrome and reduced insulin response </w:t>
      </w:r>
      <w:hyperlink r:id="rId519">
        <w:r>
          <w:rPr>
            <w:rFonts w:ascii="Times New Roman" w:eastAsia="Times New Roman" w:hAnsi="Times New Roman" w:cs="Times New Roman"/>
            <w:color w:val="000000"/>
            <w:sz w:val="24"/>
            <w:szCs w:val="24"/>
          </w:rPr>
          <w:t xml:space="preserve">(Pot et al. 2014; Pot et al., 2016; </w:t>
        </w:r>
        <w:proofErr w:type="spellStart"/>
        <w:r>
          <w:rPr>
            <w:rFonts w:ascii="Times New Roman" w:eastAsia="Times New Roman" w:hAnsi="Times New Roman" w:cs="Times New Roman"/>
            <w:color w:val="000000"/>
            <w:sz w:val="24"/>
            <w:szCs w:val="24"/>
          </w:rPr>
          <w:t>Lehto</w:t>
        </w:r>
        <w:proofErr w:type="spellEnd"/>
        <w:r>
          <w:rPr>
            <w:rFonts w:ascii="Times New Roman" w:eastAsia="Times New Roman" w:hAnsi="Times New Roman" w:cs="Times New Roman"/>
            <w:color w:val="000000"/>
            <w:sz w:val="24"/>
            <w:szCs w:val="24"/>
          </w:rPr>
          <w:t xml:space="preserve"> et al., 2011; </w:t>
        </w:r>
        <w:proofErr w:type="spellStart"/>
        <w:r>
          <w:rPr>
            <w:rFonts w:ascii="Times New Roman" w:eastAsia="Times New Roman" w:hAnsi="Times New Roman" w:cs="Times New Roman"/>
            <w:color w:val="000000"/>
            <w:sz w:val="24"/>
            <w:szCs w:val="24"/>
          </w:rPr>
          <w:t>Alhussain</w:t>
        </w:r>
        <w:proofErr w:type="spellEnd"/>
        <w:r>
          <w:rPr>
            <w:rFonts w:ascii="Times New Roman" w:eastAsia="Times New Roman" w:hAnsi="Times New Roman" w:cs="Times New Roman"/>
            <w:color w:val="000000"/>
            <w:sz w:val="24"/>
            <w:szCs w:val="24"/>
          </w:rPr>
          <w:t xml:space="preserve"> et al., 2016; </w:t>
        </w:r>
        <w:proofErr w:type="spellStart"/>
        <w:r>
          <w:rPr>
            <w:rFonts w:ascii="Times New Roman" w:eastAsia="Times New Roman" w:hAnsi="Times New Roman" w:cs="Times New Roman"/>
            <w:color w:val="000000"/>
            <w:sz w:val="24"/>
            <w:szCs w:val="24"/>
          </w:rPr>
          <w:t>Farshchi</w:t>
        </w:r>
        <w:proofErr w:type="spellEnd"/>
        <w:r>
          <w:rPr>
            <w:rFonts w:ascii="Times New Roman" w:eastAsia="Times New Roman" w:hAnsi="Times New Roman" w:cs="Times New Roman"/>
            <w:color w:val="000000"/>
            <w:sz w:val="24"/>
            <w:szCs w:val="24"/>
          </w:rPr>
          <w:t xml:space="preserve"> et al., 2005)</w:t>
        </w:r>
      </w:hyperlink>
      <w:r>
        <w:rPr>
          <w:rFonts w:ascii="Times New Roman" w:eastAsia="Times New Roman" w:hAnsi="Times New Roman" w:cs="Times New Roman"/>
          <w:sz w:val="24"/>
          <w:szCs w:val="24"/>
        </w:rPr>
        <w:t xml:space="preserve">. However, the significant association between higher chaotic eating and lower BMI was found in this study. At present, there is limited evidence linking chaotic eating and BMI. Only one study conducted by Zimmerman and colleagues (2018) found no significant association between chaotic eating and higher BMI. Although short-term highly controlled experiments </w:t>
      </w:r>
      <w:hyperlink r:id="rId52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Jakubowicz</w:t>
        </w:r>
        <w:proofErr w:type="spellEnd"/>
        <w:r>
          <w:rPr>
            <w:rFonts w:ascii="Times New Roman" w:eastAsia="Times New Roman" w:hAnsi="Times New Roman" w:cs="Times New Roman"/>
            <w:color w:val="000000"/>
            <w:sz w:val="24"/>
            <w:szCs w:val="24"/>
          </w:rPr>
          <w:t xml:space="preserve"> et al. 2013; Morgan et al., 2012)</w:t>
        </w:r>
      </w:hyperlink>
      <w:r>
        <w:rPr>
          <w:rFonts w:ascii="Times New Roman" w:eastAsia="Times New Roman" w:hAnsi="Times New Roman" w:cs="Times New Roman"/>
          <w:sz w:val="24"/>
          <w:szCs w:val="24"/>
        </w:rPr>
        <w:t xml:space="preserve"> and observational studies </w:t>
      </w:r>
      <w:hyperlink r:id="rId521">
        <w:r>
          <w:rPr>
            <w:rFonts w:ascii="Times New Roman" w:eastAsia="Times New Roman" w:hAnsi="Times New Roman" w:cs="Times New Roman"/>
            <w:color w:val="000000"/>
            <w:sz w:val="24"/>
            <w:szCs w:val="24"/>
          </w:rPr>
          <w:t>(Eicher-Miller et al., 2016; Leech et al., 2017)</w:t>
        </w:r>
      </w:hyperlink>
      <w:r>
        <w:rPr>
          <w:rFonts w:ascii="Times New Roman" w:eastAsia="Times New Roman" w:hAnsi="Times New Roman" w:cs="Times New Roman"/>
          <w:sz w:val="24"/>
          <w:szCs w:val="24"/>
        </w:rPr>
        <w:t xml:space="preserve"> have indicated that the role of meal timing on weight regulation </w:t>
      </w:r>
      <w:hyperlink r:id="rId52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Jakubowicz</w:t>
        </w:r>
        <w:proofErr w:type="spellEnd"/>
        <w:r>
          <w:rPr>
            <w:rFonts w:ascii="Times New Roman" w:eastAsia="Times New Roman" w:hAnsi="Times New Roman" w:cs="Times New Roman"/>
            <w:color w:val="000000"/>
            <w:sz w:val="24"/>
            <w:szCs w:val="24"/>
          </w:rPr>
          <w:t xml:space="preserve"> et al., 2013)</w:t>
        </w:r>
      </w:hyperlink>
      <w:r>
        <w:rPr>
          <w:rFonts w:ascii="Times New Roman" w:eastAsia="Times New Roman" w:hAnsi="Times New Roman" w:cs="Times New Roman"/>
          <w:sz w:val="24"/>
          <w:szCs w:val="24"/>
        </w:rPr>
        <w:t xml:space="preserve"> and diet quality </w:t>
      </w:r>
      <w:hyperlink r:id="rId523">
        <w:r>
          <w:rPr>
            <w:rFonts w:ascii="Times New Roman" w:eastAsia="Times New Roman" w:hAnsi="Times New Roman" w:cs="Times New Roman"/>
            <w:color w:val="000000"/>
            <w:sz w:val="24"/>
            <w:szCs w:val="24"/>
          </w:rPr>
          <w:t>(Eicher-Miller et al., 2016; Leech et al., 2017)</w:t>
        </w:r>
      </w:hyperlink>
      <w:r>
        <w:rPr>
          <w:rFonts w:ascii="Times New Roman" w:eastAsia="Times New Roman" w:hAnsi="Times New Roman" w:cs="Times New Roman"/>
          <w:sz w:val="24"/>
          <w:szCs w:val="24"/>
        </w:rPr>
        <w:t>, there is still a lack of long-term, free-living studies to investigate the relationship between regular meal timing and body weight. Therefore, randomised controlled trials are needed to provide more reliable evidence of causality.</w:t>
      </w:r>
    </w:p>
    <w:p w14:paraId="0000063C" w14:textId="77777777" w:rsidR="00CB4215" w:rsidRDefault="00CB4215">
      <w:pPr>
        <w:spacing w:line="480" w:lineRule="auto"/>
        <w:rPr>
          <w:rFonts w:ascii="Times New Roman" w:eastAsia="Times New Roman" w:hAnsi="Times New Roman" w:cs="Times New Roman"/>
          <w:sz w:val="24"/>
          <w:szCs w:val="24"/>
        </w:rPr>
      </w:pPr>
    </w:p>
    <w:p w14:paraId="70D9F5E7" w14:textId="77777777" w:rsidR="00FF11D8" w:rsidRPr="00D03B56"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exploring the relationship between chaotic eating and BMI, this study also found lower scores on satiety responsiveness and reliance on hunger and satiety cues were observed in the high chaotic meal eaters suggesting that variable meal timings reflect a poorer tendency to eat in response to internal triggers. Differently, compared with the studies conducted by Zimmerman et al. (2018), results showed lower restrained eating was associated with higher chaotic snacking, suggesting that attempts to limit dietary intake promote regularity. Zimmerman and colleagues also found that chaotic eating of meals was associated with higher emotional and external eating scores, suggesting that variable meal timings reflect a greater tendency to eat in response to external or emotional triggers. The </w:t>
      </w:r>
      <w:r>
        <w:rPr>
          <w:rFonts w:ascii="Times New Roman" w:eastAsia="Times New Roman" w:hAnsi="Times New Roman" w:cs="Times New Roman"/>
          <w:sz w:val="24"/>
          <w:szCs w:val="24"/>
        </w:rPr>
        <w:lastRenderedPageBreak/>
        <w:t>different questionnaires to assess eating behaviour traits might be the main reason for the discrepancy. Specifically, the 18-item Three-Factor Eating Questionnaire (TFEQ) and Adult Eating Behaviour Questionnaire (AEBQ) were used in the current study. The 51-item Three-</w:t>
      </w:r>
      <w:r w:rsidRPr="00D03B56">
        <w:rPr>
          <w:rFonts w:ascii="Times New Roman" w:eastAsia="Times New Roman" w:hAnsi="Times New Roman" w:cs="Times New Roman"/>
          <w:sz w:val="24"/>
          <w:szCs w:val="24"/>
        </w:rPr>
        <w:t xml:space="preserve">Factor Eating Questionnaire (TFEQ) and the Dutch Eating Behaviour Questionnaire (DEBQ) were used in the Study 1 and Study 2 conducted by Zimmerman et al. (2018), respectively. </w:t>
      </w:r>
    </w:p>
    <w:p w14:paraId="5B2DACF1" w14:textId="77777777" w:rsidR="00FF11D8" w:rsidRPr="00D03B56" w:rsidRDefault="00FF11D8">
      <w:pPr>
        <w:spacing w:line="480" w:lineRule="auto"/>
        <w:rPr>
          <w:rFonts w:ascii="Times New Roman" w:eastAsia="Times New Roman" w:hAnsi="Times New Roman" w:cs="Times New Roman"/>
          <w:sz w:val="24"/>
          <w:szCs w:val="24"/>
        </w:rPr>
      </w:pPr>
    </w:p>
    <w:p w14:paraId="0000063D" w14:textId="5AFF7207" w:rsidR="00CB4215"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The current obesogenic environment promotes overconsumption, weight gain and obesity. However, there is considerable</w:t>
      </w:r>
      <w:r>
        <w:rPr>
          <w:rFonts w:ascii="Times New Roman" w:eastAsia="Times New Roman" w:hAnsi="Times New Roman" w:cs="Times New Roman"/>
          <w:sz w:val="24"/>
          <w:szCs w:val="24"/>
        </w:rPr>
        <w:t xml:space="preserve"> individual differences in susceptibility to overconsumption and gain weight (Blundell et al., 2005). Weakened satiety response to food is a potential marker of susceptibility to overconsumption and obesity </w:t>
      </w:r>
      <w:hyperlink r:id="rId524">
        <w:r>
          <w:rPr>
            <w:rFonts w:ascii="Times New Roman" w:eastAsia="Times New Roman" w:hAnsi="Times New Roman" w:cs="Times New Roman"/>
            <w:color w:val="000000"/>
            <w:sz w:val="24"/>
            <w:szCs w:val="24"/>
          </w:rPr>
          <w:t>(Blundell and Gillett</w:t>
        </w:r>
        <w:r w:rsidR="00C954F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2001)</w:t>
        </w:r>
      </w:hyperlink>
      <w:r>
        <w:rPr>
          <w:rFonts w:ascii="Times New Roman" w:eastAsia="Times New Roman" w:hAnsi="Times New Roman" w:cs="Times New Roman"/>
          <w:sz w:val="24"/>
          <w:szCs w:val="24"/>
        </w:rPr>
        <w:t xml:space="preserve">. Furthermore, the Behavioural Susceptibility Theory (BST) suggests that individuals who have a higher appetite or lower satiety sensitivity are more likely to overeat in response to the food environment </w:t>
      </w:r>
      <w:hyperlink r:id="rId525">
        <w:r>
          <w:rPr>
            <w:rFonts w:ascii="Times New Roman" w:eastAsia="Times New Roman" w:hAnsi="Times New Roman" w:cs="Times New Roman"/>
            <w:color w:val="000000"/>
            <w:sz w:val="24"/>
            <w:szCs w:val="24"/>
          </w:rPr>
          <w:t>(Llewellyn and Wardle</w:t>
        </w:r>
        <w:r w:rsidR="00FF11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2015)</w:t>
        </w:r>
      </w:hyperlink>
      <w:r>
        <w:rPr>
          <w:rFonts w:ascii="Times New Roman" w:eastAsia="Times New Roman" w:hAnsi="Times New Roman" w:cs="Times New Roman"/>
          <w:sz w:val="24"/>
          <w:szCs w:val="24"/>
        </w:rPr>
        <w:t xml:space="preserve">. Other research has also found that participants with low satiety responsiveness scored higher on disinhibition </w:t>
      </w:r>
      <w:hyperlink r:id="rId52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Barkeling</w:t>
        </w:r>
        <w:proofErr w:type="spellEnd"/>
        <w:r>
          <w:rPr>
            <w:rFonts w:ascii="Times New Roman" w:eastAsia="Times New Roman" w:hAnsi="Times New Roman" w:cs="Times New Roman"/>
            <w:color w:val="000000"/>
            <w:sz w:val="24"/>
            <w:szCs w:val="24"/>
          </w:rPr>
          <w:t xml:space="preserve"> et al., 2007; Dalton et al., 2015)</w:t>
        </w:r>
      </w:hyperlink>
      <w:r>
        <w:rPr>
          <w:rFonts w:ascii="Times New Roman" w:eastAsia="Times New Roman" w:hAnsi="Times New Roman" w:cs="Times New Roman"/>
          <w:sz w:val="24"/>
          <w:szCs w:val="24"/>
        </w:rPr>
        <w:t xml:space="preserve">, lower craving control </w:t>
      </w:r>
      <w:hyperlink r:id="rId527">
        <w:r>
          <w:rPr>
            <w:rFonts w:ascii="Times New Roman" w:eastAsia="Times New Roman" w:hAnsi="Times New Roman" w:cs="Times New Roman"/>
            <w:color w:val="000000"/>
            <w:sz w:val="24"/>
            <w:szCs w:val="24"/>
          </w:rPr>
          <w:t>(Finlayson et al., 2008)</w:t>
        </w:r>
      </w:hyperlink>
      <w:r>
        <w:rPr>
          <w:rFonts w:ascii="Times New Roman" w:eastAsia="Times New Roman" w:hAnsi="Times New Roman" w:cs="Times New Roman"/>
          <w:sz w:val="24"/>
          <w:szCs w:val="24"/>
        </w:rPr>
        <w:t xml:space="preserve">, showed greater preferences to eat high-fat foods and higher meal energy intake </w:t>
      </w:r>
      <w:hyperlink r:id="rId528">
        <w:r>
          <w:rPr>
            <w:rFonts w:ascii="Times New Roman" w:eastAsia="Times New Roman" w:hAnsi="Times New Roman" w:cs="Times New Roman"/>
            <w:color w:val="000000"/>
            <w:sz w:val="24"/>
            <w:szCs w:val="24"/>
          </w:rPr>
          <w:t>(Dalton et al., 2015)</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compared to those with high satiety responsiveness. The potential explanation is that individuals who do not rely on internal hunger and satiety cues to eat may lose their innate ability to regulate food intake, making them more prone to dietary restraint, weight gain and emotional eating </w:t>
      </w:r>
      <w:hyperlink r:id="rId529">
        <w:r>
          <w:rPr>
            <w:rFonts w:ascii="Times New Roman" w:eastAsia="Times New Roman" w:hAnsi="Times New Roman" w:cs="Times New Roman"/>
            <w:color w:val="000000"/>
            <w:sz w:val="24"/>
            <w:szCs w:val="24"/>
          </w:rPr>
          <w:t>(Birch and Fisher</w:t>
        </w:r>
        <w:r w:rsidR="00FF11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2000; Birch et al., 2003)</w:t>
        </w:r>
      </w:hyperlink>
      <w:r>
        <w:rPr>
          <w:rFonts w:ascii="Times New Roman" w:eastAsia="Times New Roman" w:hAnsi="Times New Roman" w:cs="Times New Roman"/>
          <w:sz w:val="24"/>
          <w:szCs w:val="24"/>
        </w:rPr>
        <w:t xml:space="preserve">. In this study, higher meal chaotic eaters showed lower satiety responsiveness and reliance on hunger and satiety cues, suggesting that lower ability to detect changes in appetite sensations after eating. Therefore, strategies should be identified to increase eating in response to internal hunger and satiety triggers, such as Appetite Awareness Training (AAT) </w:t>
      </w:r>
      <w:hyperlink r:id="rId53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Craighead</w:t>
        </w:r>
        <w:proofErr w:type="spellEnd"/>
        <w:r>
          <w:rPr>
            <w:rFonts w:ascii="Times New Roman" w:eastAsia="Times New Roman" w:hAnsi="Times New Roman" w:cs="Times New Roman"/>
            <w:color w:val="000000"/>
            <w:sz w:val="24"/>
            <w:szCs w:val="24"/>
          </w:rPr>
          <w:t xml:space="preserve"> and Allen</w:t>
        </w:r>
        <w:r w:rsidR="00FF11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1995)</w:t>
        </w:r>
      </w:hyperlink>
      <w:r>
        <w:rPr>
          <w:rFonts w:ascii="Times New Roman" w:eastAsia="Times New Roman" w:hAnsi="Times New Roman" w:cs="Times New Roman"/>
          <w:sz w:val="24"/>
          <w:szCs w:val="24"/>
        </w:rPr>
        <w:t xml:space="preserve">. In addition, low energy density (LED) foods are recognised as being associated with increased </w:t>
      </w:r>
      <w:r>
        <w:rPr>
          <w:rFonts w:ascii="Times New Roman" w:eastAsia="Times New Roman" w:hAnsi="Times New Roman" w:cs="Times New Roman"/>
          <w:sz w:val="24"/>
          <w:szCs w:val="24"/>
        </w:rPr>
        <w:lastRenderedPageBreak/>
        <w:t xml:space="preserve">satiety and fullness, which could promote satiety in the participants with weak satiety responsiveness and prevent overconsumption </w:t>
      </w:r>
      <w:hyperlink r:id="rId531">
        <w:r>
          <w:rPr>
            <w:rFonts w:ascii="Times New Roman" w:eastAsia="Times New Roman" w:hAnsi="Times New Roman" w:cs="Times New Roman"/>
            <w:color w:val="000000"/>
            <w:sz w:val="24"/>
            <w:szCs w:val="24"/>
          </w:rPr>
          <w:t>(Stubbs et al., 2000; Bell and Rolls</w:t>
        </w:r>
        <w:r w:rsidR="00FF11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2001)</w:t>
        </w:r>
      </w:hyperlink>
      <w:r>
        <w:rPr>
          <w:rFonts w:ascii="Times New Roman" w:eastAsia="Times New Roman" w:hAnsi="Times New Roman" w:cs="Times New Roman"/>
          <w:sz w:val="24"/>
          <w:szCs w:val="24"/>
        </w:rPr>
        <w:t xml:space="preserve">.   </w:t>
      </w:r>
    </w:p>
    <w:p w14:paraId="0000063E" w14:textId="77777777" w:rsidR="00CB4215" w:rsidRDefault="00CB4215">
      <w:pPr>
        <w:spacing w:line="480" w:lineRule="auto"/>
        <w:rPr>
          <w:rFonts w:ascii="Times New Roman" w:eastAsia="Times New Roman" w:hAnsi="Times New Roman" w:cs="Times New Roman"/>
          <w:sz w:val="24"/>
          <w:szCs w:val="24"/>
        </w:rPr>
      </w:pPr>
    </w:p>
    <w:p w14:paraId="0000063F" w14:textId="46C5BF98"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extends previous research on chaotic eating by assessing the dietary quality. It is suggested that the timing of energy and macronutrient intake is associated with diet quality </w:t>
      </w:r>
      <w:hyperlink r:id="rId532">
        <w:r>
          <w:rPr>
            <w:rFonts w:ascii="Times New Roman" w:eastAsia="Times New Roman" w:hAnsi="Times New Roman" w:cs="Times New Roman"/>
            <w:color w:val="000000"/>
            <w:sz w:val="24"/>
            <w:szCs w:val="24"/>
          </w:rPr>
          <w:t>(Eicher-Miller et al., 2016; Leech et al., 2017)</w:t>
        </w:r>
      </w:hyperlink>
      <w:r>
        <w:rPr>
          <w:rFonts w:ascii="Times New Roman" w:eastAsia="Times New Roman" w:hAnsi="Times New Roman" w:cs="Times New Roman"/>
          <w:sz w:val="24"/>
          <w:szCs w:val="24"/>
        </w:rPr>
        <w:t xml:space="preserve">. This study found that participants who reported no snack consumption had better dietary quality than participants who consumed snacks. Although there is a consensus among the population to consume healthier foods and snacks </w:t>
      </w:r>
      <w:hyperlink r:id="rId533">
        <w:r>
          <w:rPr>
            <w:rFonts w:ascii="Times New Roman" w:eastAsia="Times New Roman" w:hAnsi="Times New Roman" w:cs="Times New Roman"/>
            <w:color w:val="000000"/>
            <w:sz w:val="24"/>
            <w:szCs w:val="24"/>
          </w:rPr>
          <w:t>(Armstrong et al., 2005)</w:t>
        </w:r>
      </w:hyperlink>
      <w:r>
        <w:rPr>
          <w:rFonts w:ascii="Times New Roman" w:eastAsia="Times New Roman" w:hAnsi="Times New Roman" w:cs="Times New Roman"/>
          <w:sz w:val="24"/>
          <w:szCs w:val="24"/>
        </w:rPr>
        <w:t xml:space="preserve">, ready-to-eat, highly processed snacks are increasingly available and consumed </w:t>
      </w:r>
      <w:hyperlink r:id="rId534">
        <w:r>
          <w:rPr>
            <w:rFonts w:ascii="Times New Roman" w:eastAsia="Times New Roman" w:hAnsi="Times New Roman" w:cs="Times New Roman"/>
            <w:color w:val="000000"/>
            <w:sz w:val="24"/>
            <w:szCs w:val="24"/>
          </w:rPr>
          <w:t>(Lucan et al., 2010;</w:t>
        </w:r>
      </w:hyperlink>
      <w:r>
        <w:rPr>
          <w:rFonts w:ascii="Times New Roman" w:eastAsia="Times New Roman" w:hAnsi="Times New Roman" w:cs="Times New Roman"/>
          <w:sz w:val="24"/>
          <w:szCs w:val="24"/>
        </w:rPr>
        <w:t xml:space="preserve"> </w:t>
      </w:r>
      <w:hyperlink r:id="rId535">
        <w:r>
          <w:rPr>
            <w:rFonts w:ascii="Times New Roman" w:eastAsia="Times New Roman" w:hAnsi="Times New Roman" w:cs="Times New Roman"/>
            <w:color w:val="000000"/>
            <w:sz w:val="24"/>
            <w:szCs w:val="24"/>
          </w:rPr>
          <w:t>Farley et al., 2010;</w:t>
        </w:r>
      </w:hyperlink>
      <w:r>
        <w:rPr>
          <w:rFonts w:ascii="Times New Roman" w:eastAsia="Times New Roman" w:hAnsi="Times New Roman" w:cs="Times New Roman"/>
          <w:sz w:val="24"/>
          <w:szCs w:val="24"/>
        </w:rPr>
        <w:t xml:space="preserve"> </w:t>
      </w:r>
      <w:hyperlink r:id="rId536">
        <w:r>
          <w:rPr>
            <w:rFonts w:ascii="Times New Roman" w:eastAsia="Times New Roman" w:hAnsi="Times New Roman" w:cs="Times New Roman"/>
            <w:color w:val="000000"/>
            <w:sz w:val="24"/>
            <w:szCs w:val="24"/>
          </w:rPr>
          <w:t>Brennan et al., 2013)</w:t>
        </w:r>
      </w:hyperlink>
      <w:r>
        <w:rPr>
          <w:rFonts w:ascii="Times New Roman" w:eastAsia="Times New Roman" w:hAnsi="Times New Roman" w:cs="Times New Roman"/>
          <w:sz w:val="24"/>
          <w:szCs w:val="24"/>
        </w:rPr>
        <w:t xml:space="preserve">. Snack foods are typically recognised as having poor nutritional quality, with the majority consisting mainly of fat and carbohydrates </w:t>
      </w:r>
      <w:hyperlink r:id="rId537">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Piernas</w:t>
        </w:r>
        <w:proofErr w:type="spellEnd"/>
        <w:r>
          <w:rPr>
            <w:rFonts w:ascii="Times New Roman" w:eastAsia="Times New Roman" w:hAnsi="Times New Roman" w:cs="Times New Roman"/>
            <w:color w:val="000000"/>
            <w:sz w:val="24"/>
            <w:szCs w:val="24"/>
          </w:rPr>
          <w:t xml:space="preserve"> and Popkin</w:t>
        </w:r>
        <w:r w:rsidR="00FF11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color w:val="000000"/>
            <w:sz w:val="24"/>
            <w:szCs w:val="24"/>
          </w:rPr>
          <w:t>Zizza</w:t>
        </w:r>
        <w:proofErr w:type="spellEnd"/>
        <w:r>
          <w:rPr>
            <w:rFonts w:ascii="Times New Roman" w:eastAsia="Times New Roman" w:hAnsi="Times New Roman" w:cs="Times New Roman"/>
            <w:color w:val="000000"/>
            <w:sz w:val="24"/>
            <w:szCs w:val="24"/>
          </w:rPr>
          <w:t xml:space="preserve"> and Xu</w:t>
        </w:r>
        <w:r w:rsidR="00FF11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2012)</w:t>
        </w:r>
      </w:hyperlink>
      <w:r>
        <w:rPr>
          <w:rFonts w:ascii="Times New Roman" w:eastAsia="Times New Roman" w:hAnsi="Times New Roman" w:cs="Times New Roman"/>
          <w:sz w:val="24"/>
          <w:szCs w:val="24"/>
        </w:rPr>
        <w:t xml:space="preserve">. However, it is unclear the composition of snacks in this study, as such, future research is needed to explore the association between chaotic eating and dietary quality by identifying the meal and snack composition. </w:t>
      </w:r>
    </w:p>
    <w:p w14:paraId="00000640" w14:textId="77777777" w:rsidR="00CB4215" w:rsidRDefault="00CB4215">
      <w:pPr>
        <w:spacing w:line="480" w:lineRule="auto"/>
        <w:rPr>
          <w:rFonts w:ascii="Times New Roman" w:eastAsia="Times New Roman" w:hAnsi="Times New Roman" w:cs="Times New Roman"/>
          <w:sz w:val="24"/>
          <w:szCs w:val="24"/>
        </w:rPr>
      </w:pPr>
    </w:p>
    <w:p w14:paraId="226A189D" w14:textId="77777777" w:rsidR="00D54CCC" w:rsidRPr="00D03B56"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has several strengths. Firstly, this study is one of the few studies that has explored the eating behaviour traits and health behaviours of early versus late eaters, providing a comprehensive insight into this topic. A range of psychometric questionnaires were used in the current study: 18-item Three Factor Eating Questionnaire (TFEQ), Adult Eating Behaviour Questionnaire (AEBQ), Intuitive Eating Scale-2 and Control of Eating Questionnaire (</w:t>
      </w:r>
      <w:proofErr w:type="spellStart"/>
      <w:r>
        <w:rPr>
          <w:rFonts w:ascii="Times New Roman" w:eastAsia="Times New Roman" w:hAnsi="Times New Roman" w:cs="Times New Roman"/>
          <w:sz w:val="24"/>
          <w:szCs w:val="24"/>
        </w:rPr>
        <w:t>CoEQ</w:t>
      </w:r>
      <w:proofErr w:type="spellEnd"/>
      <w:r>
        <w:rPr>
          <w:rFonts w:ascii="Times New Roman" w:eastAsia="Times New Roman" w:hAnsi="Times New Roman" w:cs="Times New Roman"/>
          <w:sz w:val="24"/>
          <w:szCs w:val="24"/>
        </w:rPr>
        <w:t xml:space="preserve">) to extend a previous study using 51-item Three Factor Eating Questionnaire (TFEQ) and Binge Eating Scale (BES) </w:t>
      </w:r>
      <w:hyperlink r:id="rId538">
        <w:r>
          <w:rPr>
            <w:rFonts w:ascii="Times New Roman" w:eastAsia="Times New Roman" w:hAnsi="Times New Roman" w:cs="Times New Roman"/>
            <w:color w:val="000000"/>
            <w:sz w:val="24"/>
            <w:szCs w:val="24"/>
          </w:rPr>
          <w:t>(Jacob et al., 2023)</w:t>
        </w:r>
      </w:hyperlink>
      <w:r>
        <w:rPr>
          <w:rFonts w:ascii="Times New Roman" w:eastAsia="Times New Roman" w:hAnsi="Times New Roman" w:cs="Times New Roman"/>
          <w:sz w:val="24"/>
          <w:szCs w:val="24"/>
        </w:rPr>
        <w:t xml:space="preserve">. Secondly, this study recruited a relatively representative sample, with 50% men recruited to the Prolific. It has been reported that a greater percentage of males (69%) compared to women (59%) are </w:t>
      </w:r>
      <w:r>
        <w:rPr>
          <w:rFonts w:ascii="Times New Roman" w:eastAsia="Times New Roman" w:hAnsi="Times New Roman" w:cs="Times New Roman"/>
          <w:sz w:val="24"/>
          <w:szCs w:val="24"/>
        </w:rPr>
        <w:lastRenderedPageBreak/>
        <w:t xml:space="preserve">living with overweight or obesity (NHS, 2021). Therefore, this study increases the </w:t>
      </w:r>
      <w:r w:rsidRPr="00D03B56">
        <w:rPr>
          <w:rFonts w:ascii="Times New Roman" w:eastAsia="Times New Roman" w:hAnsi="Times New Roman" w:cs="Times New Roman"/>
          <w:sz w:val="24"/>
          <w:szCs w:val="24"/>
        </w:rPr>
        <w:t xml:space="preserve">generalisability of the research findings to the wider population, including both genders. </w:t>
      </w:r>
    </w:p>
    <w:p w14:paraId="1B40425D" w14:textId="77777777" w:rsidR="00D54CCC" w:rsidRPr="00D03B56" w:rsidRDefault="00D54CCC">
      <w:pPr>
        <w:spacing w:line="480" w:lineRule="auto"/>
        <w:rPr>
          <w:rFonts w:ascii="Times New Roman" w:eastAsia="Times New Roman" w:hAnsi="Times New Roman" w:cs="Times New Roman"/>
          <w:sz w:val="24"/>
          <w:szCs w:val="24"/>
        </w:rPr>
      </w:pPr>
    </w:p>
    <w:p w14:paraId="00000643" w14:textId="3B98A7E2" w:rsidR="00CB4215"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However, despite its strengths, this study has limitations that need to be considered. Firstly, meal timing was</w:t>
      </w:r>
      <w:r>
        <w:rPr>
          <w:rFonts w:ascii="Times New Roman" w:eastAsia="Times New Roman" w:hAnsi="Times New Roman" w:cs="Times New Roman"/>
          <w:sz w:val="24"/>
          <w:szCs w:val="24"/>
        </w:rPr>
        <w:t xml:space="preserve"> assessed by a self-reported questionnaire which has not been validated. Secondly, this study relied on self-reported data for weight and height to calculate BMI, which may have led to participants underestimating their weight </w:t>
      </w:r>
      <w:hyperlink r:id="rId539">
        <w:r>
          <w:rPr>
            <w:rFonts w:ascii="Times New Roman" w:eastAsia="Times New Roman" w:hAnsi="Times New Roman" w:cs="Times New Roman"/>
            <w:color w:val="000000"/>
            <w:sz w:val="24"/>
            <w:szCs w:val="24"/>
          </w:rPr>
          <w:t>(Shields et al., 2008)</w:t>
        </w:r>
      </w:hyperlink>
      <w:r>
        <w:rPr>
          <w:rFonts w:ascii="Times New Roman" w:eastAsia="Times New Roman" w:hAnsi="Times New Roman" w:cs="Times New Roman"/>
          <w:sz w:val="24"/>
          <w:szCs w:val="24"/>
        </w:rPr>
        <w:t xml:space="preserve">. However, studies investigating the accuracy of self-reported weight and height indicate a significant association between self-reported weight and the real levels of BMI </w:t>
      </w:r>
      <w:hyperlink r:id="rId540">
        <w:r>
          <w:rPr>
            <w:rFonts w:ascii="Times New Roman" w:eastAsia="Times New Roman" w:hAnsi="Times New Roman" w:cs="Times New Roman"/>
            <w:color w:val="000000"/>
            <w:sz w:val="24"/>
            <w:szCs w:val="24"/>
          </w:rPr>
          <w:t>(Mathew et al., 2012).</w:t>
        </w:r>
      </w:hyperlink>
      <w:r>
        <w:rPr>
          <w:rFonts w:ascii="Times New Roman" w:eastAsia="Times New Roman" w:hAnsi="Times New Roman" w:cs="Times New Roman"/>
          <w:sz w:val="24"/>
          <w:szCs w:val="24"/>
        </w:rPr>
        <w:t xml:space="preserve"> Thirdly, the majority of the sample consisted of participants who were white and well educated. Therefore, the results may not be generalisable to people of other ethnic groups and lower socio-economic background. This is particularly important given the social gradient in obesity with highest obesity rates amongst those from the most deprived areas (Brehm and </w:t>
      </w:r>
      <w:proofErr w:type="spellStart"/>
      <w:r>
        <w:rPr>
          <w:rFonts w:ascii="Times New Roman" w:eastAsia="Times New Roman" w:hAnsi="Times New Roman" w:cs="Times New Roman"/>
          <w:sz w:val="24"/>
          <w:szCs w:val="24"/>
        </w:rPr>
        <w:t>D’Alessio</w:t>
      </w:r>
      <w:proofErr w:type="spellEnd"/>
      <w:r w:rsidR="00BB74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2000). Fourthly, total energy intake was not assessed in the current study, as such it is unclear whether the association between late eating and BMI is independent of energy intake. Furthermore, previous studies have indicated that late eating is related to increased total energy intake </w:t>
      </w:r>
      <w:hyperlink r:id="rId541">
        <w:r>
          <w:rPr>
            <w:rFonts w:ascii="Times New Roman" w:eastAsia="Times New Roman" w:hAnsi="Times New Roman" w:cs="Times New Roman"/>
            <w:color w:val="000000"/>
            <w:sz w:val="24"/>
            <w:szCs w:val="24"/>
          </w:rPr>
          <w:t>(de Castro 2004; Baron et al., 2011)</w:t>
        </w:r>
      </w:hyperlink>
      <w:r>
        <w:rPr>
          <w:rFonts w:ascii="Times New Roman" w:eastAsia="Times New Roman" w:hAnsi="Times New Roman" w:cs="Times New Roman"/>
          <w:sz w:val="24"/>
          <w:szCs w:val="24"/>
        </w:rPr>
        <w:t xml:space="preserve">. Thus, future research should explore how meal composition might interact with meal timing for body weight. Finally, it is important to note that the data collected are cross-sectional, which limits the ability to draw causal conclusions. Nevertheless, the psychometric questionnaires used have been shown to be valid measures of stable traits (Dalton et al., 2015, 2017; </w:t>
      </w:r>
      <w:proofErr w:type="spellStart"/>
      <w:r>
        <w:rPr>
          <w:rFonts w:ascii="Times New Roman" w:eastAsia="Times New Roman" w:hAnsi="Times New Roman" w:cs="Times New Roman"/>
          <w:sz w:val="24"/>
          <w:szCs w:val="24"/>
        </w:rPr>
        <w:t>Hunot</w:t>
      </w:r>
      <w:proofErr w:type="spellEnd"/>
      <w:r>
        <w:rPr>
          <w:rFonts w:ascii="Times New Roman" w:eastAsia="Times New Roman" w:hAnsi="Times New Roman" w:cs="Times New Roman"/>
          <w:sz w:val="24"/>
          <w:szCs w:val="24"/>
        </w:rPr>
        <w:t xml:space="preserve"> et al., 2016; Karlsson et al., 2000).</w:t>
      </w:r>
    </w:p>
    <w:p w14:paraId="607419B2" w14:textId="610A98E1" w:rsidR="007F0D2F" w:rsidRDefault="007F0D2F">
      <w:pPr>
        <w:spacing w:line="480" w:lineRule="auto"/>
        <w:rPr>
          <w:rFonts w:ascii="Times New Roman" w:eastAsia="Times New Roman" w:hAnsi="Times New Roman" w:cs="Times New Roman"/>
          <w:sz w:val="24"/>
          <w:szCs w:val="24"/>
        </w:rPr>
      </w:pPr>
    </w:p>
    <w:p w14:paraId="6E97DA0F" w14:textId="7F3677D6" w:rsidR="007F0D2F" w:rsidRDefault="007F0D2F">
      <w:pPr>
        <w:spacing w:line="480" w:lineRule="auto"/>
        <w:rPr>
          <w:rFonts w:ascii="Times New Roman" w:eastAsia="Times New Roman" w:hAnsi="Times New Roman" w:cs="Times New Roman"/>
          <w:sz w:val="24"/>
          <w:szCs w:val="24"/>
        </w:rPr>
      </w:pPr>
    </w:p>
    <w:p w14:paraId="67A0557C" w14:textId="77777777" w:rsidR="007F0D2F" w:rsidRDefault="007F0D2F">
      <w:pPr>
        <w:spacing w:line="480" w:lineRule="auto"/>
        <w:rPr>
          <w:rFonts w:ascii="Times New Roman" w:eastAsia="Times New Roman" w:hAnsi="Times New Roman" w:cs="Times New Roman"/>
          <w:sz w:val="24"/>
          <w:szCs w:val="24"/>
        </w:rPr>
      </w:pPr>
    </w:p>
    <w:p w14:paraId="00000644" w14:textId="77777777" w:rsidR="00CB4215" w:rsidRDefault="000530B4">
      <w:pPr>
        <w:pStyle w:val="Heading3"/>
        <w:rPr>
          <w:rFonts w:ascii="Times New Roman" w:eastAsia="Times New Roman" w:hAnsi="Times New Roman" w:cs="Times New Roman"/>
          <w:b/>
          <w:color w:val="000000"/>
        </w:rPr>
      </w:pPr>
      <w:bookmarkStart w:id="86" w:name="_Toc172984805"/>
      <w:r>
        <w:rPr>
          <w:rFonts w:ascii="Times New Roman" w:eastAsia="Times New Roman" w:hAnsi="Times New Roman" w:cs="Times New Roman"/>
          <w:b/>
          <w:color w:val="000000"/>
        </w:rPr>
        <w:lastRenderedPageBreak/>
        <w:t>4.6 Conclusion</w:t>
      </w:r>
      <w:bookmarkEnd w:id="86"/>
    </w:p>
    <w:p w14:paraId="00000645" w14:textId="77777777" w:rsidR="00CB4215" w:rsidRDefault="00CB4215"/>
    <w:p w14:paraId="0000064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this study found no significant associations between late eating and higher BMI. The study also showed that later eaters reported lower craving control and longer daily consumption window compared with early eaters. Even though regular meal patterns may be an important factor in weight loss, results showed that chaotic meal consumption is related to a lower ability of satiety responsiveness and lower reliance on hunger and satiety cues. Overall findings demonstrate that later eating may be associated with increased susceptibility to overconsumption. To counteract some of the limitations of the current study, the following steps were taken to assess objective measurements such as height, weight, and physical activity, and compare dietary intake in early vs late eaters. These will be presented in more detail in Chapter 5. </w:t>
      </w:r>
    </w:p>
    <w:p w14:paraId="00000647" w14:textId="77777777" w:rsidR="00CB4215" w:rsidRDefault="00CB4215">
      <w:pPr>
        <w:spacing w:line="480" w:lineRule="auto"/>
        <w:rPr>
          <w:rFonts w:ascii="Times New Roman" w:eastAsia="Times New Roman" w:hAnsi="Times New Roman" w:cs="Times New Roman"/>
          <w:sz w:val="24"/>
          <w:szCs w:val="24"/>
        </w:rPr>
      </w:pPr>
    </w:p>
    <w:p w14:paraId="00000648" w14:textId="77777777" w:rsidR="00CB4215" w:rsidRDefault="000530B4">
      <w:pPr>
        <w:pStyle w:val="Heading3"/>
        <w:rPr>
          <w:rFonts w:ascii="Times New Roman" w:eastAsia="Times New Roman" w:hAnsi="Times New Roman" w:cs="Times New Roman"/>
          <w:b/>
          <w:color w:val="000000"/>
        </w:rPr>
      </w:pPr>
      <w:bookmarkStart w:id="87" w:name="_Toc172984806"/>
      <w:r>
        <w:rPr>
          <w:rFonts w:ascii="Times New Roman" w:eastAsia="Times New Roman" w:hAnsi="Times New Roman" w:cs="Times New Roman"/>
          <w:b/>
          <w:color w:val="000000"/>
        </w:rPr>
        <w:t>4.7 Key findings</w:t>
      </w:r>
      <w:bookmarkEnd w:id="87"/>
    </w:p>
    <w:p w14:paraId="00000649" w14:textId="77777777" w:rsidR="00CB4215" w:rsidRDefault="00CB4215"/>
    <w:p w14:paraId="0000064A" w14:textId="77777777" w:rsidR="00CB4215" w:rsidRDefault="000530B4">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 eating was not significantly associated with a higher BMI.</w:t>
      </w:r>
    </w:p>
    <w:p w14:paraId="0000064B" w14:textId="77777777" w:rsidR="00CB4215" w:rsidRDefault="000530B4">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 eaters reported lower scores on craving control and longer daily consumption windows. No other eating behaviour traits or health behaviours significantly differed between early versus late eaters.</w:t>
      </w:r>
    </w:p>
    <w:p w14:paraId="0000064C" w14:textId="77777777" w:rsidR="00CB4215" w:rsidRDefault="000530B4">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in higher chaotic eating of meal groups showed lower satiety responsiveness and lower reliance on hunger and satiety cues. No other eating behaviour traits significantly differed among the groups.</w:t>
      </w:r>
    </w:p>
    <w:p w14:paraId="7B9DC462" w14:textId="2B53F90B" w:rsidR="00EB725C" w:rsidRDefault="000530B4" w:rsidP="00EB725C">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 eating may increase the susceptibility of overconsumption.</w:t>
      </w:r>
    </w:p>
    <w:p w14:paraId="4F85F822" w14:textId="77777777" w:rsidR="00FF11D8" w:rsidRPr="0065578D" w:rsidRDefault="00FF11D8" w:rsidP="00FF11D8">
      <w:pPr>
        <w:spacing w:line="480" w:lineRule="auto"/>
        <w:ind w:left="720"/>
        <w:rPr>
          <w:rFonts w:ascii="Times New Roman" w:eastAsiaTheme="minorEastAsia" w:hAnsi="Times New Roman" w:cs="Times New Roman"/>
          <w:sz w:val="24"/>
          <w:szCs w:val="24"/>
        </w:rPr>
      </w:pPr>
    </w:p>
    <w:p w14:paraId="0000064E" w14:textId="77777777" w:rsidR="00CB4215" w:rsidRPr="00B64CA5" w:rsidRDefault="000530B4">
      <w:pPr>
        <w:spacing w:line="480" w:lineRule="auto"/>
        <w:rPr>
          <w:rFonts w:ascii="Times New Roman" w:eastAsia="Times New Roman" w:hAnsi="Times New Roman" w:cs="Times New Roman"/>
          <w:b/>
          <w:bCs/>
          <w:sz w:val="24"/>
          <w:szCs w:val="24"/>
        </w:rPr>
      </w:pPr>
      <w:r w:rsidRPr="00B64CA5">
        <w:rPr>
          <w:rFonts w:ascii="Times New Roman" w:eastAsia="Times New Roman" w:hAnsi="Times New Roman" w:cs="Times New Roman"/>
          <w:b/>
          <w:bCs/>
          <w:sz w:val="24"/>
          <w:szCs w:val="24"/>
        </w:rPr>
        <w:t>Future gaps to address</w:t>
      </w:r>
    </w:p>
    <w:p w14:paraId="0000064F" w14:textId="77777777" w:rsidR="00CB4215" w:rsidRDefault="000530B4">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Given the self-reported nature of this study, both for height, weight and health behaviours (physical activity and sleep), future research should use objective measures to increase accuracy, such as using accelerometers to monitor physical activity and sleep.</w:t>
      </w:r>
    </w:p>
    <w:p w14:paraId="00000650" w14:textId="77777777" w:rsidR="00CB4215" w:rsidRDefault="000530B4">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advance these current findings, future research should combine meal timing and meal content to provide a comprehensive exploration of the association between late eating and BMI.</w:t>
      </w:r>
    </w:p>
    <w:p w14:paraId="00000651" w14:textId="77777777" w:rsidR="00CB4215" w:rsidRDefault="000530B4">
      <w:pPr>
        <w:numPr>
          <w:ilvl w:val="0"/>
          <w:numId w:val="1"/>
        </w:numPr>
        <w:spacing w:line="480" w:lineRule="auto"/>
        <w:rPr>
          <w:rFonts w:ascii="Times New Roman" w:eastAsia="Times New Roman" w:hAnsi="Times New Roman" w:cs="Times New Roman"/>
          <w:sz w:val="24"/>
          <w:szCs w:val="24"/>
        </w:rPr>
        <w:sectPr w:rsidR="00CB4215">
          <w:pgSz w:w="11909" w:h="16834"/>
          <w:pgMar w:top="1440" w:right="1440" w:bottom="1440" w:left="1440" w:header="720" w:footer="720" w:gutter="0"/>
          <w:cols w:space="720"/>
        </w:sectPr>
      </w:pPr>
      <w:r>
        <w:rPr>
          <w:rFonts w:ascii="Times New Roman" w:eastAsia="Times New Roman" w:hAnsi="Times New Roman" w:cs="Times New Roman"/>
          <w:sz w:val="24"/>
          <w:szCs w:val="24"/>
        </w:rPr>
        <w:t>The cross-sectional did not determine the direction of causality in the associations between meal timing, BMI and eating behaviour traits. Thus, longitudinal designs are needed in the future.</w:t>
      </w:r>
    </w:p>
    <w:p w14:paraId="00000652" w14:textId="77777777" w:rsidR="00CB4215" w:rsidRDefault="000530B4">
      <w:pPr>
        <w:pStyle w:val="Heading1"/>
        <w:rPr>
          <w:rFonts w:ascii="Times New Roman" w:eastAsia="Times New Roman" w:hAnsi="Times New Roman" w:cs="Times New Roman"/>
          <w:b/>
        </w:rPr>
      </w:pPr>
      <w:bookmarkStart w:id="88" w:name="_Toc172984807"/>
      <w:r>
        <w:rPr>
          <w:rFonts w:ascii="Times New Roman" w:eastAsia="Times New Roman" w:hAnsi="Times New Roman" w:cs="Times New Roman"/>
          <w:b/>
        </w:rPr>
        <w:lastRenderedPageBreak/>
        <w:t>Chapter 5</w:t>
      </w:r>
      <w:bookmarkEnd w:id="88"/>
      <w:r>
        <w:rPr>
          <w:rFonts w:ascii="Times New Roman" w:eastAsia="Times New Roman" w:hAnsi="Times New Roman" w:cs="Times New Roman"/>
          <w:b/>
        </w:rPr>
        <w:t xml:space="preserve"> </w:t>
      </w:r>
    </w:p>
    <w:p w14:paraId="00000653" w14:textId="77777777" w:rsidR="00CB4215" w:rsidRDefault="000530B4">
      <w:pPr>
        <w:pStyle w:val="Heading2"/>
        <w:rPr>
          <w:rFonts w:ascii="Times New Roman" w:eastAsia="Times New Roman" w:hAnsi="Times New Roman" w:cs="Times New Roman"/>
          <w:b/>
        </w:rPr>
      </w:pPr>
      <w:bookmarkStart w:id="89" w:name="_Toc172984808"/>
      <w:r>
        <w:rPr>
          <w:rFonts w:ascii="Times New Roman" w:eastAsia="Times New Roman" w:hAnsi="Times New Roman" w:cs="Times New Roman"/>
          <w:b/>
        </w:rPr>
        <w:t>Study 2: A pilot study to explore the relationships between body mass index (BMI), meal timing, eating behaviour traits and health behaviours in adults with obesity</w:t>
      </w:r>
      <w:bookmarkEnd w:id="89"/>
    </w:p>
    <w:p w14:paraId="00000654" w14:textId="77777777" w:rsidR="00CB4215" w:rsidRDefault="00CB4215">
      <w:pPr>
        <w:spacing w:line="480" w:lineRule="auto"/>
        <w:rPr>
          <w:rFonts w:ascii="Times New Roman" w:eastAsia="Times New Roman" w:hAnsi="Times New Roman" w:cs="Times New Roman"/>
          <w:sz w:val="24"/>
          <w:szCs w:val="24"/>
        </w:rPr>
      </w:pPr>
    </w:p>
    <w:p w14:paraId="0000065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previous chapter explored associations between late eating, BMI, eating behaviour traits and health behaviours in the general population.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address the gaps in Study 1 (Chapter 4), the chapter will present a 14-day pilot study that aimed to explore associations between late eating, BMI, eating behaviour traits, diet and health behaviours, using objectively measurement, including height, weight, physical activity and sleep in adults with obesity.</w:t>
      </w:r>
    </w:p>
    <w:p w14:paraId="00000656" w14:textId="77777777" w:rsidR="00CB4215" w:rsidRDefault="00CB4215">
      <w:pPr>
        <w:spacing w:line="480" w:lineRule="auto"/>
        <w:rPr>
          <w:rFonts w:ascii="Times New Roman" w:eastAsia="Times New Roman" w:hAnsi="Times New Roman" w:cs="Times New Roman"/>
          <w:sz w:val="24"/>
          <w:szCs w:val="24"/>
        </w:rPr>
      </w:pPr>
    </w:p>
    <w:p w14:paraId="00000657" w14:textId="77777777" w:rsidR="00CB4215" w:rsidRDefault="000530B4">
      <w:pPr>
        <w:pStyle w:val="Heading3"/>
        <w:rPr>
          <w:rFonts w:ascii="Times New Roman" w:eastAsia="Times New Roman" w:hAnsi="Times New Roman" w:cs="Times New Roman"/>
          <w:b/>
          <w:color w:val="000000"/>
        </w:rPr>
      </w:pPr>
      <w:bookmarkStart w:id="90" w:name="_Toc172984809"/>
      <w:r>
        <w:rPr>
          <w:rFonts w:ascii="Times New Roman" w:eastAsia="Times New Roman" w:hAnsi="Times New Roman" w:cs="Times New Roman"/>
          <w:b/>
          <w:color w:val="000000"/>
        </w:rPr>
        <w:t>5.1 Abstract</w:t>
      </w:r>
      <w:bookmarkEnd w:id="90"/>
      <w:r>
        <w:rPr>
          <w:rFonts w:ascii="Times New Roman" w:eastAsia="Times New Roman" w:hAnsi="Times New Roman" w:cs="Times New Roman"/>
          <w:b/>
          <w:color w:val="000000"/>
        </w:rPr>
        <w:t xml:space="preserve"> </w:t>
      </w:r>
    </w:p>
    <w:p w14:paraId="00000658" w14:textId="77777777" w:rsidR="00CB4215" w:rsidRDefault="00CB4215"/>
    <w:p w14:paraId="00000659" w14:textId="71A99909"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 eating has been associated with obesity. However, most studies have assessed self-reported health behaviours. This pilot study aimed to: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assess associations between last eating episode, eating behaviour traits, dietary intake, health behaviours (physical activity, sleep) and BMI; and (ii) compare eating behaviour traits, health behaviours and BMI between early versus late eaters. 30 participants with obesity engaged in a 14-day pilot study (n</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21 female, 36.6</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11.2 years, 35.8</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4.7 kg/m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Baseline timing of eating episodes (breakfast, lunch, evening meal, snacks), eating behaviour traits (cognitive restraint, uncontrolled eating, emotional eating, emotional overeating/undereating, slowness in eating, enjoyment of food, satiety responsiveness, food responsiveness), and BMI were assessed in the laboratory. Free-living 3-day dietary intake (myfood24), physical activity and sleep (accelerometer) were assessed over 14 days. Early and late eaters were categorised based on reported time of last </w:t>
      </w:r>
      <w:r>
        <w:rPr>
          <w:rFonts w:ascii="Times New Roman" w:eastAsia="Times New Roman" w:hAnsi="Times New Roman" w:cs="Times New Roman"/>
          <w:sz w:val="24"/>
          <w:szCs w:val="24"/>
        </w:rPr>
        <w:lastRenderedPageBreak/>
        <w:t>eating episode (before or after 20:00). Preliminary results showed later eating was significantly associated with higher uncontrolled eating (r</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.41, </w:t>
      </w:r>
      <w:r>
        <w:rPr>
          <w:rFonts w:ascii="Times New Roman" w:eastAsia="Times New Roman" w:hAnsi="Times New Roman" w:cs="Times New Roman"/>
          <w:i/>
          <w:sz w:val="24"/>
          <w:szCs w:val="24"/>
        </w:rPr>
        <w:t>p</w:t>
      </w:r>
      <w:r w:rsidR="00F2003C">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.03). There were small, non-significant associations between late eating, other eating behaviour traits, physical activity, sleep and BMI. Compared with early eaters, late eaters consumed significantly less %protein (</w:t>
      </w:r>
      <w:r>
        <w:rPr>
          <w:rFonts w:ascii="Times New Roman" w:eastAsia="Times New Roman" w:hAnsi="Times New Roman" w:cs="Times New Roman"/>
          <w:i/>
          <w:sz w:val="24"/>
          <w:szCs w:val="24"/>
        </w:rPr>
        <w:t>ŋp</w:t>
      </w:r>
      <w:r>
        <w:rPr>
          <w:rFonts w:ascii="Times New Roman" w:eastAsia="Times New Roman" w:hAnsi="Times New Roman" w:cs="Times New Roman"/>
          <w:sz w:val="24"/>
          <w:szCs w:val="24"/>
          <w:vertAlign w:val="superscript"/>
        </w:rPr>
        <w:t>2</w:t>
      </w:r>
      <w:r w:rsidR="00F2003C">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.33, </w:t>
      </w:r>
      <w:r>
        <w:rPr>
          <w:rFonts w:ascii="Times New Roman" w:eastAsia="Times New Roman" w:hAnsi="Times New Roman" w:cs="Times New Roman"/>
          <w:i/>
          <w:sz w:val="24"/>
          <w:szCs w:val="24"/>
        </w:rPr>
        <w:t>p</w:t>
      </w:r>
      <w:r w:rsidR="00F2003C">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.003) and reported poorer dietary quality (</w:t>
      </w:r>
      <w:r>
        <w:rPr>
          <w:rFonts w:ascii="Times New Roman" w:eastAsia="Times New Roman" w:hAnsi="Times New Roman" w:cs="Times New Roman"/>
          <w:i/>
          <w:sz w:val="24"/>
          <w:szCs w:val="24"/>
        </w:rPr>
        <w:t>ŋp</w:t>
      </w:r>
      <w:r>
        <w:rPr>
          <w:rFonts w:ascii="Times New Roman" w:eastAsia="Times New Roman" w:hAnsi="Times New Roman" w:cs="Times New Roman"/>
          <w:sz w:val="24"/>
          <w:szCs w:val="24"/>
          <w:vertAlign w:val="superscript"/>
        </w:rPr>
        <w:t>2</w:t>
      </w:r>
      <w:r w:rsidR="00F2003C">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.15, </w:t>
      </w:r>
      <w:r>
        <w:rPr>
          <w:rFonts w:ascii="Times New Roman" w:eastAsia="Times New Roman" w:hAnsi="Times New Roman" w:cs="Times New Roman"/>
          <w:i/>
          <w:sz w:val="24"/>
          <w:szCs w:val="24"/>
        </w:rPr>
        <w:t>p</w:t>
      </w:r>
      <w:r w:rsidR="00F2003C">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.04). Late eaters also scored lower in craving control (</w:t>
      </w:r>
      <w:r>
        <w:rPr>
          <w:rFonts w:ascii="Times New Roman" w:eastAsia="Times New Roman" w:hAnsi="Times New Roman" w:cs="Times New Roman"/>
          <w:i/>
          <w:sz w:val="24"/>
          <w:szCs w:val="24"/>
        </w:rPr>
        <w:t>ŋp</w:t>
      </w:r>
      <w:r>
        <w:rPr>
          <w:rFonts w:ascii="Times New Roman" w:eastAsia="Times New Roman" w:hAnsi="Times New Roman" w:cs="Times New Roman"/>
          <w:sz w:val="24"/>
          <w:szCs w:val="24"/>
          <w:vertAlign w:val="superscript"/>
        </w:rPr>
        <w:t>2</w:t>
      </w:r>
      <w:r w:rsidR="00F2003C">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.07), higher in uncontrolled eating (</w:t>
      </w:r>
      <w:r>
        <w:rPr>
          <w:rFonts w:ascii="Times New Roman" w:eastAsia="Times New Roman" w:hAnsi="Times New Roman" w:cs="Times New Roman"/>
          <w:i/>
          <w:sz w:val="24"/>
          <w:szCs w:val="24"/>
        </w:rPr>
        <w:t>ŋp</w:t>
      </w:r>
      <w:r>
        <w:rPr>
          <w:rFonts w:ascii="Times New Roman" w:eastAsia="Times New Roman" w:hAnsi="Times New Roman" w:cs="Times New Roman"/>
          <w:sz w:val="24"/>
          <w:szCs w:val="24"/>
          <w:vertAlign w:val="superscript"/>
        </w:rPr>
        <w:t>2</w:t>
      </w:r>
      <w:r w:rsidR="00F2003C">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 and had a lower daily step count (</w:t>
      </w:r>
      <w:r>
        <w:rPr>
          <w:rFonts w:ascii="Times New Roman" w:eastAsia="Times New Roman" w:hAnsi="Times New Roman" w:cs="Times New Roman"/>
          <w:i/>
          <w:sz w:val="24"/>
          <w:szCs w:val="24"/>
        </w:rPr>
        <w:t>ŋp</w:t>
      </w:r>
      <w:r>
        <w:rPr>
          <w:rFonts w:ascii="Times New Roman" w:eastAsia="Times New Roman" w:hAnsi="Times New Roman" w:cs="Times New Roman"/>
          <w:sz w:val="24"/>
          <w:szCs w:val="24"/>
          <w:vertAlign w:val="superscript"/>
        </w:rPr>
        <w:t>2</w:t>
      </w:r>
      <w:r w:rsidR="00F2003C">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.06, all </w:t>
      </w:r>
      <w:r>
        <w:rPr>
          <w:rFonts w:ascii="Times New Roman" w:eastAsia="Times New Roman" w:hAnsi="Times New Roman" w:cs="Times New Roman"/>
          <w:i/>
          <w:sz w:val="24"/>
          <w:szCs w:val="24"/>
        </w:rPr>
        <w:t>p</w:t>
      </w:r>
      <w:r w:rsidR="00F2003C">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&gt;</w:t>
      </w:r>
      <w:r w:rsidR="00F200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.05). Overall pilot findings demonstrate later eating might be associated with increased susceptibility to overconsumption. A larger trial is needed to verify these findings.</w:t>
      </w:r>
    </w:p>
    <w:p w14:paraId="0000065A" w14:textId="77777777" w:rsidR="00CB4215" w:rsidRDefault="00CB4215">
      <w:pPr>
        <w:spacing w:line="480" w:lineRule="auto"/>
        <w:rPr>
          <w:rFonts w:ascii="Times New Roman" w:eastAsia="Times New Roman" w:hAnsi="Times New Roman" w:cs="Times New Roman"/>
          <w:sz w:val="24"/>
          <w:szCs w:val="24"/>
        </w:rPr>
      </w:pPr>
    </w:p>
    <w:p w14:paraId="0000065B" w14:textId="77777777" w:rsidR="00CB4215" w:rsidRDefault="000530B4">
      <w:pPr>
        <w:pStyle w:val="Heading3"/>
        <w:rPr>
          <w:rFonts w:ascii="Times New Roman" w:eastAsia="Times New Roman" w:hAnsi="Times New Roman" w:cs="Times New Roman"/>
          <w:b/>
          <w:color w:val="000000"/>
        </w:rPr>
      </w:pPr>
      <w:bookmarkStart w:id="91" w:name="_Toc172984810"/>
      <w:r>
        <w:rPr>
          <w:rFonts w:ascii="Times New Roman" w:eastAsia="Times New Roman" w:hAnsi="Times New Roman" w:cs="Times New Roman"/>
          <w:b/>
          <w:color w:val="000000"/>
        </w:rPr>
        <w:t>5.2 Introduction</w:t>
      </w:r>
      <w:bookmarkEnd w:id="91"/>
    </w:p>
    <w:p w14:paraId="0000065C" w14:textId="77777777" w:rsidR="00CB4215" w:rsidRDefault="00CB4215"/>
    <w:p w14:paraId="0000065D" w14:textId="5096662D"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Obesity is a heterogeneous condition, individual responses to standardised weight loss programmes vary widely, and many factors influence the success of dietary interventions for obesity </w:t>
      </w:r>
      <w:hyperlink r:id="rId542">
        <w:r>
          <w:rPr>
            <w:rFonts w:ascii="Times New Roman" w:eastAsia="Times New Roman" w:hAnsi="Times New Roman" w:cs="Times New Roman"/>
            <w:color w:val="000000"/>
            <w:sz w:val="24"/>
            <w:szCs w:val="24"/>
          </w:rPr>
          <w:t>(Teixeira et al., 2010)</w:t>
        </w:r>
      </w:hyperlink>
      <w:r>
        <w:rPr>
          <w:rFonts w:ascii="Times New Roman" w:eastAsia="Times New Roman" w:hAnsi="Times New Roman" w:cs="Times New Roman"/>
          <w:sz w:val="24"/>
          <w:szCs w:val="24"/>
        </w:rPr>
        <w:t>. In addition to exploring the role of different aspects of eating patterns on body weight, such as skipping breakfast, current evidence suggests that late eating is associated with higher energy intake (</w:t>
      </w:r>
      <w:hyperlink r:id="rId543">
        <w:r>
          <w:rPr>
            <w:rFonts w:ascii="Times New Roman" w:eastAsia="Times New Roman" w:hAnsi="Times New Roman" w:cs="Times New Roman"/>
            <w:color w:val="000000"/>
            <w:sz w:val="24"/>
            <w:szCs w:val="24"/>
          </w:rPr>
          <w:t>Jacob et al., 2023</w:t>
        </w:r>
      </w:hyperlink>
      <w:r>
        <w:rPr>
          <w:rFonts w:ascii="Times New Roman" w:eastAsia="Times New Roman" w:hAnsi="Times New Roman" w:cs="Times New Roman"/>
          <w:sz w:val="24"/>
          <w:szCs w:val="24"/>
        </w:rPr>
        <w:t xml:space="preserve">; </w:t>
      </w:r>
      <w:hyperlink r:id="rId544">
        <w:r>
          <w:rPr>
            <w:rFonts w:ascii="Times New Roman" w:eastAsia="Times New Roman" w:hAnsi="Times New Roman" w:cs="Times New Roman"/>
            <w:color w:val="000000"/>
            <w:sz w:val="24"/>
            <w:szCs w:val="24"/>
          </w:rPr>
          <w:t>Baron et al., 2011</w:t>
        </w:r>
      </w:hyperlink>
      <w:r>
        <w:rPr>
          <w:rFonts w:ascii="Times New Roman" w:eastAsia="Times New Roman" w:hAnsi="Times New Roman" w:cs="Times New Roman"/>
          <w:sz w:val="24"/>
          <w:szCs w:val="24"/>
        </w:rPr>
        <w:t xml:space="preserve">; </w:t>
      </w:r>
      <w:hyperlink r:id="rId545">
        <w:r>
          <w:rPr>
            <w:rFonts w:ascii="Times New Roman" w:eastAsia="Times New Roman" w:hAnsi="Times New Roman" w:cs="Times New Roman"/>
            <w:color w:val="000000"/>
            <w:sz w:val="24"/>
            <w:szCs w:val="24"/>
          </w:rPr>
          <w:t>de Castro 2004</w:t>
        </w:r>
      </w:hyperlink>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hyperlink r:id="rId546">
        <w:r>
          <w:rPr>
            <w:rFonts w:ascii="Times New Roman" w:eastAsia="Times New Roman" w:hAnsi="Times New Roman" w:cs="Times New Roman"/>
            <w:color w:val="000000"/>
            <w:sz w:val="24"/>
            <w:szCs w:val="24"/>
          </w:rPr>
          <w:t>Reid et al., 2014)</w:t>
        </w:r>
      </w:hyperlink>
      <w:r>
        <w:rPr>
          <w:rFonts w:ascii="Times New Roman" w:eastAsia="Times New Roman" w:hAnsi="Times New Roman" w:cs="Times New Roman"/>
          <w:sz w:val="24"/>
          <w:szCs w:val="24"/>
        </w:rPr>
        <w:t>, increased risk of obesity (</w:t>
      </w:r>
      <w:hyperlink r:id="rId547">
        <w:r>
          <w:rPr>
            <w:rFonts w:ascii="Times New Roman" w:eastAsia="Times New Roman" w:hAnsi="Times New Roman" w:cs="Times New Roman"/>
            <w:color w:val="000000"/>
            <w:sz w:val="24"/>
            <w:szCs w:val="24"/>
          </w:rPr>
          <w:t>Martínez-Lozano et al., 2020</w:t>
        </w:r>
      </w:hyperlink>
      <w:r>
        <w:rPr>
          <w:rFonts w:ascii="Times New Roman" w:eastAsia="Times New Roman" w:hAnsi="Times New Roman" w:cs="Times New Roman"/>
          <w:sz w:val="24"/>
          <w:szCs w:val="24"/>
        </w:rPr>
        <w:t xml:space="preserve">; </w:t>
      </w:r>
      <w:hyperlink r:id="rId548">
        <w:r>
          <w:rPr>
            <w:rFonts w:ascii="Times New Roman" w:eastAsia="Times New Roman" w:hAnsi="Times New Roman" w:cs="Times New Roman"/>
            <w:color w:val="000000"/>
            <w:sz w:val="24"/>
            <w:szCs w:val="24"/>
          </w:rPr>
          <w:t>Okada et al., 2019</w:t>
        </w:r>
      </w:hyperlink>
      <w:r>
        <w:rPr>
          <w:rFonts w:ascii="Times New Roman" w:eastAsia="Times New Roman" w:hAnsi="Times New Roman" w:cs="Times New Roman"/>
          <w:sz w:val="24"/>
          <w:szCs w:val="24"/>
        </w:rPr>
        <w:t xml:space="preserve">; </w:t>
      </w:r>
      <w:hyperlink r:id="rId549">
        <w:proofErr w:type="spellStart"/>
        <w:r>
          <w:rPr>
            <w:rFonts w:ascii="Times New Roman" w:eastAsia="Times New Roman" w:hAnsi="Times New Roman" w:cs="Times New Roman"/>
            <w:color w:val="000000"/>
            <w:sz w:val="24"/>
            <w:szCs w:val="24"/>
          </w:rPr>
          <w:t>Madjd</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w:t>
      </w:r>
      <w:hyperlink r:id="rId550">
        <w:r>
          <w:rPr>
            <w:rFonts w:ascii="Times New Roman" w:eastAsia="Times New Roman" w:hAnsi="Times New Roman" w:cs="Times New Roman"/>
            <w:color w:val="000000"/>
            <w:sz w:val="24"/>
            <w:szCs w:val="24"/>
          </w:rPr>
          <w:t>Zaman et al., 2019</w:t>
        </w:r>
      </w:hyperlink>
      <w:r>
        <w:rPr>
          <w:rFonts w:ascii="Times New Roman" w:eastAsia="Times New Roman" w:hAnsi="Times New Roman" w:cs="Times New Roman"/>
          <w:sz w:val="24"/>
          <w:szCs w:val="24"/>
        </w:rPr>
        <w:t xml:space="preserve">; </w:t>
      </w:r>
      <w:hyperlink r:id="rId551">
        <w:proofErr w:type="spellStart"/>
        <w:r>
          <w:rPr>
            <w:rFonts w:ascii="Times New Roman" w:eastAsia="Times New Roman" w:hAnsi="Times New Roman" w:cs="Times New Roman"/>
            <w:color w:val="000000"/>
            <w:sz w:val="24"/>
            <w:szCs w:val="24"/>
          </w:rPr>
          <w:t>McHill</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w:t>
      </w:r>
      <w:hyperlink r:id="rId552">
        <w:r>
          <w:rPr>
            <w:rFonts w:ascii="Times New Roman" w:eastAsia="Times New Roman" w:hAnsi="Times New Roman" w:cs="Times New Roman"/>
            <w:color w:val="000000"/>
            <w:sz w:val="24"/>
            <w:szCs w:val="24"/>
          </w:rPr>
          <w:t>Gong et al., 2021</w:t>
        </w:r>
      </w:hyperlink>
      <w:r>
        <w:rPr>
          <w:rFonts w:ascii="Times New Roman" w:eastAsia="Times New Roman" w:hAnsi="Times New Roman" w:cs="Times New Roman"/>
          <w:sz w:val="24"/>
          <w:szCs w:val="24"/>
        </w:rPr>
        <w:t>) and reduced weight loss (</w:t>
      </w:r>
      <w:proofErr w:type="spellStart"/>
      <w:r w:rsidR="007E2DD6">
        <w:fldChar w:fldCharType="begin"/>
      </w:r>
      <w:r w:rsidR="007E2DD6">
        <w:instrText xml:space="preserve"> HYPERLINK "https://sciwheel.com/work/citation?ids=1812051&amp;pre=&amp;suf=&amp;sa=0" \h </w:instrText>
      </w:r>
      <w:r w:rsidR="007E2DD6">
        <w:fldChar w:fldCharType="separate"/>
      </w:r>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et al., 2013</w:t>
      </w:r>
      <w:r w:rsidR="007E2DD6">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hyperlink r:id="rId553">
        <w:r>
          <w:rPr>
            <w:rFonts w:ascii="Times New Roman" w:eastAsia="Times New Roman" w:hAnsi="Times New Roman" w:cs="Times New Roman"/>
            <w:color w:val="000000"/>
            <w:sz w:val="24"/>
            <w:szCs w:val="24"/>
          </w:rPr>
          <w:t>Raynor et al., 2018</w:t>
        </w:r>
      </w:hyperlink>
      <w:r>
        <w:rPr>
          <w:rFonts w:ascii="Times New Roman" w:eastAsia="Times New Roman" w:hAnsi="Times New Roman" w:cs="Times New Roman"/>
          <w:sz w:val="24"/>
          <w:szCs w:val="24"/>
        </w:rPr>
        <w:t xml:space="preserve">; </w:t>
      </w:r>
      <w:hyperlink r:id="rId554">
        <w:proofErr w:type="spellStart"/>
        <w:r>
          <w:rPr>
            <w:rFonts w:ascii="Times New Roman" w:eastAsia="Times New Roman" w:hAnsi="Times New Roman" w:cs="Times New Roman"/>
            <w:color w:val="000000"/>
            <w:sz w:val="24"/>
            <w:szCs w:val="24"/>
          </w:rPr>
          <w:t>Jakubowicz</w:t>
        </w:r>
        <w:proofErr w:type="spellEnd"/>
        <w:r>
          <w:rPr>
            <w:rFonts w:ascii="Times New Roman" w:eastAsia="Times New Roman" w:hAnsi="Times New Roman" w:cs="Times New Roman"/>
            <w:color w:val="000000"/>
            <w:sz w:val="24"/>
            <w:szCs w:val="24"/>
          </w:rPr>
          <w:t xml:space="preserve"> et al., 2013</w:t>
        </w:r>
      </w:hyperlink>
      <w:r>
        <w:rPr>
          <w:rFonts w:ascii="Times New Roman" w:eastAsia="Times New Roman" w:hAnsi="Times New Roman" w:cs="Times New Roman"/>
          <w:sz w:val="24"/>
          <w:szCs w:val="24"/>
        </w:rPr>
        <w:t xml:space="preserve">; </w:t>
      </w:r>
      <w:hyperlink r:id="rId555">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w:t>
      </w:r>
      <w:hyperlink r:id="rId556">
        <w:r>
          <w:rPr>
            <w:rFonts w:ascii="Times New Roman" w:eastAsia="Times New Roman" w:hAnsi="Times New Roman" w:cs="Times New Roman"/>
            <w:color w:val="000000"/>
            <w:sz w:val="24"/>
            <w:szCs w:val="24"/>
          </w:rPr>
          <w:t>Lombardo et al., 2014)</w:t>
        </w:r>
      </w:hyperlink>
      <w:r>
        <w:rPr>
          <w:rFonts w:ascii="Times New Roman" w:eastAsia="Times New Roman" w:hAnsi="Times New Roman" w:cs="Times New Roman"/>
          <w:sz w:val="24"/>
          <w:szCs w:val="24"/>
        </w:rPr>
        <w:t xml:space="preserve"> (see more detail in Chapter 2). However, inconsistent findings demonstrate that late eating is not related to increased weight and BMI. For example, in the meta-analysis of four observational and five clinical trials by Fong et al. (2017), there were no significant associations between late eating and weight loss, but the analysis was limited by very high heterogeneity among the relatively small sample (n = 5) of intervention trials </w:t>
      </w:r>
      <w:r>
        <w:rPr>
          <w:rFonts w:ascii="Times New Roman" w:eastAsia="Times New Roman" w:hAnsi="Times New Roman" w:cs="Times New Roman"/>
          <w:sz w:val="24"/>
          <w:szCs w:val="24"/>
        </w:rPr>
        <w:lastRenderedPageBreak/>
        <w:t xml:space="preserve">included in the meta-analysis. Heterogeneity may be due to differences in intervention duration, dietary protocol and the living condition of participants (laboratory vs free living), which has implications for dietary adherence. In addition, the previous chapter (Chapter 4) showed that late evening eating was not significantly related to higher BMI. One of the plausible reasons for inconsistent results is the weight status of participants. For example, population-based cohort analyses have observed that individuals with overweight were also more likely to skip breakfast </w:t>
      </w:r>
      <w:hyperlink r:id="rId557">
        <w:r>
          <w:rPr>
            <w:rFonts w:ascii="Times New Roman" w:eastAsia="Times New Roman" w:hAnsi="Times New Roman" w:cs="Times New Roman"/>
            <w:color w:val="000000"/>
            <w:sz w:val="24"/>
            <w:szCs w:val="24"/>
          </w:rPr>
          <w:t xml:space="preserve">(Kant and </w:t>
        </w:r>
        <w:proofErr w:type="spellStart"/>
        <w:r>
          <w:rPr>
            <w:rFonts w:ascii="Times New Roman" w:eastAsia="Times New Roman" w:hAnsi="Times New Roman" w:cs="Times New Roman"/>
            <w:color w:val="000000"/>
            <w:sz w:val="24"/>
            <w:szCs w:val="24"/>
          </w:rPr>
          <w:t>Graubard</w:t>
        </w:r>
        <w:proofErr w:type="spellEnd"/>
        <w:r w:rsidR="006C35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2015)</w:t>
        </w:r>
      </w:hyperlink>
      <w:r>
        <w:rPr>
          <w:rFonts w:ascii="Times New Roman" w:eastAsia="Times New Roman" w:hAnsi="Times New Roman" w:cs="Times New Roman"/>
          <w:sz w:val="24"/>
          <w:szCs w:val="24"/>
        </w:rPr>
        <w:t xml:space="preserve"> and eat more in the evening </w:t>
      </w:r>
      <w:hyperlink r:id="rId558">
        <w:r>
          <w:rPr>
            <w:rFonts w:ascii="Times New Roman" w:eastAsia="Times New Roman" w:hAnsi="Times New Roman" w:cs="Times New Roman"/>
            <w:color w:val="000000"/>
            <w:sz w:val="24"/>
            <w:szCs w:val="24"/>
          </w:rPr>
          <w:t>(Winkler et al., 1999)</w:t>
        </w:r>
      </w:hyperlink>
      <w:r>
        <w:rPr>
          <w:rFonts w:ascii="Times New Roman" w:eastAsia="Times New Roman" w:hAnsi="Times New Roman" w:cs="Times New Roman"/>
          <w:sz w:val="24"/>
          <w:szCs w:val="24"/>
        </w:rPr>
        <w:t xml:space="preserve">. Studies recruiting participants without overweight/obesity, such as </w:t>
      </w:r>
      <w:proofErr w:type="spellStart"/>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 (2019) and Lee et al. (2016) suggest that late eating is not significantly associated with higher BMI. Differently, some studies recruiting participants with overweight/obesity show significant associations between late eating, higher BMI and reduced weight loss (</w:t>
      </w:r>
      <w:proofErr w:type="spellStart"/>
      <w:r w:rsidR="007E2DD6">
        <w:fldChar w:fldCharType="begin"/>
      </w:r>
      <w:r w:rsidR="007E2DD6">
        <w:instrText xml:space="preserve"> HYPERLINK "https://sciwheel.com/work/citation?ids=15145267&amp;pre=&amp;suf=&amp;sa=0" \h </w:instrText>
      </w:r>
      <w:r w:rsidR="007E2DD6">
        <w:fldChar w:fldCharType="separate"/>
      </w:r>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r w:rsidR="007E2DD6">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hyperlink r:id="rId559">
        <w:proofErr w:type="spellStart"/>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et al., 2013</w:t>
        </w:r>
      </w:hyperlink>
      <w:r>
        <w:rPr>
          <w:rFonts w:ascii="Times New Roman" w:eastAsia="Times New Roman" w:hAnsi="Times New Roman" w:cs="Times New Roman"/>
          <w:sz w:val="24"/>
          <w:szCs w:val="24"/>
        </w:rPr>
        <w:t xml:space="preserve">; </w:t>
      </w:r>
      <w:hyperlink r:id="rId560">
        <w:proofErr w:type="spellStart"/>
        <w:r>
          <w:rPr>
            <w:rFonts w:ascii="Times New Roman" w:eastAsia="Times New Roman" w:hAnsi="Times New Roman" w:cs="Times New Roman"/>
            <w:color w:val="000000"/>
            <w:sz w:val="24"/>
            <w:szCs w:val="24"/>
          </w:rPr>
          <w:t>Jakubowicz</w:t>
        </w:r>
        <w:proofErr w:type="spellEnd"/>
        <w:r>
          <w:rPr>
            <w:rFonts w:ascii="Times New Roman" w:eastAsia="Times New Roman" w:hAnsi="Times New Roman" w:cs="Times New Roman"/>
            <w:color w:val="000000"/>
            <w:sz w:val="24"/>
            <w:szCs w:val="24"/>
          </w:rPr>
          <w:t xml:space="preserve"> et al., 2013</w:t>
        </w:r>
      </w:hyperlink>
      <w:r>
        <w:rPr>
          <w:rFonts w:ascii="Times New Roman" w:eastAsia="Times New Roman" w:hAnsi="Times New Roman" w:cs="Times New Roman"/>
          <w:sz w:val="24"/>
          <w:szCs w:val="24"/>
        </w:rPr>
        <w:t xml:space="preserve">; </w:t>
      </w:r>
      <w:hyperlink r:id="rId561">
        <w:r>
          <w:rPr>
            <w:rFonts w:ascii="Times New Roman" w:eastAsia="Times New Roman" w:hAnsi="Times New Roman" w:cs="Times New Roman"/>
            <w:color w:val="000000"/>
            <w:sz w:val="24"/>
            <w:szCs w:val="24"/>
          </w:rPr>
          <w:t>Lombardo et al., 2014</w:t>
        </w:r>
      </w:hyperlink>
      <w:r>
        <w:rPr>
          <w:rFonts w:ascii="Times New Roman" w:eastAsia="Times New Roman" w:hAnsi="Times New Roman" w:cs="Times New Roman"/>
          <w:sz w:val="24"/>
          <w:szCs w:val="24"/>
        </w:rPr>
        <w:t xml:space="preserve">; </w:t>
      </w:r>
      <w:hyperlink r:id="rId562">
        <w:proofErr w:type="spellStart"/>
        <w:r>
          <w:rPr>
            <w:rFonts w:ascii="Times New Roman" w:eastAsia="Times New Roman" w:hAnsi="Times New Roman" w:cs="Times New Roman"/>
            <w:color w:val="000000"/>
            <w:sz w:val="24"/>
            <w:szCs w:val="24"/>
          </w:rPr>
          <w:t>Madjd</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w:t>
      </w:r>
      <w:hyperlink r:id="rId563">
        <w:proofErr w:type="spellStart"/>
        <w:r>
          <w:rPr>
            <w:rFonts w:ascii="Times New Roman" w:eastAsia="Times New Roman" w:hAnsi="Times New Roman" w:cs="Times New Roman"/>
            <w:color w:val="000000"/>
            <w:sz w:val="24"/>
            <w:szCs w:val="24"/>
          </w:rPr>
          <w:t>Madjd</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 xml:space="preserve">; </w:t>
      </w:r>
      <w:hyperlink r:id="rId564">
        <w:r>
          <w:rPr>
            <w:rFonts w:ascii="Times New Roman" w:eastAsia="Times New Roman" w:hAnsi="Times New Roman" w:cs="Times New Roman"/>
            <w:color w:val="000000"/>
            <w:sz w:val="24"/>
            <w:szCs w:val="24"/>
          </w:rPr>
          <w:t>Thomas et al., 2020</w:t>
        </w:r>
      </w:hyperlink>
      <w:r>
        <w:rPr>
          <w:rFonts w:ascii="Times New Roman" w:eastAsia="Times New Roman" w:hAnsi="Times New Roman" w:cs="Times New Roman"/>
          <w:sz w:val="24"/>
          <w:szCs w:val="24"/>
        </w:rPr>
        <w:t xml:space="preserve">; </w:t>
      </w:r>
      <w:hyperlink r:id="rId565">
        <w:r>
          <w:rPr>
            <w:rFonts w:ascii="Times New Roman" w:eastAsia="Times New Roman" w:hAnsi="Times New Roman" w:cs="Times New Roman"/>
            <w:color w:val="000000"/>
            <w:sz w:val="24"/>
            <w:szCs w:val="24"/>
          </w:rPr>
          <w:t>Okada et al., 2019</w:t>
        </w:r>
      </w:hyperlink>
      <w:r>
        <w:rPr>
          <w:rFonts w:ascii="Times New Roman" w:eastAsia="Times New Roman" w:hAnsi="Times New Roman" w:cs="Times New Roman"/>
          <w:sz w:val="24"/>
          <w:szCs w:val="24"/>
        </w:rPr>
        <w:t xml:space="preserve">). However, most studies recruiting participants with obesity used self-report methods to assess health behaviours, which are prone to inaccuracies </w:t>
      </w:r>
      <w:hyperlink r:id="rId566">
        <w:r>
          <w:rPr>
            <w:rFonts w:ascii="Times New Roman" w:eastAsia="Times New Roman" w:hAnsi="Times New Roman" w:cs="Times New Roman"/>
            <w:color w:val="000000"/>
            <w:sz w:val="24"/>
            <w:szCs w:val="24"/>
          </w:rPr>
          <w:t>(McClung et al., 2018)</w:t>
        </w:r>
      </w:hyperlink>
      <w:r>
        <w:rPr>
          <w:rFonts w:ascii="Times New Roman" w:eastAsia="Times New Roman" w:hAnsi="Times New Roman" w:cs="Times New Roman"/>
          <w:sz w:val="24"/>
          <w:szCs w:val="24"/>
        </w:rPr>
        <w:t xml:space="preserve">. In addition to the different weight status of participants, most reports have relied on self-report weight and height to calculate BMI, which are prone to be inaccurate and misreported </w:t>
      </w:r>
      <w:hyperlink r:id="rId567">
        <w:r>
          <w:rPr>
            <w:rFonts w:ascii="Times New Roman" w:eastAsia="Times New Roman" w:hAnsi="Times New Roman" w:cs="Times New Roman"/>
            <w:color w:val="000000"/>
            <w:sz w:val="24"/>
            <w:szCs w:val="24"/>
          </w:rPr>
          <w:t>(Rowland</w:t>
        </w:r>
        <w:r w:rsidR="006C35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1990)</w:t>
        </w:r>
      </w:hyperlink>
      <w:r>
        <w:rPr>
          <w:rFonts w:ascii="Times New Roman" w:eastAsia="Times New Roman" w:hAnsi="Times New Roman" w:cs="Times New Roman"/>
          <w:sz w:val="24"/>
          <w:szCs w:val="24"/>
        </w:rPr>
        <w:t xml:space="preserve">. Specifically, studies have shown that people generally overestimate their height and underestimate their weight </w:t>
      </w:r>
      <w:hyperlink r:id="rId56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Ambwani</w:t>
        </w:r>
        <w:proofErr w:type="spellEnd"/>
        <w:r>
          <w:rPr>
            <w:rFonts w:ascii="Times New Roman" w:eastAsia="Times New Roman" w:hAnsi="Times New Roman" w:cs="Times New Roman"/>
            <w:color w:val="000000"/>
            <w:sz w:val="24"/>
            <w:szCs w:val="24"/>
          </w:rPr>
          <w:t xml:space="preserve"> and Chmielewski</w:t>
        </w:r>
        <w:r w:rsidR="006C35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2013; Connor </w:t>
        </w:r>
        <w:proofErr w:type="spellStart"/>
        <w:r>
          <w:rPr>
            <w:rFonts w:ascii="Times New Roman" w:eastAsia="Times New Roman" w:hAnsi="Times New Roman" w:cs="Times New Roman"/>
            <w:color w:val="000000"/>
            <w:sz w:val="24"/>
            <w:szCs w:val="24"/>
          </w:rPr>
          <w:t>Gorber</w:t>
        </w:r>
        <w:proofErr w:type="spellEnd"/>
        <w:r>
          <w:rPr>
            <w:rFonts w:ascii="Times New Roman" w:eastAsia="Times New Roman" w:hAnsi="Times New Roman" w:cs="Times New Roman"/>
            <w:color w:val="000000"/>
            <w:sz w:val="24"/>
            <w:szCs w:val="24"/>
          </w:rPr>
          <w:t xml:space="preserve"> et al., 2007; Engstrom et al., 2003)</w:t>
        </w:r>
      </w:hyperlink>
      <w:r>
        <w:rPr>
          <w:rFonts w:ascii="Times New Roman" w:eastAsia="Times New Roman" w:hAnsi="Times New Roman" w:cs="Times New Roman"/>
          <w:sz w:val="24"/>
          <w:szCs w:val="24"/>
        </w:rPr>
        <w:t xml:space="preserve"> (see more details in Chapter 3). Therefore, it is crucial to use an objective method of measuring height and weight in the study to improve accuracy. </w:t>
      </w:r>
    </w:p>
    <w:p w14:paraId="0000065E" w14:textId="77777777" w:rsidR="00CB4215" w:rsidRDefault="00CB4215">
      <w:pPr>
        <w:spacing w:line="480" w:lineRule="auto"/>
        <w:rPr>
          <w:rFonts w:ascii="Times New Roman" w:eastAsia="Times New Roman" w:hAnsi="Times New Roman" w:cs="Times New Roman"/>
          <w:sz w:val="24"/>
          <w:szCs w:val="24"/>
        </w:rPr>
      </w:pPr>
    </w:p>
    <w:p w14:paraId="0000065F"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activity and sleep</w:t>
      </w:r>
    </w:p>
    <w:p w14:paraId="00000660" w14:textId="34DABCD1"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investigating the link between late eating and BMI, multiple studies have found that late evening eating is associated with lower physical activity and shorter sleep duration </w:t>
      </w:r>
      <w:hyperlink r:id="rId56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Vujović</w:t>
        </w:r>
        <w:proofErr w:type="spellEnd"/>
        <w:r>
          <w:rPr>
            <w:rFonts w:ascii="Times New Roman" w:eastAsia="Times New Roman" w:hAnsi="Times New Roman" w:cs="Times New Roman"/>
            <w:color w:val="000000"/>
            <w:sz w:val="24"/>
            <w:szCs w:val="24"/>
          </w:rPr>
          <w:t xml:space="preserve"> et al., 2022</w:t>
        </w:r>
      </w:hyperlink>
      <w:r>
        <w:rPr>
          <w:rFonts w:ascii="Times New Roman" w:eastAsia="Times New Roman" w:hAnsi="Times New Roman" w:cs="Times New Roman"/>
        </w:rPr>
        <w:t xml:space="preserve">; </w:t>
      </w:r>
      <w:hyperlink r:id="rId570">
        <w:r>
          <w:rPr>
            <w:rFonts w:ascii="Times New Roman" w:eastAsia="Times New Roman" w:hAnsi="Times New Roman" w:cs="Times New Roman"/>
            <w:color w:val="000000"/>
            <w:sz w:val="24"/>
            <w:szCs w:val="24"/>
          </w:rPr>
          <w:t xml:space="preserve">Wang et al., 2014; </w:t>
        </w:r>
      </w:hyperlink>
      <w:hyperlink r:id="rId571">
        <w:r>
          <w:rPr>
            <w:rFonts w:ascii="Times New Roman" w:eastAsia="Times New Roman" w:hAnsi="Times New Roman" w:cs="Times New Roman"/>
            <w:color w:val="000000"/>
            <w:sz w:val="24"/>
            <w:szCs w:val="24"/>
          </w:rPr>
          <w:t>Lent et al., 2022)</w:t>
        </w:r>
      </w:hyperlink>
      <w:r>
        <w:rPr>
          <w:rFonts w:ascii="Times New Roman" w:eastAsia="Times New Roman" w:hAnsi="Times New Roman" w:cs="Times New Roman"/>
          <w:sz w:val="24"/>
          <w:szCs w:val="24"/>
        </w:rPr>
        <w:t xml:space="preserve">. For example, using 7-day activity monitors to assess physical activity and sleep, Thomas and colleagues (2020) found that later meal consumption was associated with lower levels of physical activity and later sleep timings in 83 participants with overweight and obesity. However, several other studies found no associations between meal timing, physical activity and sleep </w:t>
      </w:r>
      <w:hyperlink r:id="rId57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 </w:t>
        </w:r>
        <w:proofErr w:type="spellStart"/>
        <w:r>
          <w:rPr>
            <w:rFonts w:ascii="Times New Roman" w:eastAsia="Times New Roman" w:hAnsi="Times New Roman" w:cs="Times New Roman"/>
            <w:color w:val="000000"/>
            <w:sz w:val="24"/>
            <w:szCs w:val="24"/>
          </w:rPr>
          <w:t>Madjd</w:t>
        </w:r>
        <w:proofErr w:type="spellEnd"/>
        <w:r>
          <w:rPr>
            <w:rFonts w:ascii="Times New Roman" w:eastAsia="Times New Roman" w:hAnsi="Times New Roman" w:cs="Times New Roman"/>
            <w:color w:val="000000"/>
            <w:sz w:val="24"/>
            <w:szCs w:val="24"/>
          </w:rPr>
          <w:t xml:space="preserve"> et al., 2021; </w:t>
        </w:r>
        <w:proofErr w:type="spellStart"/>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et al., 2013)</w:t>
        </w:r>
      </w:hyperlink>
      <w:r>
        <w:rPr>
          <w:rFonts w:ascii="Times New Roman" w:eastAsia="Times New Roman" w:hAnsi="Times New Roman" w:cs="Times New Roman"/>
          <w:sz w:val="24"/>
          <w:szCs w:val="24"/>
        </w:rPr>
        <w:t xml:space="preserve">. For example, an observational study assessed physical activity by an online questionnaire and showed no differences in physical activity between early and late eaters </w:t>
      </w:r>
      <w:hyperlink r:id="rId573">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Moreover, the previous chapter (Chapter 4) also found no significant correlation between late eating and health behaviours (physical activity and sleep). However, most studies relied on self-reported health behaviours. It is well documented that self-reported measures tend to be underestimated, especially in participants with obesity, who may be susceptible to various biases and inaccuracies </w:t>
      </w:r>
      <w:hyperlink r:id="rId57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Heitmann</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Lissner</w:t>
        </w:r>
        <w:proofErr w:type="spellEnd"/>
        <w:r w:rsidR="006C35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1995)</w:t>
        </w:r>
      </w:hyperlink>
      <w:r>
        <w:rPr>
          <w:rFonts w:ascii="Times New Roman" w:eastAsia="Times New Roman" w:hAnsi="Times New Roman" w:cs="Times New Roman"/>
          <w:sz w:val="24"/>
          <w:szCs w:val="24"/>
        </w:rPr>
        <w:t>. As such, assessing health behaviours objectively is needed. Furthermore, dietary intake was not assessed in the previous study (Chapter 4), thus it is difficult to determine whether eating late is associated with higher total daily energy intake, which could increase the risk of obesity in the long-term. Therefore, dietary intake will be further explored in this pilot study to fill the gap of the previous study (Chapter 4).</w:t>
      </w:r>
    </w:p>
    <w:p w14:paraId="00000661" w14:textId="77777777" w:rsidR="00CB4215" w:rsidRDefault="00CB4215">
      <w:pPr>
        <w:spacing w:line="480" w:lineRule="auto"/>
        <w:rPr>
          <w:rFonts w:ascii="Times New Roman" w:eastAsia="Times New Roman" w:hAnsi="Times New Roman" w:cs="Times New Roman"/>
          <w:sz w:val="24"/>
          <w:szCs w:val="24"/>
        </w:rPr>
      </w:pPr>
    </w:p>
    <w:p w14:paraId="00000662"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Ideal portion size</w:t>
      </w:r>
    </w:p>
    <w:p w14:paraId="00000663" w14:textId="4713638B"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physical activity, sleep and dietary intake, portion size is also recognised as a key determinant of food consumption. Ideal portion size is described as the preferable meal size of an individual that is selected before eating </w:t>
      </w:r>
      <w:hyperlink r:id="rId575">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Embling</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Ideal portion size has been found to be a strong predictor of actual food consumption and is linked with expected satiety (the expectation that food will prevent hunger between meals) </w:t>
      </w:r>
      <w:hyperlink r:id="rId576">
        <w:r>
          <w:rPr>
            <w:rFonts w:ascii="Times New Roman" w:eastAsia="Times New Roman" w:hAnsi="Times New Roman" w:cs="Times New Roman"/>
            <w:color w:val="000000"/>
            <w:sz w:val="24"/>
            <w:szCs w:val="24"/>
          </w:rPr>
          <w:t xml:space="preserve">(Wilkinson et al., 2012; </w:t>
        </w:r>
        <w:proofErr w:type="spellStart"/>
        <w:r>
          <w:rPr>
            <w:rFonts w:ascii="Times New Roman" w:eastAsia="Times New Roman" w:hAnsi="Times New Roman" w:cs="Times New Roman"/>
            <w:color w:val="000000"/>
            <w:sz w:val="24"/>
            <w:szCs w:val="24"/>
          </w:rPr>
          <w:t>Brunstrom</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Shakeshaft</w:t>
        </w:r>
        <w:proofErr w:type="spellEnd"/>
        <w:r w:rsidR="006C35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2009; McLeod et al., 2019)</w:t>
        </w:r>
      </w:hyperlink>
      <w:r>
        <w:rPr>
          <w:rFonts w:ascii="Times New Roman" w:eastAsia="Times New Roman" w:hAnsi="Times New Roman" w:cs="Times New Roman"/>
          <w:sz w:val="24"/>
          <w:szCs w:val="24"/>
        </w:rPr>
        <w:t xml:space="preserve">, as well as expected </w:t>
      </w:r>
      <w:r>
        <w:rPr>
          <w:rFonts w:ascii="Times New Roman" w:eastAsia="Times New Roman" w:hAnsi="Times New Roman" w:cs="Times New Roman"/>
          <w:sz w:val="24"/>
          <w:szCs w:val="24"/>
        </w:rPr>
        <w:lastRenderedPageBreak/>
        <w:t xml:space="preserve">satiation (the expectation that food will provide satiety) </w:t>
      </w:r>
      <w:hyperlink r:id="rId577">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Brunstrom</w:t>
        </w:r>
        <w:proofErr w:type="spellEnd"/>
        <w:r>
          <w:rPr>
            <w:rFonts w:ascii="Times New Roman" w:eastAsia="Times New Roman" w:hAnsi="Times New Roman" w:cs="Times New Roman"/>
            <w:color w:val="000000"/>
            <w:sz w:val="24"/>
            <w:szCs w:val="24"/>
          </w:rPr>
          <w:t xml:space="preserve"> and Rogers</w:t>
        </w:r>
        <w:r w:rsidR="006C35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2009; </w:t>
        </w:r>
        <w:proofErr w:type="spellStart"/>
        <w:r>
          <w:rPr>
            <w:rFonts w:ascii="Times New Roman" w:eastAsia="Times New Roman" w:hAnsi="Times New Roman" w:cs="Times New Roman"/>
            <w:color w:val="000000"/>
            <w:sz w:val="24"/>
            <w:szCs w:val="24"/>
          </w:rPr>
          <w:t>Brunstrom</w:t>
        </w:r>
        <w:proofErr w:type="spellEnd"/>
        <w:r>
          <w:rPr>
            <w:rFonts w:ascii="Times New Roman" w:eastAsia="Times New Roman" w:hAnsi="Times New Roman" w:cs="Times New Roman"/>
            <w:color w:val="000000"/>
            <w:sz w:val="24"/>
            <w:szCs w:val="24"/>
          </w:rPr>
          <w:t xml:space="preserve"> et al., 2010; Labbe et al., 2017)</w:t>
        </w:r>
      </w:hyperlink>
      <w:r>
        <w:rPr>
          <w:rFonts w:ascii="Times New Roman" w:eastAsia="Times New Roman" w:hAnsi="Times New Roman" w:cs="Times New Roman"/>
          <w:sz w:val="24"/>
          <w:szCs w:val="24"/>
        </w:rPr>
        <w:t xml:space="preserve">. Typically, larger portions are chosen when the food is expected to be less satiating and less likely to be filling </w:t>
      </w:r>
      <w:hyperlink r:id="rId57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Brunstrom</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 xml:space="preserve">. Furthermore, De Castro et al. (2004) proposed that the satiety (feeling of fullness) produced by a meal decreases markedly throughout the day, such that eating in the evening produces the least satiety compared to eating in the morning. As such, it could be hypothesised that there is an association between late eating and increased ideal portion size. However, limited research has assessed the correlation between meal timing and ideal portion size. Identifying the links between meal timing and health behaviours (physical activity, sleep and food intake) is important because there is still uncertainty about the characteristics and behaviours of late eaters. Such evidence is needed to help identify at-risk individuals based on meal timing and identify the characteristics or behaviours that would be helpful to target and provide support for these at-risk individuals. </w:t>
      </w:r>
    </w:p>
    <w:p w14:paraId="00000664" w14:textId="77777777" w:rsidR="00CB4215" w:rsidRDefault="00CB4215">
      <w:pPr>
        <w:spacing w:line="480" w:lineRule="auto"/>
        <w:rPr>
          <w:rFonts w:ascii="Times New Roman" w:eastAsia="Times New Roman" w:hAnsi="Times New Roman" w:cs="Times New Roman"/>
          <w:sz w:val="24"/>
          <w:szCs w:val="24"/>
        </w:rPr>
      </w:pPr>
    </w:p>
    <w:p w14:paraId="0000066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Perceived stress</w:t>
      </w:r>
    </w:p>
    <w:p w14:paraId="00000666" w14:textId="4DDE97C6"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that the existing evidence indicates that stress, defined as a state of worry or mental tension caused by a difficult situation, is one of the variables involved in body weight regulation </w:t>
      </w:r>
      <w:hyperlink r:id="rId579">
        <w:r>
          <w:rPr>
            <w:rFonts w:ascii="Times New Roman" w:eastAsia="Times New Roman" w:hAnsi="Times New Roman" w:cs="Times New Roman"/>
            <w:color w:val="000000"/>
            <w:sz w:val="24"/>
            <w:szCs w:val="24"/>
          </w:rPr>
          <w:t xml:space="preserve">(Scott et al., 2012; Goldstein and </w:t>
        </w:r>
        <w:proofErr w:type="spellStart"/>
        <w:r>
          <w:rPr>
            <w:rFonts w:ascii="Times New Roman" w:eastAsia="Times New Roman" w:hAnsi="Times New Roman" w:cs="Times New Roman"/>
            <w:color w:val="000000"/>
            <w:sz w:val="24"/>
            <w:szCs w:val="24"/>
          </w:rPr>
          <w:t>Kopin</w:t>
        </w:r>
        <w:proofErr w:type="spellEnd"/>
        <w:r w:rsidR="006C35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2007)</w:t>
        </w:r>
      </w:hyperlink>
      <w:r>
        <w:rPr>
          <w:rFonts w:ascii="Times New Roman" w:eastAsia="Times New Roman" w:hAnsi="Times New Roman" w:cs="Times New Roman"/>
          <w:sz w:val="24"/>
          <w:szCs w:val="24"/>
        </w:rPr>
        <w:t xml:space="preserve">. Observational studies assessed perceived stress using self-reported questionnaires and found an association between increased perceived stress and higher BMI in adults </w:t>
      </w:r>
      <w:hyperlink r:id="rId580">
        <w:r>
          <w:rPr>
            <w:rFonts w:ascii="Times New Roman" w:eastAsia="Times New Roman" w:hAnsi="Times New Roman" w:cs="Times New Roman"/>
            <w:color w:val="000000"/>
            <w:sz w:val="24"/>
            <w:szCs w:val="24"/>
          </w:rPr>
          <w:t xml:space="preserve">(Brunner et al., 2007; </w:t>
        </w:r>
        <w:proofErr w:type="spellStart"/>
        <w:r>
          <w:rPr>
            <w:rFonts w:ascii="Times New Roman" w:eastAsia="Times New Roman" w:hAnsi="Times New Roman" w:cs="Times New Roman"/>
            <w:color w:val="000000"/>
            <w:sz w:val="24"/>
            <w:szCs w:val="24"/>
          </w:rPr>
          <w:t>Magnavita</w:t>
        </w:r>
        <w:proofErr w:type="spellEnd"/>
        <w:r>
          <w:rPr>
            <w:rFonts w:ascii="Times New Roman" w:eastAsia="Times New Roman" w:hAnsi="Times New Roman" w:cs="Times New Roman"/>
            <w:color w:val="000000"/>
            <w:sz w:val="24"/>
            <w:szCs w:val="24"/>
          </w:rPr>
          <w:t xml:space="preserve"> 2015; </w:t>
        </w:r>
        <w:proofErr w:type="spellStart"/>
        <w:r>
          <w:rPr>
            <w:rFonts w:ascii="Times New Roman" w:eastAsia="Times New Roman" w:hAnsi="Times New Roman" w:cs="Times New Roman"/>
            <w:color w:val="000000"/>
            <w:sz w:val="24"/>
            <w:szCs w:val="24"/>
          </w:rPr>
          <w:t>Marniemi</w:t>
        </w:r>
        <w:proofErr w:type="spellEnd"/>
        <w:r>
          <w:rPr>
            <w:rFonts w:ascii="Times New Roman" w:eastAsia="Times New Roman" w:hAnsi="Times New Roman" w:cs="Times New Roman"/>
            <w:color w:val="000000"/>
            <w:sz w:val="24"/>
            <w:szCs w:val="24"/>
          </w:rPr>
          <w:t xml:space="preserve"> et al., 2002)</w:t>
        </w:r>
      </w:hyperlink>
      <w:r>
        <w:rPr>
          <w:rFonts w:ascii="Times New Roman" w:eastAsia="Times New Roman" w:hAnsi="Times New Roman" w:cs="Times New Roman"/>
          <w:sz w:val="24"/>
          <w:szCs w:val="24"/>
        </w:rPr>
        <w:t xml:space="preserve">. Moreover, a systematic review and meta-analysis of 17 studies indicated that higher stress was associated with increased BMI and waist circumference </w:t>
      </w:r>
      <w:hyperlink r:id="rId581">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Tenk</w:t>
        </w:r>
        <w:proofErr w:type="spellEnd"/>
        <w:r>
          <w:rPr>
            <w:rFonts w:ascii="Times New Roman" w:eastAsia="Times New Roman" w:hAnsi="Times New Roman" w:cs="Times New Roman"/>
            <w:color w:val="000000"/>
            <w:sz w:val="24"/>
            <w:szCs w:val="24"/>
          </w:rPr>
          <w:t xml:space="preserve"> et al., 2018)</w:t>
        </w:r>
      </w:hyperlink>
      <w:r>
        <w:rPr>
          <w:rFonts w:ascii="Times New Roman" w:eastAsia="Times New Roman" w:hAnsi="Times New Roman" w:cs="Times New Roman"/>
          <w:sz w:val="24"/>
          <w:szCs w:val="24"/>
        </w:rPr>
        <w:t xml:space="preserve">. Furthermore, early evidence indicated that perceived stress was associated with haphazard meal planning and emotional eating, which increased the risk of susceptibility to overconsumption in a community-based sample of African Americans </w:t>
      </w:r>
      <w:hyperlink r:id="rId582">
        <w:r>
          <w:rPr>
            <w:rFonts w:ascii="Times New Roman" w:eastAsia="Times New Roman" w:hAnsi="Times New Roman" w:cs="Times New Roman"/>
            <w:color w:val="000000"/>
            <w:sz w:val="24"/>
            <w:szCs w:val="24"/>
          </w:rPr>
          <w:t xml:space="preserve">(Sims </w:t>
        </w:r>
        <w:r>
          <w:rPr>
            <w:rFonts w:ascii="Times New Roman" w:eastAsia="Times New Roman" w:hAnsi="Times New Roman" w:cs="Times New Roman"/>
            <w:color w:val="000000"/>
            <w:sz w:val="24"/>
            <w:szCs w:val="24"/>
          </w:rPr>
          <w:lastRenderedPageBreak/>
          <w:t>et al., 2008)</w:t>
        </w:r>
      </w:hyperlink>
      <w:r>
        <w:rPr>
          <w:rFonts w:ascii="Times New Roman" w:eastAsia="Times New Roman" w:hAnsi="Times New Roman" w:cs="Times New Roman"/>
          <w:sz w:val="24"/>
          <w:szCs w:val="24"/>
        </w:rPr>
        <w:t xml:space="preserve">. Indeed, an observational study conducted by Huh et al. (2015) showed that the association between higher perceived stress and increased hunger was particularly prominent in the late afternoon and evening hours, suggesting that stress-induced hunger may additionally contribute to increased energy intake in the evening. Therefore, it is important to determine whether there is a relationship between meal timing and perceived stress. </w:t>
      </w:r>
    </w:p>
    <w:p w14:paraId="00000667" w14:textId="77777777" w:rsidR="00CB4215" w:rsidRDefault="00CB4215">
      <w:pPr>
        <w:spacing w:line="480" w:lineRule="auto"/>
        <w:rPr>
          <w:rFonts w:ascii="Times New Roman" w:eastAsia="Times New Roman" w:hAnsi="Times New Roman" w:cs="Times New Roman"/>
          <w:sz w:val="24"/>
          <w:szCs w:val="24"/>
        </w:rPr>
      </w:pPr>
    </w:p>
    <w:p w14:paraId="00000668"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a full trial is conducted, a pilot trial is conducted as a miniature version of the main trial to see if all the components of the main trial can work together </w:t>
      </w:r>
      <w:hyperlink r:id="rId583">
        <w:r>
          <w:rPr>
            <w:rFonts w:ascii="Times New Roman" w:eastAsia="Times New Roman" w:hAnsi="Times New Roman" w:cs="Times New Roman"/>
            <w:color w:val="000000"/>
            <w:sz w:val="24"/>
            <w:szCs w:val="24"/>
          </w:rPr>
          <w:t>(Whitehead et al., 2014)</w:t>
        </w:r>
      </w:hyperlink>
      <w:r>
        <w:rPr>
          <w:rFonts w:ascii="Times New Roman" w:eastAsia="Times New Roman" w:hAnsi="Times New Roman" w:cs="Times New Roman"/>
          <w:sz w:val="24"/>
          <w:szCs w:val="24"/>
        </w:rPr>
        <w:t xml:space="preserve">. The aim of the pilot study is to provide training and experience in the conduct of the study and to highlight any problems so that they can be corrected before the main study begins </w:t>
      </w:r>
      <w:hyperlink r:id="rId584">
        <w:r>
          <w:rPr>
            <w:rFonts w:ascii="Times New Roman" w:eastAsia="Times New Roman" w:hAnsi="Times New Roman" w:cs="Times New Roman"/>
            <w:color w:val="000000"/>
            <w:sz w:val="24"/>
            <w:szCs w:val="24"/>
          </w:rPr>
          <w:t>(Eldridge et al., 2016)</w:t>
        </w:r>
      </w:hyperlink>
      <w:r>
        <w:rPr>
          <w:rFonts w:ascii="Times New Roman" w:eastAsia="Times New Roman" w:hAnsi="Times New Roman" w:cs="Times New Roman"/>
          <w:sz w:val="24"/>
          <w:szCs w:val="24"/>
        </w:rPr>
        <w:t xml:space="preserve">. In the context of this study, the use of accelerometers to measure physical activity and sleep involves technical considerations such as device placement, data accuracy and user compliance. A pilot study will allow these elements to be tested in a real-world setting to ensure that the accelerometers are suitable for the research and provide reliable and valid data. In addition, MyFood24 is a validated, user-friendly online dietary assessment tool (Wark et al., 2018). A pilot study can also assess whether the instructions are clear and whether the tool is accessible to all participants. Therefore, given the cost (e.g., accelerometer, MyFood24) and time commitment of the study (14 days), a pilot study was conducted prior to the full study. The current pilot study built on the findings of the previous study (Chapter 4). Firstly, given the potential influence of weight status on meal timing, only participants with obesity were included in this study, whereas the previous study included participants with overweight, obesity and normal weight. Secondly, to address the gaps reported in the previous study (Chapter 4), height, weight, physical activity and sleep were measured objectively to increase the accuracy of the measurements. Finally,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address the gap in the previous study (Chapter 4), dietary intake was added to this study to </w:t>
      </w:r>
      <w:r>
        <w:rPr>
          <w:rFonts w:ascii="Times New Roman" w:eastAsia="Times New Roman" w:hAnsi="Times New Roman" w:cs="Times New Roman"/>
          <w:sz w:val="24"/>
          <w:szCs w:val="24"/>
        </w:rPr>
        <w:lastRenderedPageBreak/>
        <w:t xml:space="preserve">explore whether late eating was associated with higher energy intake. In summary, this is a novel investigation to explore the associations between meal timing, eating behaviour traits, dietary intake, objectively measured health behaviours and BMI, and to compare the eating behaviour traits and health behaviours between early and late eaters.  </w:t>
      </w:r>
    </w:p>
    <w:p w14:paraId="00000669" w14:textId="77777777" w:rsidR="00CB4215" w:rsidRDefault="00CB4215">
      <w:pPr>
        <w:spacing w:line="480" w:lineRule="auto"/>
        <w:rPr>
          <w:rFonts w:ascii="Times New Roman" w:eastAsia="Times New Roman" w:hAnsi="Times New Roman" w:cs="Times New Roman"/>
          <w:sz w:val="24"/>
          <w:szCs w:val="24"/>
        </w:rPr>
      </w:pPr>
    </w:p>
    <w:p w14:paraId="0000066A"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this pilot study aimed to test feasibility and collect pilot study data for the main trial.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previous study (Chapter 4), this pilot study aimed to examine the associations between meal timing, BMI and eating behaviour traits (cognitive restraint, uncontrolled eating, emotional eating, craving control, satiety responsiveness, emotional overeating, emotional undereating, slowness in eating, enjoyment of food and food responsiveness). Eating behaviour traits were also assessed to compare the differences between early eaters and later eaters. This pilot study also aimed to compare BMI, dietary intake, objectively measured health behaviours (physical activity, sleep, ideal portion size) and perceived stress between early versus late eaters. Chaotic eating was also assessed in this pilot study. However, for conciseness, the analyses in this pilot study focused on meal timing. Chaotic eating is only reported in Appendix C. The hypotheses tested are presented below.</w:t>
      </w:r>
    </w:p>
    <w:p w14:paraId="0000066B" w14:textId="77777777" w:rsidR="00CB4215" w:rsidRDefault="00CB4215">
      <w:pPr>
        <w:spacing w:line="480" w:lineRule="auto"/>
        <w:rPr>
          <w:rFonts w:ascii="Times New Roman" w:eastAsia="Times New Roman" w:hAnsi="Times New Roman" w:cs="Times New Roman"/>
          <w:sz w:val="24"/>
          <w:szCs w:val="24"/>
        </w:rPr>
      </w:pPr>
    </w:p>
    <w:p w14:paraId="0000066C"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hypothesis is listed below:</w:t>
      </w:r>
    </w:p>
    <w:p w14:paraId="0000066D"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Meal timing will be associated with BMI. Specifically: eating later in the day will be related to higher BMI.</w:t>
      </w:r>
    </w:p>
    <w:p w14:paraId="0000066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Meal timing will be associated with eating behaviour traits: eating later in the day will be related to score lower in satiety responsiveness, craving control, cognitive restraint, slowness in eating and higher in disinhibition, emotional eating and enjoyment of food.</w:t>
      </w:r>
    </w:p>
    <w:p w14:paraId="0000066F"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Eating behaviour traits between early eaters and late eaters: It is expected that early eaters will score higher in satiety responsiveness, craving control, cognitive restraint, slowness in </w:t>
      </w:r>
      <w:r>
        <w:rPr>
          <w:rFonts w:ascii="Times New Roman" w:eastAsia="Times New Roman" w:hAnsi="Times New Roman" w:cs="Times New Roman"/>
          <w:sz w:val="24"/>
          <w:szCs w:val="24"/>
        </w:rPr>
        <w:lastRenderedPageBreak/>
        <w:t>eating and lower in disinhibition, emotional eating and enjoyment of food compared to late eaters.</w:t>
      </w:r>
    </w:p>
    <w:p w14:paraId="00000670"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Health behaviours between early and late eaters: it is expected that early eaters will report greater physical activity (duration), higher intensity, more energy expenditure, higher sleep efficiency, longer daily sleeping duration, smaller ideal portion size, lower total energy intake compared to late eaters. </w:t>
      </w:r>
    </w:p>
    <w:p w14:paraId="00000671"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Perceived stress between early and late eaters: it is expected that early eaters will report lower perceived stress compared to late eaters. </w:t>
      </w:r>
    </w:p>
    <w:p w14:paraId="00000672" w14:textId="77777777" w:rsidR="00CB4215" w:rsidRDefault="00CB4215">
      <w:pPr>
        <w:spacing w:line="480" w:lineRule="auto"/>
        <w:rPr>
          <w:rFonts w:ascii="Times New Roman" w:eastAsia="Times New Roman" w:hAnsi="Times New Roman" w:cs="Times New Roman"/>
          <w:sz w:val="24"/>
          <w:szCs w:val="24"/>
        </w:rPr>
      </w:pPr>
    </w:p>
    <w:p w14:paraId="00000673" w14:textId="77777777" w:rsidR="00CB4215" w:rsidRDefault="000530B4">
      <w:pPr>
        <w:pStyle w:val="Heading3"/>
        <w:rPr>
          <w:rFonts w:ascii="Times New Roman" w:eastAsia="Times New Roman" w:hAnsi="Times New Roman" w:cs="Times New Roman"/>
          <w:b/>
          <w:color w:val="000000"/>
        </w:rPr>
      </w:pPr>
      <w:bookmarkStart w:id="92" w:name="_Toc172984811"/>
      <w:r>
        <w:rPr>
          <w:rFonts w:ascii="Times New Roman" w:eastAsia="Times New Roman" w:hAnsi="Times New Roman" w:cs="Times New Roman"/>
          <w:b/>
          <w:color w:val="000000"/>
        </w:rPr>
        <w:t>5.3 Method</w:t>
      </w:r>
      <w:bookmarkEnd w:id="92"/>
    </w:p>
    <w:p w14:paraId="00000674" w14:textId="77777777" w:rsidR="00CB4215" w:rsidRDefault="00CB4215"/>
    <w:p w14:paraId="0000067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pilot study was conducted in line with multi-centre ethics approval (Application number: 046238; AREA 21-181) and was pre-registered on Open Science Framework (</w:t>
      </w:r>
      <w:hyperlink r:id="rId585">
        <w:r>
          <w:rPr>
            <w:rFonts w:ascii="Times New Roman" w:eastAsia="Times New Roman" w:hAnsi="Times New Roman" w:cs="Times New Roman"/>
            <w:color w:val="000000"/>
            <w:sz w:val="24"/>
            <w:szCs w:val="24"/>
          </w:rPr>
          <w:t>https://osf.io/9tju8/</w:t>
        </w:r>
      </w:hyperlink>
      <w:r>
        <w:rPr>
          <w:rFonts w:ascii="Times New Roman" w:eastAsia="Times New Roman" w:hAnsi="Times New Roman" w:cs="Times New Roman"/>
          <w:sz w:val="24"/>
          <w:szCs w:val="24"/>
        </w:rPr>
        <w:t>).</w:t>
      </w:r>
    </w:p>
    <w:p w14:paraId="00000676" w14:textId="77777777" w:rsidR="00CB4215" w:rsidRDefault="00CB4215">
      <w:pPr>
        <w:spacing w:line="480" w:lineRule="auto"/>
        <w:rPr>
          <w:rFonts w:ascii="Times New Roman" w:eastAsia="Times New Roman" w:hAnsi="Times New Roman" w:cs="Times New Roman"/>
          <w:sz w:val="24"/>
          <w:szCs w:val="24"/>
        </w:rPr>
      </w:pPr>
    </w:p>
    <w:p w14:paraId="00000677"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5.3.1 Participants and recruitment</w:t>
      </w:r>
    </w:p>
    <w:p w14:paraId="00000678" w14:textId="77777777" w:rsidR="00CB4215" w:rsidRDefault="00CB4215"/>
    <w:p w14:paraId="0000067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is a part of a larger multi-site trial to investigate weight stigma and health behaviours. Participants were recruited from the staff and student populations of University sites (University of Sheffield, Leeds and York) and the Leeds, Sheffield and York communities via email distribution lists, university student participation databases, posters displayed on university campuses and community centres (e.g., Zest in Sheffield, UK), willing businesses, social media (e.g., Facebook, Twitter, LinkedIn) and online classified advertisements (e.g., Gumtree). Recruitment advertisements included a link to the screening questionnaire. </w:t>
      </w:r>
    </w:p>
    <w:p w14:paraId="0000067A" w14:textId="77777777" w:rsidR="00CB4215" w:rsidRDefault="00CB4215">
      <w:pPr>
        <w:spacing w:line="480" w:lineRule="auto"/>
        <w:rPr>
          <w:rFonts w:ascii="Times New Roman" w:eastAsia="Times New Roman" w:hAnsi="Times New Roman" w:cs="Times New Roman"/>
          <w:sz w:val="24"/>
          <w:szCs w:val="24"/>
        </w:rPr>
      </w:pPr>
    </w:p>
    <w:p w14:paraId="0000067B" w14:textId="57994986" w:rsidR="00CB4215" w:rsidRDefault="007E2DD6" w:rsidP="003124F9">
      <w:pPr>
        <w:spacing w:line="480" w:lineRule="auto"/>
        <w:rPr>
          <w:rFonts w:ascii="Times New Roman" w:eastAsia="Times New Roman" w:hAnsi="Times New Roman" w:cs="Times New Roman"/>
          <w:sz w:val="24"/>
          <w:szCs w:val="24"/>
        </w:rPr>
      </w:pPr>
      <w:sdt>
        <w:sdtPr>
          <w:rPr>
            <w:rFonts w:ascii="Times New Roman" w:hAnsi="Times New Roman" w:cs="Times New Roman"/>
          </w:rPr>
          <w:tag w:val="goog_rdk_50"/>
          <w:id w:val="405195223"/>
        </w:sdtPr>
        <w:sdtEndPr/>
        <w:sdtContent>
          <w:r w:rsidR="000530B4" w:rsidRPr="003124F9">
            <w:rPr>
              <w:rFonts w:ascii="Times New Roman" w:eastAsia="Gungsuh" w:hAnsi="Times New Roman" w:cs="Times New Roman"/>
              <w:sz w:val="24"/>
              <w:szCs w:val="24"/>
            </w:rPr>
            <w:t>To be eligible, participants needed to be living with obesity (BMI</w:t>
          </w:r>
          <w:r w:rsidR="00AC014F">
            <w:rPr>
              <w:rFonts w:ascii="Times New Roman" w:eastAsia="Gungsuh" w:hAnsi="Times New Roman" w:cs="Times New Roman"/>
              <w:sz w:val="24"/>
              <w:szCs w:val="24"/>
            </w:rPr>
            <w:t xml:space="preserve"> </w:t>
          </w:r>
          <w:r w:rsidR="000530B4" w:rsidRPr="003124F9">
            <w:rPr>
              <w:rFonts w:ascii="Times New Roman" w:eastAsia="Gungsuh" w:hAnsi="Times New Roman" w:cs="Times New Roman"/>
              <w:sz w:val="24"/>
              <w:szCs w:val="24"/>
            </w:rPr>
            <w:t>≥</w:t>
          </w:r>
          <w:r w:rsidR="00AC014F">
            <w:rPr>
              <w:rFonts w:ascii="Times New Roman" w:eastAsia="Gungsuh" w:hAnsi="Times New Roman" w:cs="Times New Roman"/>
              <w:sz w:val="24"/>
              <w:szCs w:val="24"/>
            </w:rPr>
            <w:t xml:space="preserve"> </w:t>
          </w:r>
          <w:r w:rsidR="000530B4" w:rsidRPr="003124F9">
            <w:rPr>
              <w:rFonts w:ascii="Times New Roman" w:eastAsia="Gungsuh" w:hAnsi="Times New Roman" w:cs="Times New Roman"/>
              <w:sz w:val="24"/>
              <w:szCs w:val="24"/>
            </w:rPr>
            <w:t>30 kg/m</w:t>
          </w:r>
        </w:sdtContent>
      </w:sdt>
      <w:r w:rsidR="000530B4" w:rsidRPr="003124F9">
        <w:rPr>
          <w:rFonts w:ascii="Times New Roman" w:eastAsia="Times New Roman" w:hAnsi="Times New Roman" w:cs="Times New Roman"/>
          <w:sz w:val="24"/>
          <w:szCs w:val="24"/>
          <w:vertAlign w:val="superscript"/>
        </w:rPr>
        <w:t>2</w:t>
      </w:r>
      <w:r w:rsidR="000530B4" w:rsidRPr="003124F9">
        <w:rPr>
          <w:rFonts w:ascii="Times New Roman" w:eastAsia="Times New Roman" w:hAnsi="Times New Roman" w:cs="Times New Roman"/>
          <w:sz w:val="24"/>
          <w:szCs w:val="24"/>
        </w:rPr>
        <w:t>) and aged between</w:t>
      </w:r>
      <w:r w:rsidR="000530B4">
        <w:rPr>
          <w:rFonts w:ascii="Times New Roman" w:eastAsia="Times New Roman" w:hAnsi="Times New Roman" w:cs="Times New Roman"/>
          <w:sz w:val="24"/>
          <w:szCs w:val="24"/>
        </w:rPr>
        <w:t xml:space="preserve"> 18-65 years. Participants were excluded if they reported a current or history of eating disorders, were pregnant or breastfeeding, unable to wear an accelerometer and reported having a severe health condition that affects appetite, physical activity and sleep. Eligibility was assessed via an online screening questionnaire via Qualtrics (Qualtrics, Provo, UT). </w:t>
      </w:r>
    </w:p>
    <w:p w14:paraId="0000067C" w14:textId="77777777" w:rsidR="00CB4215" w:rsidRDefault="00CB4215">
      <w:pPr>
        <w:spacing w:line="480" w:lineRule="auto"/>
        <w:rPr>
          <w:rFonts w:ascii="Times New Roman" w:eastAsia="Times New Roman" w:hAnsi="Times New Roman" w:cs="Times New Roman"/>
          <w:sz w:val="24"/>
          <w:szCs w:val="24"/>
        </w:rPr>
      </w:pPr>
    </w:p>
    <w:p w14:paraId="0000067D"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pilot trials, the sample size needs to be sufficient to assess the trial parameters, and power calculations are not needed (Arain, Campbell, Cooper, &amp; Lancaster, 2010; National Institute for Health Research, 2021). It is recommended that 30 participants or greater could estimate the parameter for a pilot study </w:t>
      </w:r>
      <w:hyperlink r:id="rId586">
        <w:r>
          <w:rPr>
            <w:rFonts w:ascii="Times New Roman" w:eastAsia="Times New Roman" w:hAnsi="Times New Roman" w:cs="Times New Roman"/>
            <w:color w:val="000000"/>
            <w:sz w:val="24"/>
            <w:szCs w:val="24"/>
          </w:rPr>
          <w:t>(Browne 1995; Lancaster et al. 2004)</w:t>
        </w:r>
      </w:hyperlink>
      <w:r>
        <w:rPr>
          <w:rFonts w:ascii="Times New Roman" w:eastAsia="Times New Roman" w:hAnsi="Times New Roman" w:cs="Times New Roman"/>
          <w:sz w:val="24"/>
          <w:szCs w:val="24"/>
        </w:rPr>
        <w:t>. Therefore, this pilot study aimed to recruit 30 participants to conduct preliminary analyses.</w:t>
      </w:r>
    </w:p>
    <w:p w14:paraId="0000067E" w14:textId="77777777" w:rsidR="00CB4215" w:rsidRDefault="00CB4215">
      <w:pPr>
        <w:spacing w:line="480" w:lineRule="auto"/>
        <w:rPr>
          <w:rFonts w:ascii="Times New Roman" w:eastAsia="Times New Roman" w:hAnsi="Times New Roman" w:cs="Times New Roman"/>
          <w:sz w:val="24"/>
          <w:szCs w:val="24"/>
        </w:rPr>
      </w:pPr>
    </w:p>
    <w:p w14:paraId="0000067F"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5.3.2 Design overview</w:t>
      </w:r>
    </w:p>
    <w:p w14:paraId="00000680" w14:textId="77777777" w:rsidR="00CB4215" w:rsidRDefault="00CB4215"/>
    <w:p w14:paraId="00000681"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 of a separate pilot study on weight stigma, the overall design is shown in Figure 5.1. The overall design included an online screening for recruitment, followed by an on-site session. The on-site session confirmed eligibility, collected baseline measures and provided participants with an accelerometer to objectively assess physical activity and sleep over the following 14 days. Participants wore the accelerometer for 14 days and completed daily measures online in their own natural environment.  </w:t>
      </w:r>
      <w:r>
        <w:rPr>
          <w:rFonts w:ascii="Times New Roman" w:eastAsia="Times New Roman" w:hAnsi="Times New Roman" w:cs="Times New Roman"/>
          <w:noProof/>
          <w:sz w:val="24"/>
          <w:szCs w:val="24"/>
        </w:rPr>
        <w:drawing>
          <wp:inline distT="0" distB="0" distL="0" distR="0" wp14:anchorId="24E79F8F" wp14:editId="76A7FCEE">
            <wp:extent cx="5029200" cy="124460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7"/>
                    <a:srcRect/>
                    <a:stretch>
                      <a:fillRect/>
                    </a:stretch>
                  </pic:blipFill>
                  <pic:spPr>
                    <a:xfrm>
                      <a:off x="0" y="0"/>
                      <a:ext cx="5030905" cy="1245022"/>
                    </a:xfrm>
                    <a:prstGeom prst="rect">
                      <a:avLst/>
                    </a:prstGeom>
                    <a:ln/>
                  </pic:spPr>
                </pic:pic>
              </a:graphicData>
            </a:graphic>
          </wp:inline>
        </w:drawing>
      </w:r>
      <w:r>
        <w:rPr>
          <w:rFonts w:ascii="Times New Roman" w:eastAsia="Times New Roman" w:hAnsi="Times New Roman" w:cs="Times New Roman"/>
          <w:sz w:val="24"/>
          <w:szCs w:val="24"/>
        </w:rPr>
        <w:t xml:space="preserve"> </w:t>
      </w:r>
    </w:p>
    <w:p w14:paraId="00000682" w14:textId="77777777" w:rsidR="00CB4215" w:rsidRDefault="000530B4">
      <w:pPr>
        <w:pBdr>
          <w:top w:val="nil"/>
          <w:left w:val="nil"/>
          <w:bottom w:val="nil"/>
          <w:right w:val="nil"/>
          <w:between w:val="nil"/>
        </w:pBdr>
        <w:spacing w:after="200" w:line="240" w:lineRule="auto"/>
        <w:rPr>
          <w:rFonts w:ascii="Times New Roman" w:eastAsia="Times New Roman" w:hAnsi="Times New Roman" w:cs="Times New Roman"/>
          <w:i/>
          <w:color w:val="000000"/>
          <w:sz w:val="20"/>
          <w:szCs w:val="20"/>
        </w:rPr>
      </w:pPr>
      <w:bookmarkStart w:id="93" w:name="_heading=h.48pi1tg" w:colFirst="0" w:colLast="0"/>
      <w:bookmarkEnd w:id="93"/>
      <w:r>
        <w:rPr>
          <w:rFonts w:ascii="Times New Roman" w:eastAsia="Times New Roman" w:hAnsi="Times New Roman" w:cs="Times New Roman"/>
          <w:i/>
          <w:color w:val="000000"/>
          <w:sz w:val="20"/>
          <w:szCs w:val="20"/>
        </w:rPr>
        <w:t xml:space="preserve">Figure 5.1. </w:t>
      </w:r>
      <w:r>
        <w:rPr>
          <w:rFonts w:ascii="Times New Roman" w:eastAsia="Times New Roman" w:hAnsi="Times New Roman" w:cs="Times New Roman"/>
          <w:color w:val="000000"/>
          <w:sz w:val="20"/>
          <w:szCs w:val="20"/>
        </w:rPr>
        <w:t>Design Overview.</w:t>
      </w:r>
    </w:p>
    <w:p w14:paraId="00000683"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5.3.3 Study procedure</w:t>
      </w:r>
    </w:p>
    <w:p w14:paraId="00000684" w14:textId="77777777" w:rsidR="00CB4215" w:rsidRDefault="00CB4215"/>
    <w:p w14:paraId="0000068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On-site screening, baseline and trial measures</w:t>
      </w:r>
    </w:p>
    <w:p w14:paraId="0000068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with eligible responses to the screening questionnaire were invited to attend an on-site session at the research unit (University of Sheffield, the University of Leeds or the University of York). At the on-site session, study information was provided, and consent was obtained. Height and weight were measured by the researcher to confirm BMI eligibility. Height and weight were measured with shoes and heavy clothing removed using digital scales (to nearest 0.1 kg) and a stadiometer (to nearest cm). BMI was computed based on height and weight. Upon confirmed eligibility, demographic information [employment type, education, work schedule (e.g., shift work) and ethnicity], dieting and health status and questionnaires assessing baseline measures were administered online in a randomised order. Table 5.1 shows all measures that were collected. </w:t>
      </w:r>
    </w:p>
    <w:p w14:paraId="00000687" w14:textId="77777777" w:rsidR="00CB4215" w:rsidRDefault="00CB4215">
      <w:pPr>
        <w:spacing w:line="480" w:lineRule="auto"/>
        <w:rPr>
          <w:rFonts w:ascii="Times New Roman" w:eastAsia="Times New Roman" w:hAnsi="Times New Roman" w:cs="Times New Roman"/>
          <w:sz w:val="24"/>
          <w:szCs w:val="24"/>
        </w:rPr>
      </w:pPr>
    </w:p>
    <w:p w14:paraId="00000688" w14:textId="50F96120" w:rsidR="00CB4215" w:rsidRPr="008A4BDF" w:rsidRDefault="007E2DD6" w:rsidP="008A4BDF">
      <w:pPr>
        <w:spacing w:line="480" w:lineRule="auto"/>
        <w:rPr>
          <w:rFonts w:ascii="Times New Roman" w:eastAsia="Times New Roman" w:hAnsi="Times New Roman" w:cs="Times New Roman"/>
          <w:sz w:val="24"/>
          <w:szCs w:val="24"/>
        </w:rPr>
      </w:pPr>
      <w:sdt>
        <w:sdtPr>
          <w:rPr>
            <w:rFonts w:ascii="Times New Roman" w:hAnsi="Times New Roman" w:cs="Times New Roman"/>
          </w:rPr>
          <w:tag w:val="goog_rdk_51"/>
          <w:id w:val="-1322573824"/>
        </w:sdtPr>
        <w:sdtEndPr/>
        <w:sdtContent>
          <w:r w:rsidR="000530B4" w:rsidRPr="008A4BDF">
            <w:rPr>
              <w:rFonts w:ascii="Times New Roman" w:eastAsia="Gungsuh" w:hAnsi="Times New Roman" w:cs="Times New Roman"/>
              <w:sz w:val="24"/>
              <w:szCs w:val="24"/>
            </w:rPr>
            <w:t xml:space="preserve">Participants were fitted with an Accelerometer monitor – an </w:t>
          </w:r>
          <w:proofErr w:type="spellStart"/>
          <w:r w:rsidR="000530B4" w:rsidRPr="008A4BDF">
            <w:rPr>
              <w:rFonts w:ascii="Times New Roman" w:eastAsia="Gungsuh" w:hAnsi="Times New Roman" w:cs="Times New Roman"/>
              <w:sz w:val="24"/>
              <w:szCs w:val="24"/>
            </w:rPr>
            <w:t>Actigraph</w:t>
          </w:r>
          <w:proofErr w:type="spellEnd"/>
          <w:r w:rsidR="000530B4" w:rsidRPr="008A4BDF">
            <w:rPr>
              <w:rFonts w:ascii="Times New Roman" w:eastAsia="Gungsuh" w:hAnsi="Times New Roman" w:cs="Times New Roman"/>
              <w:sz w:val="24"/>
              <w:szCs w:val="24"/>
            </w:rPr>
            <w:t xml:space="preserve"> </w:t>
          </w:r>
          <w:proofErr w:type="spellStart"/>
          <w:r w:rsidR="000530B4" w:rsidRPr="008A4BDF">
            <w:rPr>
              <w:rFonts w:ascii="Times New Roman" w:eastAsia="Gungsuh" w:hAnsi="Times New Roman" w:cs="Times New Roman"/>
              <w:sz w:val="24"/>
              <w:szCs w:val="24"/>
            </w:rPr>
            <w:t>CentrePoint</w:t>
          </w:r>
          <w:proofErr w:type="spellEnd"/>
          <w:r w:rsidR="000530B4" w:rsidRPr="008A4BDF">
            <w:rPr>
              <w:rFonts w:ascii="Times New Roman" w:eastAsia="Gungsuh" w:hAnsi="Times New Roman" w:cs="Times New Roman"/>
              <w:sz w:val="24"/>
              <w:szCs w:val="24"/>
            </w:rPr>
            <w:t xml:space="preserve"> Insight monitor (see Chapter 3 for more details). The accelerometers measured physical activity intensity [moderate-to-vigorous physical activity (MVPA)], step count, energy expenditure, total sleep time and sleep efficiency for 14 days. Participants who did not wear the accelerometer for at least 20 hours per day for ≥10 days were excluded from the analysis of accelerometer data (</w:t>
          </w:r>
          <w:proofErr w:type="spellStart"/>
          <w:r w:rsidR="000530B4" w:rsidRPr="008A4BDF">
            <w:rPr>
              <w:rFonts w:ascii="Times New Roman" w:eastAsia="Gungsuh" w:hAnsi="Times New Roman" w:cs="Times New Roman"/>
              <w:sz w:val="24"/>
              <w:szCs w:val="24"/>
            </w:rPr>
            <w:t>Trost</w:t>
          </w:r>
          <w:proofErr w:type="spellEnd"/>
          <w:r w:rsidR="000530B4" w:rsidRPr="008A4BDF">
            <w:rPr>
              <w:rFonts w:ascii="Times New Roman" w:eastAsia="Gungsuh" w:hAnsi="Times New Roman" w:cs="Times New Roman"/>
              <w:sz w:val="24"/>
              <w:szCs w:val="24"/>
            </w:rPr>
            <w:t xml:space="preserve"> et al., 2005; Myers et al., 2017). It has been shown that 3-5 days of monitoring are required to reliably estimate habitual physical activity in a 7-day monitoring protocol in adults (</w:t>
          </w:r>
          <w:proofErr w:type="spellStart"/>
          <w:r w:rsidR="000530B4" w:rsidRPr="008A4BDF">
            <w:rPr>
              <w:rFonts w:ascii="Times New Roman" w:eastAsia="Gungsuh" w:hAnsi="Times New Roman" w:cs="Times New Roman"/>
              <w:sz w:val="24"/>
              <w:szCs w:val="24"/>
            </w:rPr>
            <w:t>Trost</w:t>
          </w:r>
          <w:proofErr w:type="spellEnd"/>
          <w:r w:rsidR="000530B4" w:rsidRPr="008A4BDF">
            <w:rPr>
              <w:rFonts w:ascii="Times New Roman" w:eastAsia="Gungsuh" w:hAnsi="Times New Roman" w:cs="Times New Roman"/>
              <w:sz w:val="24"/>
              <w:szCs w:val="24"/>
            </w:rPr>
            <w:t xml:space="preserve"> et al., 2005). In addition, due to differences in activity levels between weekdays and weekends, it is advisable to collect data on both weekdays and weekends (</w:t>
          </w:r>
          <w:proofErr w:type="spellStart"/>
          <w:r w:rsidR="000530B4" w:rsidRPr="008A4BDF">
            <w:rPr>
              <w:rFonts w:ascii="Times New Roman" w:eastAsia="Gungsuh" w:hAnsi="Times New Roman" w:cs="Times New Roman"/>
              <w:sz w:val="24"/>
              <w:szCs w:val="24"/>
            </w:rPr>
            <w:t>Trost</w:t>
          </w:r>
          <w:proofErr w:type="spellEnd"/>
          <w:r w:rsidR="000530B4" w:rsidRPr="008A4BDF">
            <w:rPr>
              <w:rFonts w:ascii="Times New Roman" w:eastAsia="Gungsuh" w:hAnsi="Times New Roman" w:cs="Times New Roman"/>
              <w:sz w:val="24"/>
              <w:szCs w:val="24"/>
            </w:rPr>
            <w:t xml:space="preserve">, McIver, </w:t>
          </w:r>
          <w:r w:rsidR="006C356B">
            <w:rPr>
              <w:rFonts w:ascii="Times New Roman" w:eastAsia="Gungsuh" w:hAnsi="Times New Roman" w:cs="Times New Roman"/>
              <w:sz w:val="24"/>
              <w:szCs w:val="24"/>
            </w:rPr>
            <w:t>and</w:t>
          </w:r>
          <w:r w:rsidR="000530B4" w:rsidRPr="008A4BDF">
            <w:rPr>
              <w:rFonts w:ascii="Times New Roman" w:eastAsia="Gungsuh" w:hAnsi="Times New Roman" w:cs="Times New Roman"/>
              <w:sz w:val="24"/>
              <w:szCs w:val="24"/>
            </w:rPr>
            <w:t xml:space="preserve"> Pate, 2005; </w:t>
          </w:r>
          <w:proofErr w:type="spellStart"/>
          <w:r w:rsidR="000530B4" w:rsidRPr="008A4BDF">
            <w:rPr>
              <w:rFonts w:ascii="Times New Roman" w:eastAsia="Gungsuh" w:hAnsi="Times New Roman" w:cs="Times New Roman"/>
              <w:sz w:val="24"/>
              <w:szCs w:val="24"/>
            </w:rPr>
            <w:t>Vanhelst</w:t>
          </w:r>
          <w:proofErr w:type="spellEnd"/>
          <w:r w:rsidR="000530B4" w:rsidRPr="008A4BDF">
            <w:rPr>
              <w:rFonts w:ascii="Times New Roman" w:eastAsia="Gungsuh" w:hAnsi="Times New Roman" w:cs="Times New Roman"/>
              <w:sz w:val="24"/>
              <w:szCs w:val="24"/>
            </w:rPr>
            <w:t xml:space="preserve">, </w:t>
          </w:r>
          <w:proofErr w:type="spellStart"/>
          <w:r w:rsidR="000530B4" w:rsidRPr="008A4BDF">
            <w:rPr>
              <w:rFonts w:ascii="Times New Roman" w:eastAsia="Gungsuh" w:hAnsi="Times New Roman" w:cs="Times New Roman"/>
              <w:sz w:val="24"/>
              <w:szCs w:val="24"/>
            </w:rPr>
            <w:t>Fardy</w:t>
          </w:r>
          <w:proofErr w:type="spellEnd"/>
          <w:r w:rsidR="000530B4" w:rsidRPr="008A4BDF">
            <w:rPr>
              <w:rFonts w:ascii="Times New Roman" w:eastAsia="Gungsuh" w:hAnsi="Times New Roman" w:cs="Times New Roman"/>
              <w:sz w:val="24"/>
              <w:szCs w:val="24"/>
            </w:rPr>
            <w:t xml:space="preserve">, Duhamel, </w:t>
          </w:r>
          <w:r w:rsidR="006C356B">
            <w:rPr>
              <w:rFonts w:ascii="Times New Roman" w:eastAsia="Gungsuh" w:hAnsi="Times New Roman" w:cs="Times New Roman"/>
              <w:sz w:val="24"/>
              <w:szCs w:val="24"/>
            </w:rPr>
            <w:t>and</w:t>
          </w:r>
          <w:r w:rsidR="000530B4" w:rsidRPr="008A4BDF">
            <w:rPr>
              <w:rFonts w:ascii="Times New Roman" w:eastAsia="Gungsuh" w:hAnsi="Times New Roman" w:cs="Times New Roman"/>
              <w:sz w:val="24"/>
              <w:szCs w:val="24"/>
            </w:rPr>
            <w:t xml:space="preserve"> </w:t>
          </w:r>
          <w:proofErr w:type="spellStart"/>
          <w:r w:rsidR="000530B4" w:rsidRPr="008A4BDF">
            <w:rPr>
              <w:rFonts w:ascii="Times New Roman" w:eastAsia="Gungsuh" w:hAnsi="Times New Roman" w:cs="Times New Roman"/>
              <w:sz w:val="24"/>
              <w:szCs w:val="24"/>
            </w:rPr>
            <w:t>Béghin</w:t>
          </w:r>
          <w:proofErr w:type="spellEnd"/>
          <w:r w:rsidR="000530B4" w:rsidRPr="008A4BDF">
            <w:rPr>
              <w:rFonts w:ascii="Times New Roman" w:eastAsia="Gungsuh" w:hAnsi="Times New Roman" w:cs="Times New Roman"/>
              <w:sz w:val="24"/>
              <w:szCs w:val="24"/>
            </w:rPr>
            <w:t xml:space="preserve">, 2014). Additionally, based on the study protocol conducted in Centrepoint, the minimum daily wear is 20 hours. As such, participants should wear the </w:t>
          </w:r>
          <w:proofErr w:type="spellStart"/>
          <w:r w:rsidR="000530B4" w:rsidRPr="008A4BDF">
            <w:rPr>
              <w:rFonts w:ascii="Times New Roman" w:eastAsia="Gungsuh" w:hAnsi="Times New Roman" w:cs="Times New Roman"/>
              <w:sz w:val="24"/>
              <w:szCs w:val="24"/>
            </w:rPr>
            <w:t>actigraph</w:t>
          </w:r>
          <w:proofErr w:type="spellEnd"/>
          <w:r w:rsidR="000530B4" w:rsidRPr="008A4BDF">
            <w:rPr>
              <w:rFonts w:ascii="Times New Roman" w:eastAsia="Gungsuh" w:hAnsi="Times New Roman" w:cs="Times New Roman"/>
              <w:sz w:val="24"/>
              <w:szCs w:val="24"/>
            </w:rPr>
            <w:t xml:space="preserve"> for at least 20 hours per day for </w:t>
          </w:r>
          <w:r w:rsidR="000530B4" w:rsidRPr="008A4BDF">
            <w:rPr>
              <w:rFonts w:ascii="Times New Roman" w:eastAsia="Gungsuh" w:hAnsi="Times New Roman" w:cs="Times New Roman"/>
              <w:sz w:val="24"/>
              <w:szCs w:val="24"/>
            </w:rPr>
            <w:lastRenderedPageBreak/>
            <w:t>≥10 days, including at least two weekend days. Participants who reported exceptionally short (3 hours and 180 minutes) or long (16 hours and 960 minutes) sleep were also excluded on the basis that the reports might be unreliable (</w:t>
          </w:r>
          <w:proofErr w:type="spellStart"/>
          <w:r w:rsidR="000530B4" w:rsidRPr="008A4BDF">
            <w:rPr>
              <w:rFonts w:ascii="Times New Roman" w:eastAsia="Gungsuh" w:hAnsi="Times New Roman" w:cs="Times New Roman"/>
              <w:sz w:val="24"/>
              <w:szCs w:val="24"/>
            </w:rPr>
            <w:t>Falbe</w:t>
          </w:r>
          <w:proofErr w:type="spellEnd"/>
          <w:r w:rsidR="000530B4" w:rsidRPr="008A4BDF">
            <w:rPr>
              <w:rFonts w:ascii="Times New Roman" w:eastAsia="Gungsuh" w:hAnsi="Times New Roman" w:cs="Times New Roman"/>
              <w:sz w:val="24"/>
              <w:szCs w:val="24"/>
            </w:rPr>
            <w:t xml:space="preserve"> et al., 2015). </w:t>
          </w:r>
        </w:sdtContent>
      </w:sdt>
    </w:p>
    <w:p w14:paraId="00000689" w14:textId="77777777" w:rsidR="00CB4215" w:rsidRDefault="00CB4215">
      <w:pPr>
        <w:spacing w:line="480" w:lineRule="auto"/>
        <w:rPr>
          <w:rFonts w:ascii="Times New Roman" w:eastAsia="Times New Roman" w:hAnsi="Times New Roman" w:cs="Times New Roman"/>
          <w:sz w:val="24"/>
          <w:szCs w:val="24"/>
        </w:rPr>
      </w:pPr>
    </w:p>
    <w:p w14:paraId="0000068A"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trial</w:t>
      </w:r>
    </w:p>
    <w:p w14:paraId="0000068B"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trial, participants were asked to complete the daily measures at the same time each day. All measures are listed in Table 5.1, with a more detailed description of each measure in Section 5.3.3.</w:t>
      </w:r>
    </w:p>
    <w:p w14:paraId="0000068C" w14:textId="77777777" w:rsidR="00CB4215" w:rsidRDefault="000530B4">
      <w:pPr>
        <w:keepNext/>
        <w:pBdr>
          <w:top w:val="nil"/>
          <w:left w:val="nil"/>
          <w:bottom w:val="nil"/>
          <w:right w:val="nil"/>
          <w:between w:val="nil"/>
        </w:pBdr>
        <w:spacing w:line="240" w:lineRule="auto"/>
        <w:rPr>
          <w:i/>
          <w:color w:val="000000"/>
          <w:sz w:val="18"/>
          <w:szCs w:val="18"/>
        </w:rPr>
      </w:pPr>
      <w:bookmarkStart w:id="94" w:name="_heading=h.2nusc19" w:colFirst="0" w:colLast="0"/>
      <w:bookmarkEnd w:id="94"/>
      <w:r w:rsidRPr="00D03B56">
        <w:rPr>
          <w:rFonts w:ascii="Times New Roman" w:hAnsi="Times New Roman" w:cs="Times New Roman"/>
          <w:i/>
          <w:color w:val="000000"/>
          <w:sz w:val="20"/>
          <w:szCs w:val="20"/>
        </w:rPr>
        <w:t>Table 5.1.</w:t>
      </w:r>
      <w:r w:rsidRPr="00D03B56">
        <w:rPr>
          <w:i/>
          <w:color w:val="000000"/>
          <w:sz w:val="18"/>
          <w:szCs w:val="18"/>
        </w:rPr>
        <w:t xml:space="preserve"> </w:t>
      </w:r>
      <w:r w:rsidRPr="00D03B56">
        <w:rPr>
          <w:rFonts w:ascii="Times New Roman" w:eastAsia="Times New Roman" w:hAnsi="Times New Roman" w:cs="Times New Roman"/>
          <w:color w:val="000000"/>
          <w:sz w:val="20"/>
          <w:szCs w:val="20"/>
        </w:rPr>
        <w:t>Measures collected during the</w:t>
      </w:r>
      <w:r>
        <w:rPr>
          <w:rFonts w:ascii="Times New Roman" w:eastAsia="Times New Roman" w:hAnsi="Times New Roman" w:cs="Times New Roman"/>
          <w:color w:val="000000"/>
          <w:sz w:val="20"/>
          <w:szCs w:val="20"/>
        </w:rPr>
        <w:t xml:space="preserve"> on-site screening and during trial.</w:t>
      </w:r>
    </w:p>
    <w:tbl>
      <w:tblPr>
        <w:tblStyle w:val="ab"/>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8"/>
      </w:tblGrid>
      <w:tr w:rsidR="00CB4215" w14:paraId="7F03F049" w14:textId="77777777">
        <w:trPr>
          <w:tblHeader/>
        </w:trPr>
        <w:tc>
          <w:tcPr>
            <w:tcW w:w="1843" w:type="dxa"/>
            <w:tcBorders>
              <w:top w:val="single" w:sz="4" w:space="0" w:color="000000"/>
              <w:left w:val="single" w:sz="4" w:space="0" w:color="000000"/>
              <w:bottom w:val="single" w:sz="4" w:space="0" w:color="000000"/>
              <w:right w:val="single" w:sz="4" w:space="0" w:color="000000"/>
            </w:tcBorders>
          </w:tcPr>
          <w:p w14:paraId="0000068D" w14:textId="77777777" w:rsidR="00CB4215" w:rsidRDefault="000530B4">
            <w:pPr>
              <w:rPr>
                <w:rFonts w:ascii="Times New Roman" w:eastAsia="Times New Roman" w:hAnsi="Times New Roman" w:cs="Times New Roman"/>
                <w:b/>
              </w:rPr>
            </w:pPr>
            <w:r>
              <w:rPr>
                <w:rFonts w:ascii="Times New Roman" w:eastAsia="Times New Roman" w:hAnsi="Times New Roman" w:cs="Times New Roman"/>
                <w:b/>
              </w:rPr>
              <w:t>Measure</w:t>
            </w:r>
          </w:p>
        </w:tc>
        <w:tc>
          <w:tcPr>
            <w:tcW w:w="7088" w:type="dxa"/>
            <w:tcBorders>
              <w:top w:val="single" w:sz="4" w:space="0" w:color="000000"/>
              <w:left w:val="single" w:sz="4" w:space="0" w:color="000000"/>
              <w:bottom w:val="single" w:sz="4" w:space="0" w:color="000000"/>
              <w:right w:val="single" w:sz="4" w:space="0" w:color="000000"/>
            </w:tcBorders>
          </w:tcPr>
          <w:p w14:paraId="0000068E" w14:textId="77777777" w:rsidR="00CB4215" w:rsidRDefault="000530B4">
            <w:pPr>
              <w:rPr>
                <w:rFonts w:ascii="Times New Roman" w:eastAsia="Times New Roman" w:hAnsi="Times New Roman" w:cs="Times New Roman"/>
                <w:b/>
              </w:rPr>
            </w:pPr>
            <w:r>
              <w:rPr>
                <w:rFonts w:ascii="Times New Roman" w:eastAsia="Times New Roman" w:hAnsi="Times New Roman" w:cs="Times New Roman"/>
                <w:b/>
              </w:rPr>
              <w:t>Description</w:t>
            </w:r>
          </w:p>
        </w:tc>
      </w:tr>
      <w:tr w:rsidR="00CB4215" w14:paraId="55262824" w14:textId="77777777">
        <w:tc>
          <w:tcPr>
            <w:tcW w:w="8931" w:type="dxa"/>
            <w:gridSpan w:val="2"/>
            <w:tcBorders>
              <w:top w:val="single" w:sz="4" w:space="0" w:color="000000"/>
              <w:left w:val="single" w:sz="4" w:space="0" w:color="000000"/>
              <w:bottom w:val="single" w:sz="4" w:space="0" w:color="000000"/>
              <w:right w:val="single" w:sz="4" w:space="0" w:color="000000"/>
            </w:tcBorders>
          </w:tcPr>
          <w:p w14:paraId="0000068F" w14:textId="77777777" w:rsidR="00CB4215" w:rsidRDefault="000530B4">
            <w:pPr>
              <w:rPr>
                <w:rFonts w:ascii="Times New Roman" w:eastAsia="Times New Roman" w:hAnsi="Times New Roman" w:cs="Times New Roman"/>
                <w:b/>
              </w:rPr>
            </w:pPr>
            <w:r>
              <w:rPr>
                <w:rFonts w:ascii="Times New Roman" w:eastAsia="Times New Roman" w:hAnsi="Times New Roman" w:cs="Times New Roman"/>
                <w:b/>
              </w:rPr>
              <w:t>On-site screening (baseline measures)</w:t>
            </w:r>
          </w:p>
        </w:tc>
      </w:tr>
      <w:tr w:rsidR="00CB4215" w14:paraId="33DEBE3A" w14:textId="77777777">
        <w:tc>
          <w:tcPr>
            <w:tcW w:w="1843" w:type="dxa"/>
            <w:tcBorders>
              <w:top w:val="single" w:sz="4" w:space="0" w:color="000000"/>
              <w:left w:val="single" w:sz="4" w:space="0" w:color="000000"/>
              <w:bottom w:val="single" w:sz="4" w:space="0" w:color="000000"/>
              <w:right w:val="single" w:sz="4" w:space="0" w:color="000000"/>
            </w:tcBorders>
          </w:tcPr>
          <w:p w14:paraId="00000691"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Objective height and weight</w:t>
            </w:r>
          </w:p>
        </w:tc>
        <w:tc>
          <w:tcPr>
            <w:tcW w:w="7088" w:type="dxa"/>
            <w:tcBorders>
              <w:top w:val="single" w:sz="4" w:space="0" w:color="000000"/>
              <w:left w:val="single" w:sz="4" w:space="0" w:color="000000"/>
              <w:bottom w:val="single" w:sz="4" w:space="0" w:color="000000"/>
              <w:right w:val="single" w:sz="4" w:space="0" w:color="000000"/>
            </w:tcBorders>
          </w:tcPr>
          <w:p w14:paraId="00000692"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Measured by researcher</w:t>
            </w:r>
          </w:p>
        </w:tc>
      </w:tr>
      <w:tr w:rsidR="00CB4215" w14:paraId="0334860C" w14:textId="77777777">
        <w:tc>
          <w:tcPr>
            <w:tcW w:w="1843" w:type="dxa"/>
            <w:tcBorders>
              <w:top w:val="single" w:sz="4" w:space="0" w:color="000000"/>
              <w:left w:val="single" w:sz="4" w:space="0" w:color="000000"/>
              <w:bottom w:val="single" w:sz="4" w:space="0" w:color="000000"/>
              <w:right w:val="single" w:sz="4" w:space="0" w:color="000000"/>
            </w:tcBorders>
          </w:tcPr>
          <w:p w14:paraId="00000693"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Demographics &amp; health</w:t>
            </w:r>
          </w:p>
        </w:tc>
        <w:tc>
          <w:tcPr>
            <w:tcW w:w="7088" w:type="dxa"/>
            <w:tcBorders>
              <w:top w:val="single" w:sz="4" w:space="0" w:color="000000"/>
              <w:left w:val="single" w:sz="4" w:space="0" w:color="000000"/>
              <w:bottom w:val="single" w:sz="4" w:space="0" w:color="000000"/>
              <w:right w:val="single" w:sz="4" w:space="0" w:color="000000"/>
            </w:tcBorders>
          </w:tcPr>
          <w:p w14:paraId="00000694"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Employment type, education, household income and ethnicity.</w:t>
            </w:r>
          </w:p>
          <w:p w14:paraId="00000695"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Self-reported health (</w:t>
            </w:r>
            <w:proofErr w:type="spellStart"/>
            <w:r>
              <w:rPr>
                <w:rFonts w:ascii="Times New Roman" w:eastAsia="Times New Roman" w:hAnsi="Times New Roman" w:cs="Times New Roman"/>
              </w:rPr>
              <w:t>Jylhä</w:t>
            </w:r>
            <w:proofErr w:type="spellEnd"/>
            <w:r>
              <w:rPr>
                <w:rFonts w:ascii="Times New Roman" w:eastAsia="Times New Roman" w:hAnsi="Times New Roman" w:cs="Times New Roman"/>
              </w:rPr>
              <w:t>, 2009), health conditions (e.g., sleep conditions, diabetes, heart disease, under or overactive thyroid, other health conditions).</w:t>
            </w:r>
          </w:p>
        </w:tc>
      </w:tr>
      <w:tr w:rsidR="00CB4215" w14:paraId="11073F12" w14:textId="77777777">
        <w:tc>
          <w:tcPr>
            <w:tcW w:w="8931" w:type="dxa"/>
            <w:gridSpan w:val="2"/>
            <w:tcBorders>
              <w:top w:val="single" w:sz="4" w:space="0" w:color="000000"/>
              <w:left w:val="single" w:sz="4" w:space="0" w:color="000000"/>
              <w:bottom w:val="single" w:sz="4" w:space="0" w:color="000000"/>
              <w:right w:val="single" w:sz="4" w:space="0" w:color="000000"/>
            </w:tcBorders>
          </w:tcPr>
          <w:p w14:paraId="00000696" w14:textId="77777777" w:rsidR="00CB4215" w:rsidRDefault="000530B4">
            <w:pPr>
              <w:rPr>
                <w:rFonts w:ascii="Times New Roman" w:eastAsia="Times New Roman" w:hAnsi="Times New Roman" w:cs="Times New Roman"/>
                <w:b/>
                <w:i/>
              </w:rPr>
            </w:pPr>
            <w:r>
              <w:rPr>
                <w:rFonts w:ascii="Times New Roman" w:eastAsia="Times New Roman" w:hAnsi="Times New Roman" w:cs="Times New Roman"/>
                <w:b/>
                <w:i/>
              </w:rPr>
              <w:t>The following baseline measures were administered in a randomised order</w:t>
            </w:r>
          </w:p>
        </w:tc>
      </w:tr>
      <w:tr w:rsidR="00CB4215" w14:paraId="5E0B5EAB" w14:textId="77777777">
        <w:tc>
          <w:tcPr>
            <w:tcW w:w="1843" w:type="dxa"/>
            <w:tcBorders>
              <w:top w:val="single" w:sz="4" w:space="0" w:color="000000"/>
              <w:left w:val="single" w:sz="4" w:space="0" w:color="000000"/>
              <w:bottom w:val="single" w:sz="4" w:space="0" w:color="000000"/>
              <w:right w:val="single" w:sz="4" w:space="0" w:color="000000"/>
            </w:tcBorders>
          </w:tcPr>
          <w:p w14:paraId="00000698"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Meal timings</w:t>
            </w:r>
          </w:p>
        </w:tc>
        <w:tc>
          <w:tcPr>
            <w:tcW w:w="7088" w:type="dxa"/>
            <w:tcBorders>
              <w:top w:val="single" w:sz="4" w:space="0" w:color="000000"/>
              <w:left w:val="single" w:sz="4" w:space="0" w:color="000000"/>
              <w:bottom w:val="single" w:sz="4" w:space="0" w:color="000000"/>
              <w:right w:val="single" w:sz="4" w:space="0" w:color="000000"/>
            </w:tcBorders>
          </w:tcPr>
          <w:p w14:paraId="00000699"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The time of breakfast, lunch, evening meal and snacks</w:t>
            </w:r>
          </w:p>
        </w:tc>
      </w:tr>
      <w:tr w:rsidR="00CB4215" w14:paraId="753BC1C0" w14:textId="77777777">
        <w:tc>
          <w:tcPr>
            <w:tcW w:w="1843" w:type="dxa"/>
            <w:tcBorders>
              <w:top w:val="single" w:sz="4" w:space="0" w:color="000000"/>
              <w:left w:val="single" w:sz="4" w:space="0" w:color="000000"/>
              <w:bottom w:val="single" w:sz="4" w:space="0" w:color="000000"/>
              <w:right w:val="single" w:sz="4" w:space="0" w:color="000000"/>
            </w:tcBorders>
          </w:tcPr>
          <w:p w14:paraId="0000069A"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Eating behaviour traits</w:t>
            </w:r>
          </w:p>
        </w:tc>
        <w:tc>
          <w:tcPr>
            <w:tcW w:w="7088" w:type="dxa"/>
            <w:tcBorders>
              <w:top w:val="single" w:sz="4" w:space="0" w:color="000000"/>
              <w:left w:val="single" w:sz="4" w:space="0" w:color="000000"/>
              <w:bottom w:val="single" w:sz="4" w:space="0" w:color="000000"/>
              <w:right w:val="single" w:sz="4" w:space="0" w:color="000000"/>
            </w:tcBorders>
          </w:tcPr>
          <w:p w14:paraId="0000069B"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Cognitive restraint, uncontrolled eating, emotional eating (Karlsson, Persson, Sjostrom, &amp; Sullivan, 2000)</w:t>
            </w:r>
          </w:p>
          <w:p w14:paraId="0000069C"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Emotional overeating and undereating, satiety responsiveness, enjoyment of food, food responsiveness slowness in eating (</w:t>
            </w:r>
            <w:proofErr w:type="spellStart"/>
            <w:r>
              <w:rPr>
                <w:rFonts w:ascii="Times New Roman" w:eastAsia="Times New Roman" w:hAnsi="Times New Roman" w:cs="Times New Roman"/>
              </w:rPr>
              <w:t>Hunot</w:t>
            </w:r>
            <w:proofErr w:type="spellEnd"/>
            <w:r>
              <w:rPr>
                <w:rFonts w:ascii="Times New Roman" w:eastAsia="Times New Roman" w:hAnsi="Times New Roman" w:cs="Times New Roman"/>
              </w:rPr>
              <w:t xml:space="preserve"> et al., 2016)</w:t>
            </w:r>
          </w:p>
          <w:p w14:paraId="0000069D"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Craving control (Dalton, Finlayson, Hill, &amp; Blundell, 2015)</w:t>
            </w:r>
          </w:p>
        </w:tc>
      </w:tr>
      <w:tr w:rsidR="00CB4215" w14:paraId="1084D7B7" w14:textId="77777777">
        <w:trPr>
          <w:trHeight w:val="240"/>
        </w:trPr>
        <w:tc>
          <w:tcPr>
            <w:tcW w:w="1843" w:type="dxa"/>
            <w:vMerge w:val="restart"/>
            <w:tcBorders>
              <w:top w:val="single" w:sz="4" w:space="0" w:color="000000"/>
              <w:left w:val="single" w:sz="4" w:space="0" w:color="000000"/>
              <w:bottom w:val="single" w:sz="4" w:space="0" w:color="000000"/>
              <w:right w:val="single" w:sz="4" w:space="0" w:color="000000"/>
            </w:tcBorders>
          </w:tcPr>
          <w:p w14:paraId="0000069E"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Self-reported health behaviours</w:t>
            </w:r>
          </w:p>
        </w:tc>
        <w:tc>
          <w:tcPr>
            <w:tcW w:w="7088" w:type="dxa"/>
            <w:tcBorders>
              <w:top w:val="single" w:sz="4" w:space="0" w:color="000000"/>
              <w:left w:val="single" w:sz="4" w:space="0" w:color="000000"/>
              <w:bottom w:val="single" w:sz="4" w:space="0" w:color="000000"/>
              <w:right w:val="single" w:sz="4" w:space="0" w:color="000000"/>
            </w:tcBorders>
          </w:tcPr>
          <w:p w14:paraId="0000069F" w14:textId="7A2DF38D" w:rsidR="00CB4215" w:rsidRDefault="000530B4">
            <w:pPr>
              <w:rPr>
                <w:rFonts w:ascii="Times New Roman" w:eastAsia="Times New Roman" w:hAnsi="Times New Roman" w:cs="Times New Roman"/>
              </w:rPr>
            </w:pPr>
            <w:r>
              <w:rPr>
                <w:rFonts w:ascii="Times New Roman" w:eastAsia="Times New Roman" w:hAnsi="Times New Roman" w:cs="Times New Roman"/>
              </w:rPr>
              <w:t xml:space="preserve">Physical activity (Milton, Bull, </w:t>
            </w:r>
            <w:r w:rsidR="006C356B">
              <w:rPr>
                <w:rFonts w:ascii="Times New Roman" w:eastAsia="Times New Roman" w:hAnsi="Times New Roman" w:cs="Times New Roman"/>
              </w:rPr>
              <w:t>and</w:t>
            </w:r>
            <w:r>
              <w:rPr>
                <w:rFonts w:ascii="Times New Roman" w:eastAsia="Times New Roman" w:hAnsi="Times New Roman" w:cs="Times New Roman"/>
              </w:rPr>
              <w:t xml:space="preserve"> Bauman, 2011)</w:t>
            </w:r>
          </w:p>
        </w:tc>
      </w:tr>
      <w:tr w:rsidR="00CB4215" w14:paraId="53544FC9" w14:textId="77777777">
        <w:trPr>
          <w:trHeight w:val="255"/>
        </w:trPr>
        <w:tc>
          <w:tcPr>
            <w:tcW w:w="1843" w:type="dxa"/>
            <w:vMerge/>
            <w:tcBorders>
              <w:top w:val="single" w:sz="4" w:space="0" w:color="000000"/>
              <w:left w:val="single" w:sz="4" w:space="0" w:color="000000"/>
              <w:bottom w:val="single" w:sz="4" w:space="0" w:color="000000"/>
              <w:right w:val="single" w:sz="4" w:space="0" w:color="000000"/>
            </w:tcBorders>
          </w:tcPr>
          <w:p w14:paraId="000006A0" w14:textId="77777777" w:rsidR="00CB4215" w:rsidRDefault="00CB4215">
            <w:pPr>
              <w:widowControl w:val="0"/>
              <w:pBdr>
                <w:top w:val="nil"/>
                <w:left w:val="nil"/>
                <w:bottom w:val="nil"/>
                <w:right w:val="nil"/>
                <w:between w:val="nil"/>
              </w:pBdr>
              <w:rPr>
                <w:rFonts w:ascii="Times New Roman" w:eastAsia="Times New Roman" w:hAnsi="Times New Roman" w:cs="Times New Roman"/>
              </w:rPr>
            </w:pPr>
          </w:p>
        </w:tc>
        <w:tc>
          <w:tcPr>
            <w:tcW w:w="7088" w:type="dxa"/>
            <w:tcBorders>
              <w:top w:val="single" w:sz="4" w:space="0" w:color="000000"/>
              <w:left w:val="single" w:sz="4" w:space="0" w:color="000000"/>
              <w:bottom w:val="single" w:sz="4" w:space="0" w:color="000000"/>
              <w:right w:val="single" w:sz="4" w:space="0" w:color="000000"/>
            </w:tcBorders>
          </w:tcPr>
          <w:p w14:paraId="000006A1"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Sleep [The Pittsburgh Sleep Quality Index (PSQI) (</w:t>
            </w:r>
            <w:proofErr w:type="spellStart"/>
            <w:r>
              <w:rPr>
                <w:rFonts w:ascii="Times New Roman" w:eastAsia="Times New Roman" w:hAnsi="Times New Roman" w:cs="Times New Roman"/>
              </w:rPr>
              <w:t>Buysse</w:t>
            </w:r>
            <w:proofErr w:type="spellEnd"/>
            <w:r>
              <w:rPr>
                <w:rFonts w:ascii="Times New Roman" w:eastAsia="Times New Roman" w:hAnsi="Times New Roman" w:cs="Times New Roman"/>
              </w:rPr>
              <w:t xml:space="preserve"> et al. 1989)</w:t>
            </w:r>
          </w:p>
        </w:tc>
      </w:tr>
      <w:tr w:rsidR="00CB4215" w14:paraId="6485B6B9" w14:textId="77777777">
        <w:trPr>
          <w:trHeight w:val="285"/>
        </w:trPr>
        <w:tc>
          <w:tcPr>
            <w:tcW w:w="1843" w:type="dxa"/>
            <w:vMerge/>
            <w:tcBorders>
              <w:top w:val="single" w:sz="4" w:space="0" w:color="000000"/>
              <w:left w:val="single" w:sz="4" w:space="0" w:color="000000"/>
              <w:bottom w:val="single" w:sz="4" w:space="0" w:color="000000"/>
              <w:right w:val="single" w:sz="4" w:space="0" w:color="000000"/>
            </w:tcBorders>
          </w:tcPr>
          <w:p w14:paraId="000006A2" w14:textId="77777777" w:rsidR="00CB4215" w:rsidRDefault="00CB4215">
            <w:pPr>
              <w:widowControl w:val="0"/>
              <w:pBdr>
                <w:top w:val="nil"/>
                <w:left w:val="nil"/>
                <w:bottom w:val="nil"/>
                <w:right w:val="nil"/>
                <w:between w:val="nil"/>
              </w:pBdr>
              <w:rPr>
                <w:rFonts w:ascii="Times New Roman" w:eastAsia="Times New Roman" w:hAnsi="Times New Roman" w:cs="Times New Roman"/>
              </w:rPr>
            </w:pPr>
          </w:p>
        </w:tc>
        <w:tc>
          <w:tcPr>
            <w:tcW w:w="7088" w:type="dxa"/>
            <w:tcBorders>
              <w:top w:val="single" w:sz="4" w:space="0" w:color="000000"/>
              <w:left w:val="single" w:sz="4" w:space="0" w:color="000000"/>
              <w:bottom w:val="single" w:sz="4" w:space="0" w:color="000000"/>
              <w:right w:val="single" w:sz="4" w:space="0" w:color="000000"/>
            </w:tcBorders>
          </w:tcPr>
          <w:p w14:paraId="000006A3"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Habitual food intake (Cleghorn et al., 2016)</w:t>
            </w:r>
          </w:p>
        </w:tc>
      </w:tr>
      <w:tr w:rsidR="00CB4215" w14:paraId="78BFB5D7" w14:textId="77777777">
        <w:trPr>
          <w:trHeight w:val="237"/>
        </w:trPr>
        <w:tc>
          <w:tcPr>
            <w:tcW w:w="1843" w:type="dxa"/>
            <w:vMerge/>
            <w:tcBorders>
              <w:top w:val="single" w:sz="4" w:space="0" w:color="000000"/>
              <w:left w:val="single" w:sz="4" w:space="0" w:color="000000"/>
              <w:bottom w:val="single" w:sz="4" w:space="0" w:color="000000"/>
              <w:right w:val="single" w:sz="4" w:space="0" w:color="000000"/>
            </w:tcBorders>
          </w:tcPr>
          <w:p w14:paraId="000006A4" w14:textId="77777777" w:rsidR="00CB4215" w:rsidRDefault="00CB4215">
            <w:pPr>
              <w:widowControl w:val="0"/>
              <w:pBdr>
                <w:top w:val="nil"/>
                <w:left w:val="nil"/>
                <w:bottom w:val="nil"/>
                <w:right w:val="nil"/>
                <w:between w:val="nil"/>
              </w:pBdr>
              <w:rPr>
                <w:rFonts w:ascii="Times New Roman" w:eastAsia="Times New Roman" w:hAnsi="Times New Roman" w:cs="Times New Roman"/>
              </w:rPr>
            </w:pPr>
          </w:p>
        </w:tc>
        <w:tc>
          <w:tcPr>
            <w:tcW w:w="7088" w:type="dxa"/>
            <w:tcBorders>
              <w:top w:val="single" w:sz="4" w:space="0" w:color="000000"/>
              <w:left w:val="single" w:sz="4" w:space="0" w:color="000000"/>
              <w:bottom w:val="single" w:sz="4" w:space="0" w:color="000000"/>
              <w:right w:val="single" w:sz="4" w:space="0" w:color="000000"/>
            </w:tcBorders>
          </w:tcPr>
          <w:p w14:paraId="000006A5"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Ideal portion size task (</w:t>
            </w:r>
            <w:proofErr w:type="spellStart"/>
            <w:r>
              <w:rPr>
                <w:rFonts w:ascii="Times New Roman" w:eastAsia="Times New Roman" w:hAnsi="Times New Roman" w:cs="Times New Roman"/>
              </w:rPr>
              <w:t>Embling</w:t>
            </w:r>
            <w:proofErr w:type="spellEnd"/>
            <w:r>
              <w:rPr>
                <w:rFonts w:ascii="Times New Roman" w:eastAsia="Times New Roman" w:hAnsi="Times New Roman" w:cs="Times New Roman"/>
              </w:rPr>
              <w:t>, Lee, Price, &amp; Wilkinson, 2021)</w:t>
            </w:r>
          </w:p>
        </w:tc>
      </w:tr>
      <w:tr w:rsidR="00CB4215" w14:paraId="6DAFE2C0" w14:textId="77777777">
        <w:tc>
          <w:tcPr>
            <w:tcW w:w="1843" w:type="dxa"/>
            <w:tcBorders>
              <w:top w:val="single" w:sz="4" w:space="0" w:color="000000"/>
              <w:left w:val="single" w:sz="4" w:space="0" w:color="000000"/>
              <w:bottom w:val="single" w:sz="4" w:space="0" w:color="000000"/>
              <w:right w:val="single" w:sz="4" w:space="0" w:color="000000"/>
            </w:tcBorders>
          </w:tcPr>
          <w:p w14:paraId="000006A6"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Perceived stress</w:t>
            </w:r>
          </w:p>
        </w:tc>
        <w:tc>
          <w:tcPr>
            <w:tcW w:w="7088" w:type="dxa"/>
            <w:tcBorders>
              <w:top w:val="single" w:sz="4" w:space="0" w:color="000000"/>
              <w:left w:val="single" w:sz="4" w:space="0" w:color="000000"/>
              <w:bottom w:val="single" w:sz="4" w:space="0" w:color="000000"/>
              <w:right w:val="single" w:sz="4" w:space="0" w:color="000000"/>
            </w:tcBorders>
          </w:tcPr>
          <w:p w14:paraId="000006A7"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 xml:space="preserve">Perceived stress scale (Cohen, </w:t>
            </w:r>
            <w:proofErr w:type="spellStart"/>
            <w:r>
              <w:rPr>
                <w:rFonts w:ascii="Times New Roman" w:eastAsia="Times New Roman" w:hAnsi="Times New Roman" w:cs="Times New Roman"/>
              </w:rPr>
              <w:t>Kamarck</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Mermelstein</w:t>
            </w:r>
            <w:proofErr w:type="spellEnd"/>
            <w:r>
              <w:rPr>
                <w:rFonts w:ascii="Times New Roman" w:eastAsia="Times New Roman" w:hAnsi="Times New Roman" w:cs="Times New Roman"/>
              </w:rPr>
              <w:t>, 1994)</w:t>
            </w:r>
          </w:p>
        </w:tc>
      </w:tr>
      <w:tr w:rsidR="00CB4215" w14:paraId="0F9AE474" w14:textId="77777777">
        <w:tc>
          <w:tcPr>
            <w:tcW w:w="8931" w:type="dxa"/>
            <w:gridSpan w:val="2"/>
            <w:tcBorders>
              <w:top w:val="single" w:sz="4" w:space="0" w:color="000000"/>
              <w:left w:val="single" w:sz="4" w:space="0" w:color="000000"/>
              <w:bottom w:val="single" w:sz="4" w:space="0" w:color="000000"/>
              <w:right w:val="single" w:sz="4" w:space="0" w:color="000000"/>
            </w:tcBorders>
          </w:tcPr>
          <w:p w14:paraId="000006A8" w14:textId="77777777" w:rsidR="00CB4215" w:rsidRDefault="000530B4">
            <w:pPr>
              <w:rPr>
                <w:rFonts w:ascii="Times New Roman" w:eastAsia="Times New Roman" w:hAnsi="Times New Roman" w:cs="Times New Roman"/>
                <w:b/>
              </w:rPr>
            </w:pPr>
            <w:r>
              <w:rPr>
                <w:rFonts w:ascii="Times New Roman" w:eastAsia="Times New Roman" w:hAnsi="Times New Roman" w:cs="Times New Roman"/>
                <w:b/>
              </w:rPr>
              <w:t xml:space="preserve">14-day trial (daily measures completed at the end of the day unless specified). </w:t>
            </w:r>
          </w:p>
        </w:tc>
      </w:tr>
      <w:tr w:rsidR="00CB4215" w14:paraId="443ADDA1" w14:textId="77777777">
        <w:tc>
          <w:tcPr>
            <w:tcW w:w="1843" w:type="dxa"/>
            <w:tcBorders>
              <w:top w:val="single" w:sz="4" w:space="0" w:color="000000"/>
              <w:left w:val="single" w:sz="4" w:space="0" w:color="000000"/>
              <w:bottom w:val="single" w:sz="4" w:space="0" w:color="000000"/>
              <w:right w:val="single" w:sz="4" w:space="0" w:color="000000"/>
            </w:tcBorders>
          </w:tcPr>
          <w:p w14:paraId="000006AA"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Health behaviours</w:t>
            </w:r>
          </w:p>
        </w:tc>
        <w:tc>
          <w:tcPr>
            <w:tcW w:w="7088" w:type="dxa"/>
            <w:tcBorders>
              <w:top w:val="single" w:sz="4" w:space="0" w:color="000000"/>
              <w:left w:val="single" w:sz="4" w:space="0" w:color="000000"/>
              <w:bottom w:val="single" w:sz="4" w:space="0" w:color="000000"/>
              <w:right w:val="single" w:sz="4" w:space="0" w:color="000000"/>
            </w:tcBorders>
          </w:tcPr>
          <w:p w14:paraId="000006AB"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Objectively assessed physical activity (PA) and sleep [accelerometer for 14-days]:</w:t>
            </w:r>
          </w:p>
          <w:p w14:paraId="000006AC"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PA: moderate-to-vigorous physical activity (MVPA), energy expenditure and step count</w:t>
            </w:r>
          </w:p>
          <w:p w14:paraId="000006AD"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Sleep: total sleep time and sleep efficiency</w:t>
            </w:r>
          </w:p>
          <w:p w14:paraId="000006AE"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Self-reported food intake: Daily ideal portion size (</w:t>
            </w:r>
            <w:proofErr w:type="spellStart"/>
            <w:r>
              <w:rPr>
                <w:rFonts w:ascii="Times New Roman" w:eastAsia="Times New Roman" w:hAnsi="Times New Roman" w:cs="Times New Roman"/>
              </w:rPr>
              <w:t>Embling</w:t>
            </w:r>
            <w:proofErr w:type="spellEnd"/>
            <w:r>
              <w:rPr>
                <w:rFonts w:ascii="Times New Roman" w:eastAsia="Times New Roman" w:hAnsi="Times New Roman" w:cs="Times New Roman"/>
              </w:rPr>
              <w:t xml:space="preserve"> et al., 2021); 3-day food diary using MyFood24: 2 weekdays and 1 weekend day</w:t>
            </w:r>
          </w:p>
        </w:tc>
      </w:tr>
      <w:tr w:rsidR="00CB4215" w14:paraId="215538C4" w14:textId="77777777">
        <w:tc>
          <w:tcPr>
            <w:tcW w:w="1843" w:type="dxa"/>
            <w:tcBorders>
              <w:top w:val="single" w:sz="4" w:space="0" w:color="000000"/>
              <w:left w:val="single" w:sz="4" w:space="0" w:color="000000"/>
              <w:bottom w:val="single" w:sz="4" w:space="0" w:color="000000"/>
              <w:right w:val="single" w:sz="4" w:space="0" w:color="000000"/>
            </w:tcBorders>
          </w:tcPr>
          <w:p w14:paraId="000006AF"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Daily craving control</w:t>
            </w:r>
          </w:p>
        </w:tc>
        <w:tc>
          <w:tcPr>
            <w:tcW w:w="7088" w:type="dxa"/>
            <w:tcBorders>
              <w:top w:val="single" w:sz="4" w:space="0" w:color="000000"/>
              <w:left w:val="single" w:sz="4" w:space="0" w:color="000000"/>
              <w:bottom w:val="single" w:sz="4" w:space="0" w:color="000000"/>
              <w:right w:val="single" w:sz="4" w:space="0" w:color="000000"/>
            </w:tcBorders>
          </w:tcPr>
          <w:p w14:paraId="000006B0"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Five items assessing craving frequency, intensity and participant’s response to the craving (Dalton et al., 2015)</w:t>
            </w:r>
          </w:p>
        </w:tc>
      </w:tr>
      <w:tr w:rsidR="00CB4215" w14:paraId="5D6F716C" w14:textId="77777777">
        <w:tc>
          <w:tcPr>
            <w:tcW w:w="1843" w:type="dxa"/>
            <w:tcBorders>
              <w:top w:val="single" w:sz="4" w:space="0" w:color="000000"/>
              <w:left w:val="single" w:sz="4" w:space="0" w:color="000000"/>
              <w:bottom w:val="single" w:sz="4" w:space="0" w:color="000000"/>
              <w:right w:val="single" w:sz="4" w:space="0" w:color="000000"/>
            </w:tcBorders>
          </w:tcPr>
          <w:p w14:paraId="000006B1" w14:textId="77777777" w:rsidR="00CB4215" w:rsidRDefault="000530B4">
            <w:pPr>
              <w:rPr>
                <w:rFonts w:ascii="Times New Roman" w:eastAsia="Times New Roman" w:hAnsi="Times New Roman" w:cs="Times New Roman"/>
              </w:rPr>
            </w:pPr>
            <w:r>
              <w:rPr>
                <w:rFonts w:ascii="Times New Roman" w:eastAsia="Times New Roman" w:hAnsi="Times New Roman" w:cs="Times New Roman"/>
              </w:rPr>
              <w:t>Daily stress</w:t>
            </w:r>
          </w:p>
        </w:tc>
        <w:tc>
          <w:tcPr>
            <w:tcW w:w="7088" w:type="dxa"/>
            <w:tcBorders>
              <w:top w:val="single" w:sz="4" w:space="0" w:color="000000"/>
              <w:left w:val="single" w:sz="4" w:space="0" w:color="000000"/>
              <w:bottom w:val="single" w:sz="4" w:space="0" w:color="000000"/>
              <w:right w:val="single" w:sz="4" w:space="0" w:color="000000"/>
            </w:tcBorders>
          </w:tcPr>
          <w:p w14:paraId="000006B2" w14:textId="77777777" w:rsidR="00CB4215" w:rsidRDefault="000530B4">
            <w:pPr>
              <w:pStyle w:val="Heading4"/>
              <w:spacing w:before="4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Perceived Stress Scale 4 (PSS-4)</w:t>
            </w:r>
          </w:p>
        </w:tc>
      </w:tr>
    </w:tbl>
    <w:p w14:paraId="000006B3" w14:textId="77777777" w:rsidR="00CB4215" w:rsidRDefault="000530B4">
      <w:pP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Note. </w:t>
      </w:r>
      <w:r>
        <w:rPr>
          <w:rFonts w:ascii="Times New Roman" w:eastAsia="Times New Roman" w:hAnsi="Times New Roman" w:cs="Times New Roman"/>
          <w:sz w:val="20"/>
          <w:szCs w:val="20"/>
        </w:rPr>
        <w:t>More detailed information about each measure is shown in Section 5.3.3.</w:t>
      </w:r>
    </w:p>
    <w:p w14:paraId="000006B4"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5.3.3 Materials</w:t>
      </w:r>
    </w:p>
    <w:p w14:paraId="000006B5" w14:textId="77777777" w:rsidR="00CB4215" w:rsidRDefault="000530B4">
      <w:pPr>
        <w:pStyle w:val="Heading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5.3.3.1 Meal timing</w:t>
      </w:r>
    </w:p>
    <w:p w14:paraId="000006B6" w14:textId="77777777" w:rsidR="00CB4215" w:rsidRDefault="00CB4215"/>
    <w:p w14:paraId="000006B7"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typical time of breakfast, lunch, evening meal, snacks, meal frequency and snack frequency were assessed by self-reported questions. Participants were provided with a list of times and were asked to select all possible times they might consume breakfast, lunch, evening meals and snacks at half-hour intervals on a 24-hour clock. This questionnaire is consistent with the study conducted by Zimmerman et al. (2018), which explored the relationship between BMI and chaotic eating (see details in Chapter 3). Participants were also asked to report their meal frequency (e.g., How many meals do you tend to eat on a typical day?). Similar questions on snack consumption were asked in the same way.</w:t>
      </w:r>
    </w:p>
    <w:p w14:paraId="000006B8" w14:textId="77777777" w:rsidR="00CB4215" w:rsidRDefault="00CB4215">
      <w:pPr>
        <w:spacing w:line="480" w:lineRule="auto"/>
        <w:rPr>
          <w:rFonts w:ascii="Times New Roman" w:eastAsia="Times New Roman" w:hAnsi="Times New Roman" w:cs="Times New Roman"/>
          <w:sz w:val="24"/>
          <w:szCs w:val="24"/>
        </w:rPr>
      </w:pPr>
    </w:p>
    <w:p w14:paraId="000006B9" w14:textId="77777777" w:rsidR="00CB4215" w:rsidRDefault="000530B4">
      <w:pPr>
        <w:pStyle w:val="Heading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5.3.3.2 Eating behaviour traits</w:t>
      </w:r>
    </w:p>
    <w:p w14:paraId="000006BA" w14:textId="77777777" w:rsidR="00CB4215" w:rsidRDefault="00CB4215"/>
    <w:p w14:paraId="000006BB"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short, revised 18-item questionnaire Three-Factor Eating Questionnaire (TFEQ) was used to assess cognitive restraint (CR), uncontrolled eating (UE) and emotional eating (EE). Responses were collected on a 4-point scale and higher scores on each subscale indicated greater responsiveness to the respective eating behaviour trait. All the subscales showed good internal reliability (Cronbach’s α cognitive restraint = .78; Cronbach’s α uncontrolled eating = .83; Cronbach’s α emotional eating = .85; Karlsson et al., 2000). </w:t>
      </w:r>
    </w:p>
    <w:p w14:paraId="000006BC" w14:textId="77777777" w:rsidR="00CB4215" w:rsidRDefault="00CB4215">
      <w:pPr>
        <w:spacing w:line="480" w:lineRule="auto"/>
        <w:rPr>
          <w:rFonts w:ascii="Times New Roman" w:eastAsia="Times New Roman" w:hAnsi="Times New Roman" w:cs="Times New Roman"/>
          <w:sz w:val="24"/>
          <w:szCs w:val="24"/>
        </w:rPr>
      </w:pPr>
    </w:p>
    <w:p w14:paraId="000006BD"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Control of Eating Questionnaire (</w:t>
      </w:r>
      <w:proofErr w:type="spellStart"/>
      <w:r>
        <w:rPr>
          <w:rFonts w:ascii="Times New Roman" w:eastAsia="Times New Roman" w:hAnsi="Times New Roman" w:cs="Times New Roman"/>
          <w:sz w:val="24"/>
          <w:szCs w:val="24"/>
        </w:rPr>
        <w:t>CoEQ</w:t>
      </w:r>
      <w:proofErr w:type="spellEnd"/>
      <w:r>
        <w:rPr>
          <w:rFonts w:ascii="Times New Roman" w:eastAsia="Times New Roman" w:hAnsi="Times New Roman" w:cs="Times New Roman"/>
          <w:sz w:val="24"/>
          <w:szCs w:val="24"/>
        </w:rPr>
        <w:t xml:space="preserve">) (Dalton et al., 2015) was used to measure craving control (CC), with good internal reliability (Cronbach’s α = .90). Items on the </w:t>
      </w:r>
      <w:proofErr w:type="spellStart"/>
      <w:r>
        <w:rPr>
          <w:rFonts w:ascii="Times New Roman" w:eastAsia="Times New Roman" w:hAnsi="Times New Roman" w:cs="Times New Roman"/>
          <w:sz w:val="24"/>
          <w:szCs w:val="24"/>
        </w:rPr>
        <w:t>CoEQ</w:t>
      </w:r>
      <w:proofErr w:type="spellEnd"/>
      <w:r>
        <w:rPr>
          <w:rFonts w:ascii="Times New Roman" w:eastAsia="Times New Roman" w:hAnsi="Times New Roman" w:cs="Times New Roman"/>
          <w:sz w:val="24"/>
          <w:szCs w:val="24"/>
        </w:rPr>
        <w:t xml:space="preserve"> were assessed with a 100-point visual analogue scale, with items averaged to create a final score. Higher scores indicated higher ability to control cravings.</w:t>
      </w:r>
    </w:p>
    <w:p w14:paraId="000006BE" w14:textId="77777777" w:rsidR="00CB4215" w:rsidRDefault="00CB4215">
      <w:pPr>
        <w:spacing w:line="480" w:lineRule="auto"/>
        <w:rPr>
          <w:rFonts w:ascii="Times New Roman" w:eastAsia="Times New Roman" w:hAnsi="Times New Roman" w:cs="Times New Roman"/>
          <w:sz w:val="24"/>
          <w:szCs w:val="24"/>
        </w:rPr>
      </w:pPr>
    </w:p>
    <w:p w14:paraId="000006BF"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Adult Eating Behaviour Questionnaire (AEBQ) was used to assess satiety responsiveness (SR), emotional overeating (EOE) and undereating (EUE), slowness in eating (SE), enjoyment of food (EF) and food responsiveness (FR). Responses were collected on a 5-point scale and all the subscales showed good internal reliability (Cronbach’s α satiety responsiveness = .74; Cronbach’s α emotional overeating = .90; Cronbach’s α emotional overeating = .90; Cronbach’s α slowness in eating = .88; Cronbach’s α enjoyment of food = .86; Cronbach’s α food responsiveness = .75; </w:t>
      </w:r>
      <w:proofErr w:type="spellStart"/>
      <w:r>
        <w:rPr>
          <w:rFonts w:ascii="Times New Roman" w:eastAsia="Times New Roman" w:hAnsi="Times New Roman" w:cs="Times New Roman"/>
          <w:sz w:val="24"/>
          <w:szCs w:val="24"/>
        </w:rPr>
        <w:t>Hunot</w:t>
      </w:r>
      <w:proofErr w:type="spellEnd"/>
      <w:r>
        <w:rPr>
          <w:rFonts w:ascii="Times New Roman" w:eastAsia="Times New Roman" w:hAnsi="Times New Roman" w:cs="Times New Roman"/>
          <w:sz w:val="24"/>
          <w:szCs w:val="24"/>
        </w:rPr>
        <w:t xml:space="preserve"> et al., 2016). Higher scores indicated an increased propensity towards the eating behaviour traits as assessed by the questionnaire. These scales are discussed in more detail in section 3.7.</w:t>
      </w:r>
    </w:p>
    <w:p w14:paraId="000006C0" w14:textId="77777777" w:rsidR="00CB4215" w:rsidRDefault="00CB4215">
      <w:pPr>
        <w:spacing w:line="480" w:lineRule="auto"/>
        <w:rPr>
          <w:rFonts w:ascii="Times New Roman" w:eastAsia="Times New Roman" w:hAnsi="Times New Roman" w:cs="Times New Roman"/>
          <w:sz w:val="24"/>
          <w:szCs w:val="24"/>
        </w:rPr>
      </w:pPr>
    </w:p>
    <w:p w14:paraId="000006C1" w14:textId="77777777" w:rsidR="00CB4215" w:rsidRDefault="000530B4">
      <w:pPr>
        <w:pStyle w:val="Heading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5.3.3.3 Health behaviours</w:t>
      </w:r>
    </w:p>
    <w:p w14:paraId="000006C2" w14:textId="77777777" w:rsidR="00CB4215" w:rsidRDefault="00CB4215"/>
    <w:p w14:paraId="000006C3"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Self-reported health behaviours</w:t>
      </w:r>
    </w:p>
    <w:p w14:paraId="000006C4"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3-day food diary was measured using MyFood24 to record all food and drink intake, including 2-week days and 1 weekend day. Myfood24 is a validated user-friendly online dietary assessment tool (Wark et al., 2018) and has been shown to be feasible for use in a range of UK populations, including adolescents, adults, women with gestational diabetes and older adults </w:t>
      </w:r>
      <w:hyperlink r:id="rId58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Albar</w:t>
        </w:r>
        <w:proofErr w:type="spellEnd"/>
        <w:r>
          <w:rPr>
            <w:rFonts w:ascii="Times New Roman" w:eastAsia="Times New Roman" w:hAnsi="Times New Roman" w:cs="Times New Roman"/>
            <w:color w:val="000000"/>
            <w:sz w:val="24"/>
            <w:szCs w:val="24"/>
          </w:rPr>
          <w:t xml:space="preserve"> et al., 2016; Wark et al., 2018; </w:t>
        </w:r>
        <w:proofErr w:type="spellStart"/>
        <w:r>
          <w:rPr>
            <w:rFonts w:ascii="Times New Roman" w:eastAsia="Times New Roman" w:hAnsi="Times New Roman" w:cs="Times New Roman"/>
            <w:color w:val="000000"/>
            <w:sz w:val="24"/>
            <w:szCs w:val="24"/>
          </w:rPr>
          <w:t>Gianfrancesco</w:t>
        </w:r>
        <w:proofErr w:type="spellEnd"/>
        <w:r>
          <w:rPr>
            <w:rFonts w:ascii="Times New Roman" w:eastAsia="Times New Roman" w:hAnsi="Times New Roman" w:cs="Times New Roman"/>
            <w:color w:val="000000"/>
            <w:sz w:val="24"/>
            <w:szCs w:val="24"/>
          </w:rPr>
          <w:t xml:space="preserve"> et al., 2018; Morris et al., 2019; Ward et al., 2019)</w:t>
        </w:r>
      </w:hyperlink>
      <w:r>
        <w:rPr>
          <w:rFonts w:ascii="Times New Roman" w:eastAsia="Times New Roman" w:hAnsi="Times New Roman" w:cs="Times New Roman"/>
          <w:sz w:val="24"/>
          <w:szCs w:val="24"/>
        </w:rPr>
        <w:t>. Participants can search for breakfast, lunch, dinner and snacks, as well as get suggestions for frequently overlooked items. There are also features for recognising food items based on common spelling mistakes and selecting portion sizes using pictures. In this pilot study, participants were given food diary instructions during the on-site session. Participants were excluded if they completed a food record in MyFood24 in less than 2 days or reported an energy intake of less than 500 kcal (Reid et al., 2014). The average total energy intake and macronutrient intake were computed based on the 3-day food diary.</w:t>
      </w:r>
    </w:p>
    <w:p w14:paraId="000006C5" w14:textId="77777777" w:rsidR="00CB4215" w:rsidRDefault="00CB4215">
      <w:pPr>
        <w:spacing w:line="480" w:lineRule="auto"/>
        <w:rPr>
          <w:rFonts w:ascii="Times New Roman" w:eastAsia="Times New Roman" w:hAnsi="Times New Roman" w:cs="Times New Roman"/>
          <w:sz w:val="24"/>
          <w:szCs w:val="24"/>
        </w:rPr>
      </w:pPr>
    </w:p>
    <w:p w14:paraId="000006C6" w14:textId="77777777" w:rsidR="00CB4215" w:rsidRDefault="000530B4">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In order to</w:t>
      </w:r>
      <w:proofErr w:type="gramEnd"/>
      <w:r>
        <w:rPr>
          <w:rFonts w:ascii="Times New Roman" w:eastAsia="Times New Roman" w:hAnsi="Times New Roman" w:cs="Times New Roman"/>
          <w:sz w:val="24"/>
          <w:szCs w:val="24"/>
        </w:rPr>
        <w:t xml:space="preserve"> compare the dietary quality of early and late eaters, participants completed a short-form Food Frequency Questionnaire (SFFFQ), which measures food and drink consumption frequency over the previous week (Cleghorn et al., 2016). Furthermore, the dietary quality score (DQS) was calculated based on the short-form Food Frequency Questionnaire (SFFFQ) and higher scores indicated better dietary quality, with a minimum DQS of 5 and a maximum of 15. </w:t>
      </w:r>
    </w:p>
    <w:p w14:paraId="000006C7" w14:textId="77777777" w:rsidR="00CB4215" w:rsidRDefault="00CB4215">
      <w:pPr>
        <w:spacing w:line="480" w:lineRule="auto"/>
        <w:rPr>
          <w:rFonts w:ascii="Times New Roman" w:eastAsia="Times New Roman" w:hAnsi="Times New Roman" w:cs="Times New Roman"/>
          <w:sz w:val="24"/>
          <w:szCs w:val="24"/>
        </w:rPr>
      </w:pPr>
    </w:p>
    <w:p w14:paraId="000006C8"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Ideal portion size has been identified as a strong predictor of actual food intake. Research by</w:t>
      </w:r>
    </w:p>
    <w:p w14:paraId="000006C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Wilkinson et al. (2012) found that increased expected satiety correlated with increased ideal portion size, more so than liking or food reward. This means that the ideal portion size for the participants was strongly related to the portion size that was needed to stave off hunger until the next meal. However, it is unclear whether late eating is associated with an increased ideal portion size. Therefore, ideal portion size was assessed to compare the differences between early and late eaters. Ideal portion size was measured via a web-based tool, which has a low respondent burden as it is easily accessible with any electronic device. Pilot results showed a significant correlation between ideal portion size and expected satiety but no significant association between ideal portion size and age or BMI </w:t>
      </w:r>
      <w:hyperlink r:id="rId58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Embling</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Specifically, participants responded to photographs of jam doughnuts in various serving portions. To select the optimal portion size, participants moved a slider from left to right to adjust the size of the portion displayed. The average ideal portion size was computed for the 14 days based on a daily survey. During the data analysis, the estimates of ideal portion size were converted into kilocalories (the amount of energy contained in the food displayed in the selected image).</w:t>
      </w:r>
    </w:p>
    <w:p w14:paraId="000006CA" w14:textId="77777777" w:rsidR="00CB4215" w:rsidRDefault="00CB4215">
      <w:pPr>
        <w:spacing w:line="480" w:lineRule="auto"/>
        <w:rPr>
          <w:rFonts w:ascii="Times New Roman" w:eastAsia="Times New Roman" w:hAnsi="Times New Roman" w:cs="Times New Roman"/>
          <w:sz w:val="24"/>
          <w:szCs w:val="24"/>
        </w:rPr>
      </w:pPr>
    </w:p>
    <w:p w14:paraId="000006CB"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assessment of physical activity and sleep</w:t>
      </w:r>
    </w:p>
    <w:p w14:paraId="000006CC" w14:textId="4FE55D8F"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 Accelerometer monitor – an </w:t>
      </w:r>
      <w:proofErr w:type="spellStart"/>
      <w:r>
        <w:rPr>
          <w:rFonts w:ascii="Times New Roman" w:eastAsia="Times New Roman" w:hAnsi="Times New Roman" w:cs="Times New Roman"/>
          <w:sz w:val="24"/>
          <w:szCs w:val="24"/>
        </w:rPr>
        <w:t>Actigraph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CentrePoint</w:t>
      </w:r>
      <w:proofErr w:type="spellEnd"/>
      <w:r>
        <w:rPr>
          <w:rFonts w:ascii="Times New Roman" w:eastAsia="Times New Roman" w:hAnsi="Times New Roman" w:cs="Times New Roman"/>
          <w:sz w:val="24"/>
          <w:szCs w:val="24"/>
        </w:rPr>
        <w:t xml:space="preserve"> Insight monitor was used to measure sleep (sleep efficiency, sleep duration) and physical activity (MVPA, step count, energy expenditure). There are many accelerometers that have been evaluated in the laboratory </w:t>
      </w:r>
      <w:hyperlink r:id="rId59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Bouten</w:t>
        </w:r>
        <w:proofErr w:type="spellEnd"/>
        <w:r>
          <w:rPr>
            <w:rFonts w:ascii="Times New Roman" w:eastAsia="Times New Roman" w:hAnsi="Times New Roman" w:cs="Times New Roman"/>
            <w:color w:val="000000"/>
            <w:sz w:val="24"/>
            <w:szCs w:val="24"/>
          </w:rPr>
          <w:t xml:space="preserve"> et al., 1994; Terrier et al., 2001; </w:t>
        </w:r>
        <w:proofErr w:type="spellStart"/>
        <w:r>
          <w:rPr>
            <w:rFonts w:ascii="Times New Roman" w:eastAsia="Times New Roman" w:hAnsi="Times New Roman" w:cs="Times New Roman"/>
            <w:color w:val="000000"/>
            <w:sz w:val="24"/>
            <w:szCs w:val="24"/>
          </w:rPr>
          <w:t>Montoye</w:t>
        </w:r>
        <w:proofErr w:type="spellEnd"/>
        <w:r>
          <w:rPr>
            <w:rFonts w:ascii="Times New Roman" w:eastAsia="Times New Roman" w:hAnsi="Times New Roman" w:cs="Times New Roman"/>
            <w:color w:val="000000"/>
            <w:sz w:val="24"/>
            <w:szCs w:val="24"/>
          </w:rPr>
          <w:t xml:space="preserve"> et al., 1983; Nichols et al., 2000; Levine et al., 2001)</w:t>
        </w:r>
      </w:hyperlink>
      <w:r>
        <w:rPr>
          <w:rFonts w:ascii="Times New Roman" w:eastAsia="Times New Roman" w:hAnsi="Times New Roman" w:cs="Times New Roman"/>
          <w:sz w:val="24"/>
          <w:szCs w:val="24"/>
        </w:rPr>
        <w:t xml:space="preserve">. The majority of accelerometers show good to very good associations (r = 0.74 to 0.95) with energy expenditure when running, walking on a treadmill or doing other specific exercises </w:t>
      </w:r>
      <w:hyperlink r:id="rId591">
        <w:r>
          <w:rPr>
            <w:rFonts w:ascii="Times New Roman" w:eastAsia="Times New Roman" w:hAnsi="Times New Roman" w:cs="Times New Roman"/>
            <w:color w:val="000000"/>
            <w:sz w:val="24"/>
            <w:szCs w:val="24"/>
          </w:rPr>
          <w:t>(Nichols et al., 1999; Nichols et al., 2000; Levine et al., 2001)</w:t>
        </w:r>
      </w:hyperlink>
      <w:r>
        <w:rPr>
          <w:rFonts w:ascii="Times New Roman" w:eastAsia="Times New Roman" w:hAnsi="Times New Roman" w:cs="Times New Roman"/>
          <w:sz w:val="24"/>
          <w:szCs w:val="24"/>
        </w:rPr>
        <w:t xml:space="preserve">. Accelerometers are increasingly being tested and shown to be validated when compared to double labelled water (DLW) in uncontrolled daily life situation </w:t>
      </w:r>
      <w:hyperlink r:id="rId59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Plasqui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Westerterp</w:t>
        </w:r>
        <w:proofErr w:type="spellEnd"/>
        <w:r w:rsidR="006C35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2007)</w:t>
        </w:r>
      </w:hyperlink>
      <w:r>
        <w:rPr>
          <w:rFonts w:ascii="Times New Roman" w:eastAsia="Times New Roman" w:hAnsi="Times New Roman" w:cs="Times New Roman"/>
          <w:sz w:val="24"/>
          <w:szCs w:val="24"/>
        </w:rPr>
        <w:t>. The average sleep and physical activity from the accelerometer were computed based on 14 days.</w:t>
      </w:r>
    </w:p>
    <w:p w14:paraId="000006CD" w14:textId="77777777" w:rsidR="00CB4215" w:rsidRDefault="00CB4215">
      <w:pPr>
        <w:spacing w:line="480" w:lineRule="auto"/>
        <w:rPr>
          <w:rFonts w:ascii="Times New Roman" w:eastAsia="Times New Roman" w:hAnsi="Times New Roman" w:cs="Times New Roman"/>
          <w:sz w:val="24"/>
          <w:szCs w:val="24"/>
        </w:rPr>
      </w:pPr>
    </w:p>
    <w:p w14:paraId="000006CE" w14:textId="77777777" w:rsidR="00CB4215" w:rsidRDefault="000530B4">
      <w:pPr>
        <w:pStyle w:val="Heading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5.3.3.4 Perceived stress</w:t>
      </w:r>
    </w:p>
    <w:p w14:paraId="000006CF" w14:textId="77777777" w:rsidR="00CB4215" w:rsidRDefault="00CB4215">
      <w:pPr>
        <w:rPr>
          <w:rFonts w:ascii="Times New Roman" w:eastAsia="Times New Roman" w:hAnsi="Times New Roman" w:cs="Times New Roman"/>
          <w:sz w:val="24"/>
          <w:szCs w:val="24"/>
        </w:rPr>
      </w:pPr>
    </w:p>
    <w:p w14:paraId="000006D0"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Perceived stress was measured by a 4-item Perceived Stress Scale (PSS) </w:t>
      </w:r>
      <w:hyperlink r:id="rId593">
        <w:r>
          <w:rPr>
            <w:rFonts w:ascii="Times New Roman" w:eastAsia="Times New Roman" w:hAnsi="Times New Roman" w:cs="Times New Roman"/>
            <w:color w:val="000000"/>
            <w:sz w:val="24"/>
            <w:szCs w:val="24"/>
          </w:rPr>
          <w:t>(Cohen et al., 1994)</w:t>
        </w:r>
      </w:hyperlink>
      <w:r>
        <w:rPr>
          <w:rFonts w:ascii="Times New Roman" w:eastAsia="Times New Roman" w:hAnsi="Times New Roman" w:cs="Times New Roman"/>
          <w:sz w:val="24"/>
          <w:szCs w:val="24"/>
        </w:rPr>
        <w:t xml:space="preserve">. The average score was calculated over 14 days and higher scores indicated higher perceived stress (lowest score is 0 and highest score is 16). </w:t>
      </w:r>
    </w:p>
    <w:p w14:paraId="000006D1" w14:textId="77777777" w:rsidR="00CB4215" w:rsidRDefault="00CB4215">
      <w:pPr>
        <w:spacing w:line="480" w:lineRule="auto"/>
        <w:rPr>
          <w:rFonts w:ascii="Times New Roman" w:eastAsia="Times New Roman" w:hAnsi="Times New Roman" w:cs="Times New Roman"/>
          <w:sz w:val="24"/>
          <w:szCs w:val="24"/>
        </w:rPr>
      </w:pPr>
    </w:p>
    <w:p w14:paraId="000006D2"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5.3.4 Data analysis</w:t>
      </w:r>
    </w:p>
    <w:p w14:paraId="000006D3" w14:textId="77777777" w:rsidR="00CB4215" w:rsidRDefault="00CB4215"/>
    <w:p w14:paraId="000006D4"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analysis was conducted using descriptive statistics in IBM Statistical Package for the Social Sciences (Version 27). Descriptive statistics Means ± standard deviations (95% confidence interval) or proportion (%) were conducted on participant characteristics and survey measures and were also compared between early versus late eaters. Given this is a pilot study, preliminary inferential statistics were conducted for exploratory purposes only at the 5% significance level. Hypothesis testing is controversial in reporting pilot </w:t>
      </w:r>
      <w:proofErr w:type="gramStart"/>
      <w:r>
        <w:rPr>
          <w:rFonts w:ascii="Times New Roman" w:eastAsia="Times New Roman" w:hAnsi="Times New Roman" w:cs="Times New Roman"/>
          <w:sz w:val="24"/>
          <w:szCs w:val="24"/>
        </w:rPr>
        <w:t>studies, because</w:t>
      </w:r>
      <w:proofErr w:type="gramEnd"/>
      <w:r>
        <w:rPr>
          <w:rFonts w:ascii="Times New Roman" w:eastAsia="Times New Roman" w:hAnsi="Times New Roman" w:cs="Times New Roman"/>
          <w:sz w:val="24"/>
          <w:szCs w:val="24"/>
        </w:rPr>
        <w:t xml:space="preserve"> they are typically underpowered to determine statistical significance </w:t>
      </w:r>
      <w:hyperlink r:id="rId594">
        <w:r>
          <w:rPr>
            <w:rFonts w:ascii="Times New Roman" w:eastAsia="Times New Roman" w:hAnsi="Times New Roman" w:cs="Times New Roman"/>
            <w:color w:val="000000"/>
            <w:sz w:val="24"/>
            <w:szCs w:val="24"/>
          </w:rPr>
          <w:t xml:space="preserve">(Thabane et al., </w:t>
        </w:r>
        <w:r>
          <w:rPr>
            <w:rFonts w:ascii="Times New Roman" w:eastAsia="Times New Roman" w:hAnsi="Times New Roman" w:cs="Times New Roman"/>
            <w:color w:val="000000"/>
            <w:sz w:val="24"/>
            <w:szCs w:val="24"/>
          </w:rPr>
          <w:lastRenderedPageBreak/>
          <w:t>2010)</w:t>
        </w:r>
      </w:hyperlink>
      <w:r>
        <w:rPr>
          <w:rFonts w:ascii="Times New Roman" w:eastAsia="Times New Roman" w:hAnsi="Times New Roman" w:cs="Times New Roman"/>
          <w:sz w:val="24"/>
          <w:szCs w:val="24"/>
        </w:rPr>
        <w:t xml:space="preserve">. However, it is a method that is commonly used by researchers </w:t>
      </w:r>
      <w:hyperlink r:id="rId595">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Shanyinde</w:t>
        </w:r>
        <w:proofErr w:type="spellEnd"/>
        <w:r>
          <w:rPr>
            <w:rFonts w:ascii="Times New Roman" w:eastAsia="Times New Roman" w:hAnsi="Times New Roman" w:cs="Times New Roman"/>
            <w:color w:val="000000"/>
            <w:sz w:val="24"/>
            <w:szCs w:val="24"/>
          </w:rPr>
          <w:t xml:space="preserve"> et al., 2011)</w:t>
        </w:r>
      </w:hyperlink>
      <w:r>
        <w:rPr>
          <w:rFonts w:ascii="Times New Roman" w:eastAsia="Times New Roman" w:hAnsi="Times New Roman" w:cs="Times New Roman"/>
          <w:sz w:val="24"/>
          <w:szCs w:val="24"/>
        </w:rPr>
        <w:t xml:space="preserve"> and was used in the evaluation of this work. </w:t>
      </w:r>
    </w:p>
    <w:p w14:paraId="000006D5" w14:textId="77777777" w:rsidR="00CB4215" w:rsidRDefault="00CB4215">
      <w:pPr>
        <w:spacing w:line="480" w:lineRule="auto"/>
        <w:rPr>
          <w:rFonts w:ascii="Times New Roman" w:eastAsia="Times New Roman" w:hAnsi="Times New Roman" w:cs="Times New Roman"/>
          <w:sz w:val="24"/>
          <w:szCs w:val="24"/>
        </w:rPr>
      </w:pPr>
    </w:p>
    <w:p w14:paraId="000006D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Bivariate correlations (Pearson’s r) were used to assess the associations between BMI, meal timing (time of last eating episode on the 24-hour clock), eating behaviour traits (cognitive restraint, uncontrolled eating, emotional eating, emotional overeating and undereating, satiety responsiveness, enjoyment of food, food responsiveness slowness in eating, craving control), upcoming healthy behaviours (objective physical activity, objective sleep, dietary intake and ideal portion size) and daily perceived stress. The strength of correlations was interpreted as small if r &lt; .3, medium if between .3 and.5, and large if r &gt; .5 (Cohen, 1992).</w:t>
      </w:r>
    </w:p>
    <w:p w14:paraId="000006D7" w14:textId="77777777" w:rsidR="00CB4215" w:rsidRDefault="00CB4215">
      <w:pPr>
        <w:spacing w:line="480" w:lineRule="auto"/>
        <w:rPr>
          <w:rFonts w:ascii="Times New Roman" w:eastAsia="Times New Roman" w:hAnsi="Times New Roman" w:cs="Times New Roman"/>
          <w:sz w:val="24"/>
          <w:szCs w:val="24"/>
        </w:rPr>
      </w:pPr>
    </w:p>
    <w:p w14:paraId="000006D8"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grouped into early eaters consuming the last eating episode before 20:00 and late eaters consuming after 20:00 based on responses at on-site sessions, which is in line with the previous study (see more detail in Chapter 4) and study conducted by Jacob et al (2023). ANCOVAs controlling for age and gender were conducted to compare eating behaviour traits, health behaviours (objective physical activity, objective sleep, dietary intake, and ideal portion size) and daily perceived stress between early versus late eaters. Partial eta square (</w:t>
      </w:r>
      <w:r>
        <w:rPr>
          <w:rFonts w:ascii="Times New Roman" w:eastAsia="Times New Roman" w:hAnsi="Times New Roman" w:cs="Times New Roman"/>
          <w:i/>
          <w:sz w:val="24"/>
          <w:szCs w:val="24"/>
        </w:rPr>
        <w:t>ηp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is reported for effect sizes and interpreted as 0·01 small, 0·06 moderate and 0·14 large (Field 2005).</w:t>
      </w:r>
    </w:p>
    <w:p w14:paraId="000006D9" w14:textId="77777777" w:rsidR="00CB4215" w:rsidRDefault="00CB4215">
      <w:pPr>
        <w:spacing w:line="480" w:lineRule="auto"/>
        <w:rPr>
          <w:rFonts w:ascii="Times New Roman" w:eastAsia="Times New Roman" w:hAnsi="Times New Roman" w:cs="Times New Roman"/>
          <w:sz w:val="24"/>
          <w:szCs w:val="24"/>
        </w:rPr>
      </w:pPr>
    </w:p>
    <w:p w14:paraId="000006DA" w14:textId="77777777" w:rsidR="00CB4215" w:rsidRDefault="000530B4">
      <w:pPr>
        <w:pStyle w:val="Heading3"/>
        <w:rPr>
          <w:rFonts w:ascii="Times New Roman" w:eastAsia="Times New Roman" w:hAnsi="Times New Roman" w:cs="Times New Roman"/>
          <w:b/>
          <w:color w:val="000000"/>
        </w:rPr>
      </w:pPr>
      <w:bookmarkStart w:id="95" w:name="_Toc172984812"/>
      <w:r>
        <w:rPr>
          <w:rFonts w:ascii="Times New Roman" w:eastAsia="Times New Roman" w:hAnsi="Times New Roman" w:cs="Times New Roman"/>
          <w:b/>
          <w:color w:val="000000"/>
        </w:rPr>
        <w:t>5.4 Results</w:t>
      </w:r>
      <w:bookmarkEnd w:id="95"/>
      <w:r>
        <w:rPr>
          <w:rFonts w:ascii="Times New Roman" w:eastAsia="Times New Roman" w:hAnsi="Times New Roman" w:cs="Times New Roman"/>
          <w:b/>
          <w:color w:val="000000"/>
        </w:rPr>
        <w:t xml:space="preserve"> </w:t>
      </w:r>
    </w:p>
    <w:p w14:paraId="000006DB"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5.4.1 Participant Characteristics</w:t>
      </w:r>
    </w:p>
    <w:p w14:paraId="000006DC" w14:textId="77777777" w:rsidR="00CB4215" w:rsidRDefault="00CB4215"/>
    <w:sdt>
      <w:sdtPr>
        <w:rPr>
          <w:rFonts w:ascii="Times New Roman" w:hAnsi="Times New Roman" w:cs="Times New Roman"/>
        </w:rPr>
        <w:tag w:val="goog_rdk_52"/>
        <w:id w:val="784231753"/>
      </w:sdtPr>
      <w:sdtEndPr/>
      <w:sdtContent>
        <w:p w14:paraId="3859D857" w14:textId="77777777" w:rsidR="006C356B" w:rsidRDefault="000530B4" w:rsidP="008A4BDF">
          <w:pPr>
            <w:spacing w:line="480" w:lineRule="auto"/>
            <w:rPr>
              <w:rFonts w:ascii="Times New Roman" w:eastAsia="Gungsuh" w:hAnsi="Times New Roman" w:cs="Times New Roman"/>
              <w:sz w:val="24"/>
              <w:szCs w:val="24"/>
            </w:rPr>
          </w:pPr>
          <w:r w:rsidRPr="008A4BDF">
            <w:rPr>
              <w:rFonts w:ascii="Times New Roman" w:eastAsia="Gungsuh" w:hAnsi="Times New Roman" w:cs="Times New Roman"/>
              <w:sz w:val="24"/>
              <w:szCs w:val="24"/>
            </w:rPr>
            <w:t xml:space="preserve">The final sample (n = 30) comprised participants recruited from University of Sheffield (n = 19), University of York (n = 7) and University of Leeds (n = 4). Most of sample was female </w:t>
          </w:r>
          <w:r w:rsidRPr="008A4BDF">
            <w:rPr>
              <w:rFonts w:ascii="Times New Roman" w:eastAsia="Gungsuh" w:hAnsi="Times New Roman" w:cs="Times New Roman"/>
              <w:sz w:val="24"/>
              <w:szCs w:val="24"/>
            </w:rPr>
            <w:lastRenderedPageBreak/>
            <w:t>(70%, n = 21; 37% male, n = 8; 3% Prefer to self-define, n = 1) with a mean age of 36.6 ± 11.2 (32.5, 40.8) years and a mean BMI of 35.8 ± 4.7 (34.1, 37.6) kg/m². Ethnicity was as follows: 67% (n = 20) White, 20% (n = 6) Asian or Asian British, 10% (n = 3) mixed or multiple ethnic groups and 3% (n = 1) Black, African, Caribbean, or Black British. All other measures are shown in Table 5.2. Of note, most participants reported regular day work, had at least a bachelor’s degree, and reported having a relatively high household income (47% ≥ £40 000) with median household income in the UK before taxes and benefits being £35,000 (ONS, 2023). The average 24-hour time of the last eating episode was 21:05 ± 1:42 (range 18:00 - 24:00). Descriptive data for health behaviours are presented in Appendix C.</w:t>
          </w:r>
        </w:p>
        <w:p w14:paraId="000006DD" w14:textId="07D959E2" w:rsidR="00CB4215" w:rsidRPr="00634CA9" w:rsidRDefault="007E2DD6" w:rsidP="008A4BDF">
          <w:pPr>
            <w:spacing w:line="480" w:lineRule="auto"/>
            <w:rPr>
              <w:rFonts w:ascii="Times New Roman" w:eastAsia="Gungsuh" w:hAnsi="Times New Roman" w:cs="Times New Roman"/>
              <w:sz w:val="24"/>
              <w:szCs w:val="24"/>
            </w:rPr>
          </w:pPr>
        </w:p>
      </w:sdtContent>
    </w:sdt>
    <w:p w14:paraId="000006DE"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i/>
          <w:color w:val="000000"/>
          <w:sz w:val="20"/>
          <w:szCs w:val="20"/>
        </w:rPr>
      </w:pPr>
      <w:bookmarkStart w:id="96" w:name="_heading=h.3mzq4wv" w:colFirst="0" w:colLast="0"/>
      <w:bookmarkEnd w:id="96"/>
      <w:r>
        <w:rPr>
          <w:rFonts w:ascii="Times New Roman" w:eastAsia="Times New Roman" w:hAnsi="Times New Roman" w:cs="Times New Roman"/>
          <w:i/>
          <w:color w:val="000000"/>
          <w:sz w:val="20"/>
          <w:szCs w:val="20"/>
        </w:rPr>
        <w:t xml:space="preserve">Table 5.2. </w:t>
      </w:r>
      <w:r>
        <w:rPr>
          <w:rFonts w:ascii="Times New Roman" w:eastAsia="Times New Roman" w:hAnsi="Times New Roman" w:cs="Times New Roman"/>
          <w:color w:val="000000"/>
          <w:sz w:val="20"/>
          <w:szCs w:val="20"/>
        </w:rPr>
        <w:t>Participant characteristics.</w:t>
      </w:r>
    </w:p>
    <w:tbl>
      <w:tblPr>
        <w:tblStyle w:val="ac"/>
        <w:tblW w:w="904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5"/>
        <w:gridCol w:w="3150"/>
      </w:tblGrid>
      <w:tr w:rsidR="00CB4215" w14:paraId="72F0733F" w14:textId="77777777">
        <w:tc>
          <w:tcPr>
            <w:tcW w:w="5895" w:type="dxa"/>
            <w:tcBorders>
              <w:top w:val="single" w:sz="8" w:space="0" w:color="000000"/>
              <w:left w:val="nil"/>
              <w:bottom w:val="single" w:sz="8" w:space="0" w:color="000000"/>
              <w:right w:val="nil"/>
            </w:tcBorders>
            <w:tcMar>
              <w:top w:w="100" w:type="dxa"/>
              <w:left w:w="100" w:type="dxa"/>
              <w:bottom w:w="100" w:type="dxa"/>
              <w:right w:w="100" w:type="dxa"/>
            </w:tcMar>
          </w:tcPr>
          <w:p w14:paraId="000006D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Variable (total n)</w:t>
            </w:r>
          </w:p>
        </w:tc>
        <w:tc>
          <w:tcPr>
            <w:tcW w:w="3150" w:type="dxa"/>
            <w:tcBorders>
              <w:top w:val="single" w:sz="8" w:space="0" w:color="000000"/>
              <w:left w:val="nil"/>
              <w:bottom w:val="single" w:sz="8" w:space="0" w:color="000000"/>
              <w:right w:val="nil"/>
            </w:tcBorders>
            <w:tcMar>
              <w:top w:w="100" w:type="dxa"/>
              <w:left w:w="100" w:type="dxa"/>
              <w:bottom w:w="100" w:type="dxa"/>
              <w:right w:w="100" w:type="dxa"/>
            </w:tcMar>
          </w:tcPr>
          <w:p w14:paraId="000006E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 (%) or M ± SD (95% CI)</w:t>
            </w:r>
          </w:p>
        </w:tc>
      </w:tr>
      <w:tr w:rsidR="00CB4215" w14:paraId="0D821FF7" w14:textId="77777777">
        <w:trPr>
          <w:trHeight w:val="205"/>
        </w:trPr>
        <w:tc>
          <w:tcPr>
            <w:tcW w:w="5895" w:type="dxa"/>
            <w:tcBorders>
              <w:top w:val="single" w:sz="8" w:space="0" w:color="000000"/>
              <w:left w:val="nil"/>
              <w:bottom w:val="nil"/>
              <w:right w:val="nil"/>
            </w:tcBorders>
            <w:tcMar>
              <w:top w:w="100" w:type="dxa"/>
              <w:left w:w="100" w:type="dxa"/>
              <w:bottom w:w="100" w:type="dxa"/>
              <w:right w:w="100" w:type="dxa"/>
            </w:tcMar>
          </w:tcPr>
          <w:p w14:paraId="000006E1" w14:textId="77777777" w:rsidR="00CB4215" w:rsidRDefault="000530B4">
            <w:pPr>
              <w:widowControl w:val="0"/>
              <w:spacing w:line="240" w:lineRule="auto"/>
              <w:rPr>
                <w:rFonts w:ascii="Times New Roman" w:eastAsia="Times New Roman" w:hAnsi="Times New Roman" w:cs="Times New Roman"/>
                <w:b/>
                <w:i/>
              </w:rPr>
            </w:pPr>
            <w:r>
              <w:rPr>
                <w:rFonts w:ascii="Times New Roman" w:eastAsia="Times New Roman" w:hAnsi="Times New Roman" w:cs="Times New Roman"/>
                <w:b/>
                <w:i/>
              </w:rPr>
              <w:t>Education (n = 30)</w:t>
            </w:r>
          </w:p>
        </w:tc>
        <w:tc>
          <w:tcPr>
            <w:tcW w:w="3150" w:type="dxa"/>
            <w:tcBorders>
              <w:top w:val="single" w:sz="8" w:space="0" w:color="000000"/>
              <w:left w:val="nil"/>
              <w:bottom w:val="nil"/>
              <w:right w:val="nil"/>
            </w:tcBorders>
            <w:tcMar>
              <w:top w:w="100" w:type="dxa"/>
              <w:left w:w="100" w:type="dxa"/>
              <w:bottom w:w="100" w:type="dxa"/>
              <w:right w:w="100" w:type="dxa"/>
            </w:tcMar>
          </w:tcPr>
          <w:p w14:paraId="000006E2" w14:textId="77777777" w:rsidR="00CB4215" w:rsidRDefault="00CB4215">
            <w:pPr>
              <w:widowControl w:val="0"/>
              <w:spacing w:line="240" w:lineRule="auto"/>
              <w:rPr>
                <w:rFonts w:ascii="Times New Roman" w:eastAsia="Times New Roman" w:hAnsi="Times New Roman" w:cs="Times New Roman"/>
              </w:rPr>
            </w:pPr>
          </w:p>
        </w:tc>
      </w:tr>
      <w:tr w:rsidR="00CB4215" w14:paraId="541105BF"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E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GCSEs or equivalent qualifications</w:t>
            </w:r>
          </w:p>
        </w:tc>
        <w:tc>
          <w:tcPr>
            <w:tcW w:w="3150" w:type="dxa"/>
            <w:tcBorders>
              <w:top w:val="nil"/>
              <w:left w:val="nil"/>
              <w:bottom w:val="nil"/>
              <w:right w:val="nil"/>
            </w:tcBorders>
            <w:tcMar>
              <w:top w:w="40" w:type="dxa"/>
              <w:left w:w="40" w:type="dxa"/>
              <w:bottom w:w="40" w:type="dxa"/>
              <w:right w:w="40" w:type="dxa"/>
            </w:tcMar>
            <w:vAlign w:val="bottom"/>
          </w:tcPr>
          <w:p w14:paraId="000006E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(3%)</w:t>
            </w:r>
          </w:p>
        </w:tc>
      </w:tr>
      <w:tr w:rsidR="00CB4215" w14:paraId="2C164103"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E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or more A-levels or equivalent qualifications.</w:t>
            </w:r>
          </w:p>
        </w:tc>
        <w:tc>
          <w:tcPr>
            <w:tcW w:w="3150" w:type="dxa"/>
            <w:tcBorders>
              <w:top w:val="nil"/>
              <w:left w:val="nil"/>
              <w:bottom w:val="nil"/>
              <w:right w:val="nil"/>
            </w:tcBorders>
            <w:tcMar>
              <w:top w:w="40" w:type="dxa"/>
              <w:left w:w="40" w:type="dxa"/>
              <w:bottom w:w="40" w:type="dxa"/>
              <w:right w:w="40" w:type="dxa"/>
            </w:tcMar>
            <w:vAlign w:val="bottom"/>
          </w:tcPr>
          <w:p w14:paraId="000006E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 (27%)</w:t>
            </w:r>
          </w:p>
        </w:tc>
      </w:tr>
      <w:tr w:rsidR="00CB4215" w14:paraId="6CC8D4A6"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E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Bachelor's degree or equivalent.</w:t>
            </w:r>
          </w:p>
        </w:tc>
        <w:tc>
          <w:tcPr>
            <w:tcW w:w="3150" w:type="dxa"/>
            <w:tcBorders>
              <w:top w:val="nil"/>
              <w:left w:val="nil"/>
              <w:bottom w:val="nil"/>
              <w:right w:val="nil"/>
            </w:tcBorders>
            <w:tcMar>
              <w:top w:w="40" w:type="dxa"/>
              <w:left w:w="40" w:type="dxa"/>
              <w:bottom w:w="40" w:type="dxa"/>
              <w:right w:w="40" w:type="dxa"/>
            </w:tcMar>
            <w:vAlign w:val="bottom"/>
          </w:tcPr>
          <w:p w14:paraId="000006E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 (47%)</w:t>
            </w:r>
          </w:p>
        </w:tc>
      </w:tr>
      <w:tr w:rsidR="00CB4215" w14:paraId="6F92C5DC"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E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Doctoral or higher education.</w:t>
            </w:r>
          </w:p>
        </w:tc>
        <w:tc>
          <w:tcPr>
            <w:tcW w:w="3150" w:type="dxa"/>
            <w:tcBorders>
              <w:top w:val="nil"/>
              <w:left w:val="nil"/>
              <w:bottom w:val="nil"/>
              <w:right w:val="nil"/>
            </w:tcBorders>
            <w:tcMar>
              <w:top w:w="40" w:type="dxa"/>
              <w:left w:w="40" w:type="dxa"/>
              <w:bottom w:w="40" w:type="dxa"/>
              <w:right w:w="40" w:type="dxa"/>
            </w:tcMar>
            <w:vAlign w:val="bottom"/>
          </w:tcPr>
          <w:p w14:paraId="000006E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 (23%)</w:t>
            </w:r>
          </w:p>
        </w:tc>
      </w:tr>
      <w:tr w:rsidR="00CB4215" w14:paraId="6CBD75F1" w14:textId="77777777">
        <w:tc>
          <w:tcPr>
            <w:tcW w:w="5895" w:type="dxa"/>
            <w:tcBorders>
              <w:top w:val="nil"/>
              <w:left w:val="nil"/>
              <w:bottom w:val="nil"/>
              <w:right w:val="nil"/>
            </w:tcBorders>
            <w:tcMar>
              <w:top w:w="40" w:type="dxa"/>
              <w:left w:w="40" w:type="dxa"/>
              <w:bottom w:w="40" w:type="dxa"/>
              <w:right w:w="40" w:type="dxa"/>
            </w:tcMar>
            <w:vAlign w:val="bottom"/>
          </w:tcPr>
          <w:p w14:paraId="000006EB" w14:textId="77777777" w:rsidR="00CB4215" w:rsidRDefault="000530B4">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i/>
              </w:rPr>
              <w:t>Employment (n = 30)</w:t>
            </w:r>
          </w:p>
        </w:tc>
        <w:tc>
          <w:tcPr>
            <w:tcW w:w="3150" w:type="dxa"/>
            <w:tcBorders>
              <w:top w:val="nil"/>
              <w:left w:val="nil"/>
              <w:bottom w:val="nil"/>
              <w:right w:val="nil"/>
            </w:tcBorders>
            <w:tcMar>
              <w:top w:w="40" w:type="dxa"/>
              <w:left w:w="40" w:type="dxa"/>
              <w:bottom w:w="40" w:type="dxa"/>
              <w:right w:w="40" w:type="dxa"/>
            </w:tcMar>
            <w:vAlign w:val="bottom"/>
          </w:tcPr>
          <w:p w14:paraId="000006EC" w14:textId="77777777" w:rsidR="00CB4215" w:rsidRDefault="00CB4215">
            <w:pPr>
              <w:widowControl w:val="0"/>
              <w:spacing w:line="240" w:lineRule="auto"/>
              <w:rPr>
                <w:rFonts w:ascii="Times New Roman" w:eastAsia="Times New Roman" w:hAnsi="Times New Roman" w:cs="Times New Roman"/>
              </w:rPr>
            </w:pPr>
          </w:p>
        </w:tc>
      </w:tr>
      <w:tr w:rsidR="00CB4215" w14:paraId="3B62837B"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E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Full-time employment</w:t>
            </w:r>
          </w:p>
        </w:tc>
        <w:tc>
          <w:tcPr>
            <w:tcW w:w="3150" w:type="dxa"/>
            <w:tcBorders>
              <w:top w:val="nil"/>
              <w:left w:val="nil"/>
              <w:bottom w:val="nil"/>
              <w:right w:val="nil"/>
            </w:tcBorders>
            <w:tcMar>
              <w:top w:w="40" w:type="dxa"/>
              <w:left w:w="40" w:type="dxa"/>
              <w:bottom w:w="40" w:type="dxa"/>
              <w:right w:w="40" w:type="dxa"/>
            </w:tcMar>
            <w:vAlign w:val="bottom"/>
          </w:tcPr>
          <w:p w14:paraId="000006E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 (43%)</w:t>
            </w:r>
          </w:p>
        </w:tc>
      </w:tr>
      <w:tr w:rsidR="00CB4215" w14:paraId="4D5AD2EF"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E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Part-time employment</w:t>
            </w:r>
          </w:p>
        </w:tc>
        <w:tc>
          <w:tcPr>
            <w:tcW w:w="3150" w:type="dxa"/>
            <w:tcBorders>
              <w:top w:val="nil"/>
              <w:left w:val="nil"/>
              <w:bottom w:val="nil"/>
              <w:right w:val="nil"/>
            </w:tcBorders>
            <w:tcMar>
              <w:top w:w="40" w:type="dxa"/>
              <w:left w:w="40" w:type="dxa"/>
              <w:bottom w:w="40" w:type="dxa"/>
              <w:right w:w="40" w:type="dxa"/>
            </w:tcMar>
            <w:vAlign w:val="bottom"/>
          </w:tcPr>
          <w:p w14:paraId="000006F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 (20%)</w:t>
            </w:r>
          </w:p>
        </w:tc>
      </w:tr>
      <w:tr w:rsidR="00CB4215" w14:paraId="305AFF14"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F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Student</w:t>
            </w:r>
          </w:p>
        </w:tc>
        <w:tc>
          <w:tcPr>
            <w:tcW w:w="3150" w:type="dxa"/>
            <w:tcBorders>
              <w:top w:val="nil"/>
              <w:left w:val="nil"/>
              <w:bottom w:val="nil"/>
              <w:right w:val="nil"/>
            </w:tcBorders>
            <w:tcMar>
              <w:top w:w="40" w:type="dxa"/>
              <w:left w:w="40" w:type="dxa"/>
              <w:bottom w:w="40" w:type="dxa"/>
              <w:right w:w="40" w:type="dxa"/>
            </w:tcMar>
            <w:vAlign w:val="bottom"/>
          </w:tcPr>
          <w:p w14:paraId="000006F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 (33%)</w:t>
            </w:r>
          </w:p>
        </w:tc>
      </w:tr>
      <w:tr w:rsidR="00CB4215" w14:paraId="2DF87D74" w14:textId="77777777">
        <w:trPr>
          <w:trHeight w:val="131"/>
        </w:trPr>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F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Other</w:t>
            </w:r>
          </w:p>
        </w:tc>
        <w:tc>
          <w:tcPr>
            <w:tcW w:w="3150" w:type="dxa"/>
            <w:tcBorders>
              <w:top w:val="nil"/>
              <w:left w:val="nil"/>
              <w:bottom w:val="nil"/>
              <w:right w:val="nil"/>
            </w:tcBorders>
            <w:tcMar>
              <w:top w:w="40" w:type="dxa"/>
              <w:left w:w="40" w:type="dxa"/>
              <w:bottom w:w="40" w:type="dxa"/>
              <w:right w:w="40" w:type="dxa"/>
            </w:tcMar>
            <w:vAlign w:val="bottom"/>
          </w:tcPr>
          <w:p w14:paraId="000006F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(3%)</w:t>
            </w:r>
          </w:p>
        </w:tc>
      </w:tr>
      <w:tr w:rsidR="00CB4215" w14:paraId="30F1A727" w14:textId="77777777">
        <w:tc>
          <w:tcPr>
            <w:tcW w:w="5895" w:type="dxa"/>
            <w:tcBorders>
              <w:top w:val="nil"/>
              <w:left w:val="nil"/>
              <w:bottom w:val="nil"/>
              <w:right w:val="nil"/>
            </w:tcBorders>
            <w:tcMar>
              <w:top w:w="40" w:type="dxa"/>
              <w:left w:w="40" w:type="dxa"/>
              <w:bottom w:w="40" w:type="dxa"/>
              <w:right w:w="40" w:type="dxa"/>
            </w:tcMar>
            <w:vAlign w:val="bottom"/>
          </w:tcPr>
          <w:p w14:paraId="000006F5" w14:textId="77777777" w:rsidR="00CB4215" w:rsidRDefault="000530B4">
            <w:pPr>
              <w:widowControl w:val="0"/>
              <w:spacing w:line="240" w:lineRule="auto"/>
              <w:rPr>
                <w:rFonts w:ascii="Times New Roman" w:eastAsia="Times New Roman" w:hAnsi="Times New Roman" w:cs="Times New Roman"/>
                <w:b/>
                <w:i/>
              </w:rPr>
            </w:pPr>
            <w:r>
              <w:rPr>
                <w:rFonts w:ascii="Times New Roman" w:eastAsia="Times New Roman" w:hAnsi="Times New Roman" w:cs="Times New Roman"/>
                <w:b/>
                <w:i/>
              </w:rPr>
              <w:t>Work schedule (n = 30)</w:t>
            </w:r>
          </w:p>
        </w:tc>
        <w:tc>
          <w:tcPr>
            <w:tcW w:w="3150" w:type="dxa"/>
            <w:tcBorders>
              <w:top w:val="nil"/>
              <w:left w:val="nil"/>
              <w:bottom w:val="nil"/>
              <w:right w:val="nil"/>
            </w:tcBorders>
            <w:tcMar>
              <w:top w:w="100" w:type="dxa"/>
              <w:left w:w="100" w:type="dxa"/>
              <w:bottom w:w="100" w:type="dxa"/>
              <w:right w:w="100" w:type="dxa"/>
            </w:tcMar>
          </w:tcPr>
          <w:p w14:paraId="000006F6" w14:textId="77777777" w:rsidR="00CB4215" w:rsidRDefault="00CB4215">
            <w:pPr>
              <w:widowControl w:val="0"/>
              <w:spacing w:line="240" w:lineRule="auto"/>
              <w:rPr>
                <w:rFonts w:ascii="Times New Roman" w:eastAsia="Times New Roman" w:hAnsi="Times New Roman" w:cs="Times New Roman"/>
              </w:rPr>
            </w:pPr>
          </w:p>
        </w:tc>
      </w:tr>
      <w:tr w:rsidR="00CB4215" w14:paraId="41A65F1B"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F7" w14:textId="77777777" w:rsidR="00CB4215" w:rsidRDefault="000530B4">
            <w:pPr>
              <w:widowControl w:val="0"/>
              <w:spacing w:line="240" w:lineRule="auto"/>
              <w:rPr>
                <w:rFonts w:ascii="Times New Roman" w:eastAsia="Times New Roman" w:hAnsi="Times New Roman" w:cs="Times New Roman"/>
                <w:vertAlign w:val="superscript"/>
              </w:rPr>
            </w:pPr>
            <w:r>
              <w:rPr>
                <w:rFonts w:ascii="Times New Roman" w:eastAsia="Times New Roman" w:hAnsi="Times New Roman" w:cs="Times New Roman"/>
              </w:rPr>
              <w:t xml:space="preserve">Regular day work </w:t>
            </w:r>
            <w:r>
              <w:rPr>
                <w:rFonts w:ascii="Times New Roman" w:eastAsia="Times New Roman" w:hAnsi="Times New Roman" w:cs="Times New Roman"/>
                <w:vertAlign w:val="superscript"/>
              </w:rPr>
              <w:t>a</w:t>
            </w:r>
          </w:p>
        </w:tc>
        <w:tc>
          <w:tcPr>
            <w:tcW w:w="3150" w:type="dxa"/>
            <w:tcBorders>
              <w:top w:val="nil"/>
              <w:left w:val="nil"/>
              <w:bottom w:val="nil"/>
              <w:right w:val="nil"/>
            </w:tcBorders>
            <w:tcMar>
              <w:top w:w="40" w:type="dxa"/>
              <w:left w:w="40" w:type="dxa"/>
              <w:bottom w:w="40" w:type="dxa"/>
              <w:right w:w="40" w:type="dxa"/>
            </w:tcMar>
            <w:vAlign w:val="bottom"/>
          </w:tcPr>
          <w:p w14:paraId="000006F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 (67%)</w:t>
            </w:r>
          </w:p>
        </w:tc>
      </w:tr>
      <w:tr w:rsidR="00CB4215" w14:paraId="269B63C7"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F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Shift work with night shifts</w:t>
            </w:r>
          </w:p>
        </w:tc>
        <w:tc>
          <w:tcPr>
            <w:tcW w:w="3150" w:type="dxa"/>
            <w:tcBorders>
              <w:top w:val="nil"/>
              <w:left w:val="nil"/>
              <w:bottom w:val="nil"/>
              <w:right w:val="nil"/>
            </w:tcBorders>
            <w:tcMar>
              <w:top w:w="40" w:type="dxa"/>
              <w:left w:w="40" w:type="dxa"/>
              <w:bottom w:w="40" w:type="dxa"/>
              <w:right w:w="40" w:type="dxa"/>
            </w:tcMar>
            <w:vAlign w:val="bottom"/>
          </w:tcPr>
          <w:p w14:paraId="000006F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(3%)</w:t>
            </w:r>
          </w:p>
        </w:tc>
      </w:tr>
      <w:tr w:rsidR="00CB4215" w14:paraId="324FA262"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FB" w14:textId="77777777" w:rsidR="00CB4215" w:rsidRDefault="000530B4">
            <w:pPr>
              <w:widowControl w:val="0"/>
              <w:spacing w:line="240" w:lineRule="auto"/>
              <w:rPr>
                <w:rFonts w:ascii="Times New Roman" w:eastAsia="Times New Roman" w:hAnsi="Times New Roman" w:cs="Times New Roman"/>
                <w:vertAlign w:val="superscript"/>
              </w:rPr>
            </w:pPr>
            <w:r>
              <w:rPr>
                <w:rFonts w:ascii="Times New Roman" w:eastAsia="Times New Roman" w:hAnsi="Times New Roman" w:cs="Times New Roman"/>
              </w:rPr>
              <w:t xml:space="preserve">Rotating shift </w:t>
            </w:r>
            <w:proofErr w:type="spellStart"/>
            <w:r>
              <w:rPr>
                <w:rFonts w:ascii="Times New Roman" w:eastAsia="Times New Roman" w:hAnsi="Times New Roman" w:cs="Times New Roman"/>
              </w:rPr>
              <w:t>work</w:t>
            </w:r>
            <w:r>
              <w:rPr>
                <w:rFonts w:ascii="Times New Roman" w:eastAsia="Times New Roman" w:hAnsi="Times New Roman" w:cs="Times New Roman"/>
                <w:vertAlign w:val="superscript"/>
              </w:rPr>
              <w:t>b</w:t>
            </w:r>
            <w:proofErr w:type="spellEnd"/>
          </w:p>
        </w:tc>
        <w:tc>
          <w:tcPr>
            <w:tcW w:w="3150" w:type="dxa"/>
            <w:tcBorders>
              <w:top w:val="nil"/>
              <w:left w:val="nil"/>
              <w:bottom w:val="nil"/>
              <w:right w:val="nil"/>
            </w:tcBorders>
            <w:tcMar>
              <w:top w:w="40" w:type="dxa"/>
              <w:left w:w="40" w:type="dxa"/>
              <w:bottom w:w="40" w:type="dxa"/>
              <w:right w:w="40" w:type="dxa"/>
            </w:tcMar>
            <w:vAlign w:val="bottom"/>
          </w:tcPr>
          <w:p w14:paraId="000006F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(3%)</w:t>
            </w:r>
          </w:p>
        </w:tc>
      </w:tr>
      <w:tr w:rsidR="00CB4215" w14:paraId="34156251"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F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Other irregular work</w:t>
            </w:r>
          </w:p>
        </w:tc>
        <w:tc>
          <w:tcPr>
            <w:tcW w:w="3150" w:type="dxa"/>
            <w:tcBorders>
              <w:top w:val="nil"/>
              <w:left w:val="nil"/>
              <w:bottom w:val="nil"/>
              <w:right w:val="nil"/>
            </w:tcBorders>
            <w:tcMar>
              <w:top w:w="40" w:type="dxa"/>
              <w:left w:w="40" w:type="dxa"/>
              <w:bottom w:w="40" w:type="dxa"/>
              <w:right w:w="40" w:type="dxa"/>
            </w:tcMar>
            <w:vAlign w:val="bottom"/>
          </w:tcPr>
          <w:p w14:paraId="000006F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 (20%)</w:t>
            </w:r>
          </w:p>
        </w:tc>
      </w:tr>
      <w:tr w:rsidR="00CB4215" w14:paraId="336999AA"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6F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Not applicable, not currently working</w:t>
            </w:r>
          </w:p>
        </w:tc>
        <w:tc>
          <w:tcPr>
            <w:tcW w:w="3150" w:type="dxa"/>
            <w:tcBorders>
              <w:top w:val="nil"/>
              <w:left w:val="nil"/>
              <w:bottom w:val="nil"/>
              <w:right w:val="nil"/>
            </w:tcBorders>
            <w:tcMar>
              <w:top w:w="40" w:type="dxa"/>
              <w:left w:w="40" w:type="dxa"/>
              <w:bottom w:w="40" w:type="dxa"/>
              <w:right w:w="40" w:type="dxa"/>
            </w:tcMar>
            <w:vAlign w:val="bottom"/>
          </w:tcPr>
          <w:p w14:paraId="0000070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(7%)</w:t>
            </w:r>
          </w:p>
        </w:tc>
      </w:tr>
      <w:tr w:rsidR="00CB4215" w14:paraId="7538D93C" w14:textId="77777777">
        <w:tc>
          <w:tcPr>
            <w:tcW w:w="5895" w:type="dxa"/>
            <w:tcBorders>
              <w:top w:val="nil"/>
              <w:left w:val="nil"/>
              <w:bottom w:val="nil"/>
              <w:right w:val="nil"/>
            </w:tcBorders>
            <w:tcMar>
              <w:top w:w="40" w:type="dxa"/>
              <w:left w:w="40" w:type="dxa"/>
              <w:bottom w:w="40" w:type="dxa"/>
              <w:right w:w="40" w:type="dxa"/>
            </w:tcMar>
            <w:vAlign w:val="bottom"/>
          </w:tcPr>
          <w:p w14:paraId="00000701" w14:textId="77777777" w:rsidR="00CB4215" w:rsidRDefault="000530B4">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i/>
              </w:rPr>
              <w:t>Annual income (n = 30)</w:t>
            </w:r>
          </w:p>
        </w:tc>
        <w:tc>
          <w:tcPr>
            <w:tcW w:w="3150" w:type="dxa"/>
            <w:tcBorders>
              <w:top w:val="nil"/>
              <w:left w:val="nil"/>
              <w:bottom w:val="nil"/>
              <w:right w:val="nil"/>
            </w:tcBorders>
            <w:tcMar>
              <w:top w:w="40" w:type="dxa"/>
              <w:left w:w="40" w:type="dxa"/>
              <w:bottom w:w="40" w:type="dxa"/>
              <w:right w:w="40" w:type="dxa"/>
            </w:tcMar>
            <w:vAlign w:val="bottom"/>
          </w:tcPr>
          <w:p w14:paraId="00000702" w14:textId="77777777" w:rsidR="00CB4215" w:rsidRDefault="00CB4215">
            <w:pPr>
              <w:widowControl w:val="0"/>
              <w:spacing w:line="240" w:lineRule="auto"/>
              <w:rPr>
                <w:rFonts w:ascii="Times New Roman" w:eastAsia="Times New Roman" w:hAnsi="Times New Roman" w:cs="Times New Roman"/>
              </w:rPr>
            </w:pPr>
          </w:p>
        </w:tc>
      </w:tr>
      <w:tr w:rsidR="00CB4215" w14:paraId="20F2C1C5"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0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Below £10,000</w:t>
            </w:r>
          </w:p>
        </w:tc>
        <w:tc>
          <w:tcPr>
            <w:tcW w:w="3150" w:type="dxa"/>
            <w:tcBorders>
              <w:top w:val="nil"/>
              <w:left w:val="nil"/>
              <w:bottom w:val="nil"/>
              <w:right w:val="nil"/>
            </w:tcBorders>
            <w:tcMar>
              <w:top w:w="40" w:type="dxa"/>
              <w:left w:w="40" w:type="dxa"/>
              <w:bottom w:w="40" w:type="dxa"/>
              <w:right w:w="40" w:type="dxa"/>
            </w:tcMar>
            <w:vAlign w:val="bottom"/>
          </w:tcPr>
          <w:p w14:paraId="0000070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 (23%)</w:t>
            </w:r>
          </w:p>
        </w:tc>
      </w:tr>
      <w:tr w:rsidR="00CB4215" w14:paraId="1C00567F"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0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£10,001 - £20,000</w:t>
            </w:r>
          </w:p>
        </w:tc>
        <w:tc>
          <w:tcPr>
            <w:tcW w:w="3150" w:type="dxa"/>
            <w:tcBorders>
              <w:top w:val="nil"/>
              <w:left w:val="nil"/>
              <w:bottom w:val="nil"/>
              <w:right w:val="nil"/>
            </w:tcBorders>
            <w:tcMar>
              <w:top w:w="40" w:type="dxa"/>
              <w:left w:w="40" w:type="dxa"/>
              <w:bottom w:w="40" w:type="dxa"/>
              <w:right w:w="40" w:type="dxa"/>
            </w:tcMar>
            <w:vAlign w:val="bottom"/>
          </w:tcPr>
          <w:p w14:paraId="0000070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(7%)</w:t>
            </w:r>
          </w:p>
        </w:tc>
      </w:tr>
      <w:tr w:rsidR="00CB4215" w14:paraId="5402F4E4"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0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£20,001 - £30,000</w:t>
            </w:r>
          </w:p>
        </w:tc>
        <w:tc>
          <w:tcPr>
            <w:tcW w:w="3150" w:type="dxa"/>
            <w:tcBorders>
              <w:top w:val="nil"/>
              <w:left w:val="nil"/>
              <w:bottom w:val="nil"/>
              <w:right w:val="nil"/>
            </w:tcBorders>
            <w:tcMar>
              <w:top w:w="40" w:type="dxa"/>
              <w:left w:w="40" w:type="dxa"/>
              <w:bottom w:w="40" w:type="dxa"/>
              <w:right w:w="40" w:type="dxa"/>
            </w:tcMar>
            <w:vAlign w:val="bottom"/>
          </w:tcPr>
          <w:p w14:paraId="0000070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(13%)</w:t>
            </w:r>
          </w:p>
        </w:tc>
      </w:tr>
      <w:tr w:rsidR="00CB4215" w14:paraId="1079B5DC"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0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£30,001 - £40,000</w:t>
            </w:r>
          </w:p>
        </w:tc>
        <w:tc>
          <w:tcPr>
            <w:tcW w:w="3150" w:type="dxa"/>
            <w:tcBorders>
              <w:top w:val="nil"/>
              <w:left w:val="nil"/>
              <w:bottom w:val="nil"/>
              <w:right w:val="nil"/>
            </w:tcBorders>
            <w:tcMar>
              <w:top w:w="40" w:type="dxa"/>
              <w:left w:w="40" w:type="dxa"/>
              <w:bottom w:w="40" w:type="dxa"/>
              <w:right w:w="40" w:type="dxa"/>
            </w:tcMar>
            <w:vAlign w:val="bottom"/>
          </w:tcPr>
          <w:p w14:paraId="0000070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(7%)</w:t>
            </w:r>
          </w:p>
        </w:tc>
      </w:tr>
      <w:tr w:rsidR="00CB4215" w14:paraId="28426309"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0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£40,001 - £50,000</w:t>
            </w:r>
          </w:p>
        </w:tc>
        <w:tc>
          <w:tcPr>
            <w:tcW w:w="3150" w:type="dxa"/>
            <w:tcBorders>
              <w:top w:val="nil"/>
              <w:left w:val="nil"/>
              <w:bottom w:val="nil"/>
              <w:right w:val="nil"/>
            </w:tcBorders>
            <w:tcMar>
              <w:top w:w="40" w:type="dxa"/>
              <w:left w:w="40" w:type="dxa"/>
              <w:bottom w:w="40" w:type="dxa"/>
              <w:right w:w="40" w:type="dxa"/>
            </w:tcMar>
            <w:vAlign w:val="bottom"/>
          </w:tcPr>
          <w:p w14:paraId="0000070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(7%)</w:t>
            </w:r>
          </w:p>
        </w:tc>
      </w:tr>
      <w:tr w:rsidR="00CB4215" w14:paraId="15DE06E5"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0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£50,001 - £60,000</w:t>
            </w:r>
          </w:p>
        </w:tc>
        <w:tc>
          <w:tcPr>
            <w:tcW w:w="3150" w:type="dxa"/>
            <w:tcBorders>
              <w:top w:val="nil"/>
              <w:left w:val="nil"/>
              <w:bottom w:val="nil"/>
              <w:right w:val="nil"/>
            </w:tcBorders>
            <w:tcMar>
              <w:top w:w="40" w:type="dxa"/>
              <w:left w:w="40" w:type="dxa"/>
              <w:bottom w:w="40" w:type="dxa"/>
              <w:right w:w="40" w:type="dxa"/>
            </w:tcMar>
            <w:vAlign w:val="bottom"/>
          </w:tcPr>
          <w:p w14:paraId="0000070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 (33%)</w:t>
            </w:r>
          </w:p>
        </w:tc>
      </w:tr>
      <w:tr w:rsidR="00CB4215" w14:paraId="01BB42A2"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0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Above £60,000</w:t>
            </w:r>
          </w:p>
        </w:tc>
        <w:tc>
          <w:tcPr>
            <w:tcW w:w="3150" w:type="dxa"/>
            <w:tcBorders>
              <w:top w:val="nil"/>
              <w:left w:val="nil"/>
              <w:bottom w:val="nil"/>
              <w:right w:val="nil"/>
            </w:tcBorders>
            <w:tcMar>
              <w:top w:w="40" w:type="dxa"/>
              <w:left w:w="40" w:type="dxa"/>
              <w:bottom w:w="40" w:type="dxa"/>
              <w:right w:w="40" w:type="dxa"/>
            </w:tcMar>
            <w:vAlign w:val="bottom"/>
          </w:tcPr>
          <w:p w14:paraId="0000071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(7%)</w:t>
            </w:r>
          </w:p>
        </w:tc>
      </w:tr>
      <w:tr w:rsidR="00CB4215" w14:paraId="07F7E040"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1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Prefer not to say</w:t>
            </w:r>
          </w:p>
        </w:tc>
        <w:tc>
          <w:tcPr>
            <w:tcW w:w="3150" w:type="dxa"/>
            <w:tcBorders>
              <w:top w:val="nil"/>
              <w:left w:val="nil"/>
              <w:bottom w:val="nil"/>
              <w:right w:val="nil"/>
            </w:tcBorders>
            <w:tcMar>
              <w:top w:w="40" w:type="dxa"/>
              <w:left w:w="40" w:type="dxa"/>
              <w:bottom w:w="40" w:type="dxa"/>
              <w:right w:w="40" w:type="dxa"/>
            </w:tcMar>
            <w:vAlign w:val="bottom"/>
          </w:tcPr>
          <w:p w14:paraId="0000071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(3%)</w:t>
            </w:r>
          </w:p>
        </w:tc>
      </w:tr>
      <w:tr w:rsidR="00CB4215" w14:paraId="4B62AED9" w14:textId="77777777">
        <w:tc>
          <w:tcPr>
            <w:tcW w:w="5895" w:type="dxa"/>
            <w:tcBorders>
              <w:top w:val="nil"/>
              <w:left w:val="nil"/>
              <w:bottom w:val="nil"/>
              <w:right w:val="nil"/>
            </w:tcBorders>
            <w:tcMar>
              <w:top w:w="40" w:type="dxa"/>
              <w:left w:w="40" w:type="dxa"/>
              <w:bottom w:w="40" w:type="dxa"/>
              <w:right w:w="40" w:type="dxa"/>
            </w:tcMar>
            <w:vAlign w:val="bottom"/>
          </w:tcPr>
          <w:p w14:paraId="00000713" w14:textId="77777777" w:rsidR="00CB4215" w:rsidRDefault="000530B4">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i/>
              </w:rPr>
              <w:t>Health condition (n = 30, note some participants selected multiple answers)</w:t>
            </w:r>
          </w:p>
        </w:tc>
        <w:tc>
          <w:tcPr>
            <w:tcW w:w="3150" w:type="dxa"/>
            <w:tcBorders>
              <w:top w:val="nil"/>
              <w:left w:val="nil"/>
              <w:bottom w:val="nil"/>
              <w:right w:val="nil"/>
            </w:tcBorders>
            <w:tcMar>
              <w:top w:w="40" w:type="dxa"/>
              <w:left w:w="40" w:type="dxa"/>
              <w:bottom w:w="40" w:type="dxa"/>
              <w:right w:w="40" w:type="dxa"/>
            </w:tcMar>
            <w:vAlign w:val="bottom"/>
          </w:tcPr>
          <w:p w14:paraId="00000714" w14:textId="77777777" w:rsidR="00CB4215" w:rsidRDefault="00CB4215">
            <w:pPr>
              <w:widowControl w:val="0"/>
              <w:spacing w:line="240" w:lineRule="auto"/>
              <w:rPr>
                <w:rFonts w:ascii="Times New Roman" w:eastAsia="Times New Roman" w:hAnsi="Times New Roman" w:cs="Times New Roman"/>
              </w:rPr>
            </w:pPr>
          </w:p>
        </w:tc>
      </w:tr>
      <w:tr w:rsidR="00CB4215" w14:paraId="23DAA320"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1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 health issues</w:t>
            </w:r>
          </w:p>
        </w:tc>
        <w:tc>
          <w:tcPr>
            <w:tcW w:w="3150" w:type="dxa"/>
            <w:tcBorders>
              <w:top w:val="nil"/>
              <w:left w:val="nil"/>
              <w:bottom w:val="nil"/>
              <w:right w:val="nil"/>
            </w:tcBorders>
            <w:tcMar>
              <w:top w:w="40" w:type="dxa"/>
              <w:left w:w="40" w:type="dxa"/>
              <w:bottom w:w="40" w:type="dxa"/>
              <w:right w:w="40" w:type="dxa"/>
            </w:tcMar>
            <w:vAlign w:val="bottom"/>
          </w:tcPr>
          <w:p w14:paraId="0000071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 (50%)</w:t>
            </w:r>
          </w:p>
        </w:tc>
      </w:tr>
      <w:tr w:rsidR="00CB4215" w14:paraId="15B0C730"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1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Asthma </w:t>
            </w:r>
          </w:p>
        </w:tc>
        <w:tc>
          <w:tcPr>
            <w:tcW w:w="3150" w:type="dxa"/>
            <w:tcBorders>
              <w:top w:val="nil"/>
              <w:left w:val="nil"/>
              <w:bottom w:val="nil"/>
              <w:right w:val="nil"/>
            </w:tcBorders>
            <w:tcMar>
              <w:top w:w="40" w:type="dxa"/>
              <w:left w:w="40" w:type="dxa"/>
              <w:bottom w:w="40" w:type="dxa"/>
              <w:right w:w="40" w:type="dxa"/>
            </w:tcMar>
            <w:vAlign w:val="bottom"/>
          </w:tcPr>
          <w:p w14:paraId="0000071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(17%)</w:t>
            </w:r>
          </w:p>
        </w:tc>
      </w:tr>
      <w:tr w:rsidR="00CB4215" w14:paraId="39D637A2"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1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Hypertension</w:t>
            </w:r>
          </w:p>
        </w:tc>
        <w:tc>
          <w:tcPr>
            <w:tcW w:w="3150" w:type="dxa"/>
            <w:tcBorders>
              <w:top w:val="nil"/>
              <w:left w:val="nil"/>
              <w:bottom w:val="nil"/>
              <w:right w:val="nil"/>
            </w:tcBorders>
            <w:tcMar>
              <w:top w:w="40" w:type="dxa"/>
              <w:left w:w="40" w:type="dxa"/>
              <w:bottom w:w="40" w:type="dxa"/>
              <w:right w:w="40" w:type="dxa"/>
            </w:tcMar>
            <w:vAlign w:val="bottom"/>
          </w:tcPr>
          <w:p w14:paraId="0000071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(10%)</w:t>
            </w:r>
          </w:p>
        </w:tc>
      </w:tr>
      <w:tr w:rsidR="00CB4215" w14:paraId="6A21085B"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1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Have an under or overactive thyroid</w:t>
            </w:r>
          </w:p>
        </w:tc>
        <w:tc>
          <w:tcPr>
            <w:tcW w:w="3150" w:type="dxa"/>
            <w:tcBorders>
              <w:top w:val="nil"/>
              <w:left w:val="nil"/>
              <w:bottom w:val="nil"/>
              <w:right w:val="nil"/>
            </w:tcBorders>
            <w:tcMar>
              <w:top w:w="40" w:type="dxa"/>
              <w:left w:w="40" w:type="dxa"/>
              <w:bottom w:w="40" w:type="dxa"/>
              <w:right w:w="40" w:type="dxa"/>
            </w:tcMar>
            <w:vAlign w:val="bottom"/>
          </w:tcPr>
          <w:p w14:paraId="0000071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(7%)</w:t>
            </w:r>
          </w:p>
        </w:tc>
      </w:tr>
      <w:tr w:rsidR="00CB4215" w14:paraId="104A8858" w14:textId="77777777">
        <w:tc>
          <w:tcPr>
            <w:tcW w:w="5895" w:type="dxa"/>
            <w:tcBorders>
              <w:top w:val="nil"/>
              <w:left w:val="nil"/>
              <w:bottom w:val="nil"/>
              <w:right w:val="nil"/>
            </w:tcBorders>
            <w:tcMar>
              <w:top w:w="40" w:type="dxa"/>
              <w:left w:w="40" w:type="dxa"/>
              <w:bottom w:w="40" w:type="dxa"/>
              <w:right w:w="40" w:type="dxa"/>
            </w:tcMar>
            <w:vAlign w:val="bottom"/>
          </w:tcPr>
          <w:p w14:paraId="0000071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Depression</w:t>
            </w:r>
          </w:p>
        </w:tc>
        <w:tc>
          <w:tcPr>
            <w:tcW w:w="3150" w:type="dxa"/>
            <w:tcBorders>
              <w:top w:val="nil"/>
              <w:left w:val="nil"/>
              <w:bottom w:val="nil"/>
              <w:right w:val="nil"/>
            </w:tcBorders>
            <w:tcMar>
              <w:top w:w="40" w:type="dxa"/>
              <w:left w:w="40" w:type="dxa"/>
              <w:bottom w:w="40" w:type="dxa"/>
              <w:right w:w="40" w:type="dxa"/>
            </w:tcMar>
            <w:vAlign w:val="bottom"/>
          </w:tcPr>
          <w:p w14:paraId="0000071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(7%)</w:t>
            </w:r>
          </w:p>
        </w:tc>
      </w:tr>
      <w:tr w:rsidR="00CB4215" w14:paraId="165D400F" w14:textId="77777777">
        <w:tc>
          <w:tcPr>
            <w:tcW w:w="5895" w:type="dxa"/>
            <w:tcBorders>
              <w:top w:val="nil"/>
              <w:left w:val="nil"/>
              <w:bottom w:val="nil"/>
              <w:right w:val="nil"/>
            </w:tcBorders>
            <w:tcMar>
              <w:top w:w="40" w:type="dxa"/>
              <w:left w:w="40" w:type="dxa"/>
              <w:bottom w:w="40" w:type="dxa"/>
              <w:right w:w="40" w:type="dxa"/>
            </w:tcMar>
            <w:vAlign w:val="bottom"/>
          </w:tcPr>
          <w:p w14:paraId="0000071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Polycystic ovary syndrome </w:t>
            </w:r>
          </w:p>
        </w:tc>
        <w:tc>
          <w:tcPr>
            <w:tcW w:w="3150" w:type="dxa"/>
            <w:tcBorders>
              <w:top w:val="nil"/>
              <w:left w:val="nil"/>
              <w:bottom w:val="nil"/>
              <w:right w:val="nil"/>
            </w:tcBorders>
            <w:tcMar>
              <w:top w:w="40" w:type="dxa"/>
              <w:left w:w="40" w:type="dxa"/>
              <w:bottom w:w="40" w:type="dxa"/>
              <w:right w:w="40" w:type="dxa"/>
            </w:tcMar>
            <w:vAlign w:val="bottom"/>
          </w:tcPr>
          <w:p w14:paraId="0000072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(7%)</w:t>
            </w:r>
          </w:p>
        </w:tc>
      </w:tr>
      <w:tr w:rsidR="00CB4215" w14:paraId="126F39BF" w14:textId="77777777">
        <w:tc>
          <w:tcPr>
            <w:tcW w:w="5895" w:type="dxa"/>
            <w:tcBorders>
              <w:top w:val="nil"/>
              <w:left w:val="nil"/>
              <w:bottom w:val="nil"/>
              <w:right w:val="nil"/>
            </w:tcBorders>
            <w:tcMar>
              <w:top w:w="40" w:type="dxa"/>
              <w:left w:w="40" w:type="dxa"/>
              <w:bottom w:w="40" w:type="dxa"/>
              <w:right w:w="40" w:type="dxa"/>
            </w:tcMar>
            <w:vAlign w:val="bottom"/>
          </w:tcPr>
          <w:p w14:paraId="0000072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Anxiety Disorders</w:t>
            </w:r>
          </w:p>
        </w:tc>
        <w:tc>
          <w:tcPr>
            <w:tcW w:w="3150" w:type="dxa"/>
            <w:tcBorders>
              <w:top w:val="nil"/>
              <w:left w:val="nil"/>
              <w:bottom w:val="nil"/>
              <w:right w:val="nil"/>
            </w:tcBorders>
            <w:tcMar>
              <w:top w:w="40" w:type="dxa"/>
              <w:left w:w="40" w:type="dxa"/>
              <w:bottom w:w="40" w:type="dxa"/>
              <w:right w:w="40" w:type="dxa"/>
            </w:tcMar>
            <w:vAlign w:val="bottom"/>
          </w:tcPr>
          <w:p w14:paraId="0000072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(7%)</w:t>
            </w:r>
          </w:p>
        </w:tc>
      </w:tr>
      <w:tr w:rsidR="00CB4215" w14:paraId="50071400" w14:textId="77777777">
        <w:tc>
          <w:tcPr>
            <w:tcW w:w="5895" w:type="dxa"/>
            <w:tcBorders>
              <w:top w:val="nil"/>
              <w:left w:val="nil"/>
              <w:bottom w:val="nil"/>
              <w:right w:val="nil"/>
            </w:tcBorders>
            <w:tcMar>
              <w:top w:w="40" w:type="dxa"/>
              <w:left w:w="40" w:type="dxa"/>
              <w:bottom w:w="40" w:type="dxa"/>
              <w:right w:w="40" w:type="dxa"/>
            </w:tcMar>
            <w:vAlign w:val="bottom"/>
          </w:tcPr>
          <w:p w14:paraId="0000072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Other health condition</w:t>
            </w:r>
          </w:p>
        </w:tc>
        <w:tc>
          <w:tcPr>
            <w:tcW w:w="3150" w:type="dxa"/>
            <w:tcBorders>
              <w:top w:val="nil"/>
              <w:left w:val="nil"/>
              <w:bottom w:val="nil"/>
              <w:right w:val="nil"/>
            </w:tcBorders>
            <w:tcMar>
              <w:top w:w="40" w:type="dxa"/>
              <w:left w:w="40" w:type="dxa"/>
              <w:bottom w:w="40" w:type="dxa"/>
              <w:right w:w="40" w:type="dxa"/>
            </w:tcMar>
            <w:vAlign w:val="bottom"/>
          </w:tcPr>
          <w:p w14:paraId="0000072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 (30%)</w:t>
            </w:r>
          </w:p>
        </w:tc>
      </w:tr>
      <w:tr w:rsidR="00CB4215" w14:paraId="3A972602" w14:textId="77777777">
        <w:trPr>
          <w:trHeight w:val="244"/>
        </w:trPr>
        <w:tc>
          <w:tcPr>
            <w:tcW w:w="5895" w:type="dxa"/>
            <w:tcBorders>
              <w:top w:val="nil"/>
              <w:left w:val="nil"/>
              <w:bottom w:val="nil"/>
              <w:right w:val="nil"/>
            </w:tcBorders>
            <w:tcMar>
              <w:top w:w="40" w:type="dxa"/>
              <w:left w:w="40" w:type="dxa"/>
              <w:bottom w:w="40" w:type="dxa"/>
              <w:right w:w="40" w:type="dxa"/>
            </w:tcMar>
            <w:vAlign w:val="bottom"/>
          </w:tcPr>
          <w:p w14:paraId="00000725" w14:textId="77777777" w:rsidR="00CB4215" w:rsidRDefault="000530B4">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i/>
              </w:rPr>
              <w:t>Meal timing (</w:t>
            </w:r>
            <w:proofErr w:type="spellStart"/>
            <w:r>
              <w:rPr>
                <w:rFonts w:ascii="Times New Roman" w:eastAsia="Times New Roman" w:hAnsi="Times New Roman" w:cs="Times New Roman"/>
                <w:b/>
                <w:i/>
              </w:rPr>
              <w:t>hh</w:t>
            </w:r>
            <w:proofErr w:type="spellEnd"/>
            <w:r>
              <w:rPr>
                <w:rFonts w:ascii="Times New Roman" w:eastAsia="Times New Roman" w:hAnsi="Times New Roman" w:cs="Times New Roman"/>
                <w:b/>
                <w:i/>
              </w:rPr>
              <w:t>: mm)</w:t>
            </w:r>
          </w:p>
        </w:tc>
        <w:tc>
          <w:tcPr>
            <w:tcW w:w="3150" w:type="dxa"/>
            <w:tcBorders>
              <w:top w:val="nil"/>
              <w:left w:val="nil"/>
              <w:bottom w:val="nil"/>
              <w:right w:val="nil"/>
            </w:tcBorders>
            <w:tcMar>
              <w:top w:w="40" w:type="dxa"/>
              <w:left w:w="40" w:type="dxa"/>
              <w:bottom w:w="40" w:type="dxa"/>
              <w:right w:w="40" w:type="dxa"/>
            </w:tcMar>
            <w:vAlign w:val="bottom"/>
          </w:tcPr>
          <w:p w14:paraId="00000726" w14:textId="77777777" w:rsidR="00CB4215" w:rsidRDefault="00CB4215">
            <w:pPr>
              <w:widowControl w:val="0"/>
              <w:spacing w:line="240" w:lineRule="auto"/>
              <w:rPr>
                <w:rFonts w:ascii="Times New Roman" w:eastAsia="Times New Roman" w:hAnsi="Times New Roman" w:cs="Times New Roman"/>
              </w:rPr>
            </w:pPr>
          </w:p>
        </w:tc>
      </w:tr>
      <w:tr w:rsidR="00CB4215" w14:paraId="5399E4AE" w14:textId="77777777">
        <w:trPr>
          <w:trHeight w:val="192"/>
        </w:trPr>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27" w14:textId="77777777" w:rsidR="00CB4215" w:rsidRDefault="000530B4">
            <w:pPr>
              <w:widowControl w:val="0"/>
              <w:spacing w:line="240" w:lineRule="auto"/>
              <w:rPr>
                <w:rFonts w:ascii="Times New Roman" w:eastAsia="Times New Roman" w:hAnsi="Times New Roman" w:cs="Times New Roman"/>
                <w:vertAlign w:val="superscript"/>
              </w:rPr>
            </w:pPr>
            <w:r>
              <w:rPr>
                <w:rFonts w:ascii="Times New Roman" w:eastAsia="Times New Roman" w:hAnsi="Times New Roman" w:cs="Times New Roman"/>
              </w:rPr>
              <w:t>Last eating episode (n =</w:t>
            </w:r>
            <w:proofErr w:type="gramStart"/>
            <w:r>
              <w:rPr>
                <w:rFonts w:ascii="Times New Roman" w:eastAsia="Times New Roman" w:hAnsi="Times New Roman" w:cs="Times New Roman"/>
              </w:rPr>
              <w:t>29)</w:t>
            </w:r>
            <w:r>
              <w:rPr>
                <w:rFonts w:ascii="Times New Roman" w:eastAsia="Times New Roman" w:hAnsi="Times New Roman" w:cs="Times New Roman"/>
                <w:vertAlign w:val="superscript"/>
              </w:rPr>
              <w:t>c</w:t>
            </w:r>
            <w:proofErr w:type="gramEnd"/>
          </w:p>
        </w:tc>
        <w:tc>
          <w:tcPr>
            <w:tcW w:w="3150" w:type="dxa"/>
            <w:tcBorders>
              <w:top w:val="nil"/>
              <w:left w:val="nil"/>
              <w:bottom w:val="nil"/>
              <w:right w:val="nil"/>
            </w:tcBorders>
            <w:tcMar>
              <w:top w:w="40" w:type="dxa"/>
              <w:left w:w="40" w:type="dxa"/>
              <w:bottom w:w="40" w:type="dxa"/>
              <w:right w:w="40" w:type="dxa"/>
            </w:tcMar>
            <w:vAlign w:val="bottom"/>
          </w:tcPr>
          <w:p w14:paraId="0000072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21:05 ± 1:42 (20:26, 21:44) </w:t>
            </w:r>
          </w:p>
        </w:tc>
      </w:tr>
      <w:tr w:rsidR="00CB4215" w14:paraId="51E6CBC4" w14:textId="77777777">
        <w:trPr>
          <w:trHeight w:val="139"/>
        </w:trPr>
        <w:tc>
          <w:tcPr>
            <w:tcW w:w="5895" w:type="dxa"/>
            <w:tcBorders>
              <w:top w:val="nil"/>
              <w:left w:val="nil"/>
              <w:bottom w:val="nil"/>
              <w:right w:val="nil"/>
            </w:tcBorders>
            <w:tcMar>
              <w:top w:w="40" w:type="dxa"/>
              <w:left w:w="40" w:type="dxa"/>
              <w:bottom w:w="40" w:type="dxa"/>
              <w:right w:w="40" w:type="dxa"/>
            </w:tcMar>
            <w:vAlign w:val="bottom"/>
          </w:tcPr>
          <w:p w14:paraId="00000729" w14:textId="77777777" w:rsidR="00CB4215" w:rsidRDefault="000530B4">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i/>
              </w:rPr>
              <w:t>Eating behaviour traits (n = 30)</w:t>
            </w:r>
          </w:p>
        </w:tc>
        <w:tc>
          <w:tcPr>
            <w:tcW w:w="3150" w:type="dxa"/>
            <w:tcBorders>
              <w:top w:val="nil"/>
              <w:left w:val="nil"/>
              <w:bottom w:val="nil"/>
              <w:right w:val="nil"/>
            </w:tcBorders>
            <w:tcMar>
              <w:top w:w="40" w:type="dxa"/>
              <w:left w:w="40" w:type="dxa"/>
              <w:bottom w:w="40" w:type="dxa"/>
              <w:right w:w="40" w:type="dxa"/>
            </w:tcMar>
            <w:vAlign w:val="bottom"/>
          </w:tcPr>
          <w:p w14:paraId="0000072A" w14:textId="77777777" w:rsidR="00CB4215" w:rsidRDefault="00CB4215">
            <w:pPr>
              <w:widowControl w:val="0"/>
              <w:spacing w:line="240" w:lineRule="auto"/>
              <w:rPr>
                <w:rFonts w:ascii="Times New Roman" w:eastAsia="Times New Roman" w:hAnsi="Times New Roman" w:cs="Times New Roman"/>
              </w:rPr>
            </w:pPr>
          </w:p>
        </w:tc>
      </w:tr>
      <w:tr w:rsidR="00CB4215" w14:paraId="1E23EEE7"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2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Uncontrolled eating (TFEQ)</w:t>
            </w:r>
          </w:p>
        </w:tc>
        <w:tc>
          <w:tcPr>
            <w:tcW w:w="3150" w:type="dxa"/>
            <w:tcBorders>
              <w:top w:val="nil"/>
              <w:left w:val="nil"/>
              <w:bottom w:val="nil"/>
              <w:right w:val="nil"/>
            </w:tcBorders>
            <w:tcMar>
              <w:top w:w="40" w:type="dxa"/>
              <w:left w:w="40" w:type="dxa"/>
              <w:bottom w:w="40" w:type="dxa"/>
              <w:right w:w="40" w:type="dxa"/>
            </w:tcMar>
            <w:vAlign w:val="bottom"/>
          </w:tcPr>
          <w:p w14:paraId="0000072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 ± 0.6 (2.3, 2.7)</w:t>
            </w:r>
          </w:p>
        </w:tc>
      </w:tr>
      <w:tr w:rsidR="00CB4215" w14:paraId="6390DF72" w14:textId="77777777">
        <w:tc>
          <w:tcPr>
            <w:tcW w:w="5895" w:type="dxa"/>
            <w:tcBorders>
              <w:top w:val="nil"/>
              <w:left w:val="nil"/>
              <w:bottom w:val="nil"/>
              <w:right w:val="nil"/>
            </w:tcBorders>
            <w:shd w:val="clear" w:color="auto" w:fill="FFFFFF"/>
            <w:tcMar>
              <w:top w:w="40" w:type="dxa"/>
              <w:left w:w="40" w:type="dxa"/>
              <w:bottom w:w="40" w:type="dxa"/>
              <w:right w:w="40" w:type="dxa"/>
            </w:tcMar>
            <w:vAlign w:val="bottom"/>
          </w:tcPr>
          <w:p w14:paraId="0000072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Emotional eating (TFEQ)</w:t>
            </w:r>
          </w:p>
        </w:tc>
        <w:tc>
          <w:tcPr>
            <w:tcW w:w="3150" w:type="dxa"/>
            <w:tcBorders>
              <w:top w:val="nil"/>
              <w:left w:val="nil"/>
              <w:bottom w:val="nil"/>
              <w:right w:val="nil"/>
            </w:tcBorders>
            <w:tcMar>
              <w:top w:w="40" w:type="dxa"/>
              <w:left w:w="40" w:type="dxa"/>
              <w:bottom w:w="40" w:type="dxa"/>
              <w:right w:w="40" w:type="dxa"/>
            </w:tcMar>
            <w:vAlign w:val="bottom"/>
          </w:tcPr>
          <w:p w14:paraId="0000072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2.9 ± 0.7 (2.7, 3.2)</w:t>
            </w:r>
          </w:p>
        </w:tc>
      </w:tr>
      <w:tr w:rsidR="00CB4215" w14:paraId="47D8F5D9" w14:textId="77777777">
        <w:tc>
          <w:tcPr>
            <w:tcW w:w="5895" w:type="dxa"/>
            <w:tcBorders>
              <w:top w:val="nil"/>
              <w:left w:val="nil"/>
              <w:bottom w:val="nil"/>
              <w:right w:val="nil"/>
            </w:tcBorders>
            <w:tcMar>
              <w:top w:w="40" w:type="dxa"/>
              <w:left w:w="40" w:type="dxa"/>
              <w:bottom w:w="40" w:type="dxa"/>
              <w:right w:w="40" w:type="dxa"/>
            </w:tcMar>
            <w:vAlign w:val="bottom"/>
          </w:tcPr>
          <w:p w14:paraId="0000072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Cognitive restraint (TFEQ)</w:t>
            </w:r>
          </w:p>
        </w:tc>
        <w:tc>
          <w:tcPr>
            <w:tcW w:w="3150" w:type="dxa"/>
            <w:tcBorders>
              <w:top w:val="nil"/>
              <w:left w:val="nil"/>
              <w:bottom w:val="nil"/>
              <w:right w:val="nil"/>
            </w:tcBorders>
            <w:tcMar>
              <w:top w:w="40" w:type="dxa"/>
              <w:left w:w="40" w:type="dxa"/>
              <w:bottom w:w="40" w:type="dxa"/>
              <w:right w:w="40" w:type="dxa"/>
            </w:tcMar>
            <w:vAlign w:val="bottom"/>
          </w:tcPr>
          <w:p w14:paraId="0000073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 ± 0.5 (2.0, 2.4)</w:t>
            </w:r>
          </w:p>
        </w:tc>
      </w:tr>
      <w:tr w:rsidR="00CB4215" w14:paraId="695C7313" w14:textId="77777777">
        <w:tc>
          <w:tcPr>
            <w:tcW w:w="5895" w:type="dxa"/>
            <w:tcBorders>
              <w:top w:val="nil"/>
              <w:left w:val="nil"/>
              <w:bottom w:val="nil"/>
              <w:right w:val="nil"/>
            </w:tcBorders>
            <w:tcMar>
              <w:top w:w="40" w:type="dxa"/>
              <w:left w:w="40" w:type="dxa"/>
              <w:bottom w:w="40" w:type="dxa"/>
              <w:right w:w="40" w:type="dxa"/>
            </w:tcMar>
            <w:vAlign w:val="bottom"/>
          </w:tcPr>
          <w:p w14:paraId="0000073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Satiety responsiveness (AEBQ)</w:t>
            </w:r>
          </w:p>
        </w:tc>
        <w:tc>
          <w:tcPr>
            <w:tcW w:w="3150" w:type="dxa"/>
            <w:tcBorders>
              <w:top w:val="nil"/>
              <w:left w:val="nil"/>
              <w:bottom w:val="nil"/>
              <w:right w:val="nil"/>
            </w:tcBorders>
            <w:tcMar>
              <w:top w:w="40" w:type="dxa"/>
              <w:left w:w="40" w:type="dxa"/>
              <w:bottom w:w="40" w:type="dxa"/>
              <w:right w:w="40" w:type="dxa"/>
            </w:tcMar>
            <w:vAlign w:val="bottom"/>
          </w:tcPr>
          <w:p w14:paraId="0000073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 ± 0.7 (2.3, 2.8)</w:t>
            </w:r>
          </w:p>
        </w:tc>
      </w:tr>
      <w:tr w:rsidR="00CB4215" w14:paraId="1AB799AA" w14:textId="77777777">
        <w:tc>
          <w:tcPr>
            <w:tcW w:w="5895" w:type="dxa"/>
            <w:tcBorders>
              <w:top w:val="nil"/>
              <w:left w:val="nil"/>
              <w:bottom w:val="nil"/>
              <w:right w:val="nil"/>
            </w:tcBorders>
            <w:tcMar>
              <w:top w:w="40" w:type="dxa"/>
              <w:left w:w="40" w:type="dxa"/>
              <w:bottom w:w="40" w:type="dxa"/>
              <w:right w:w="40" w:type="dxa"/>
            </w:tcMar>
            <w:vAlign w:val="bottom"/>
          </w:tcPr>
          <w:p w14:paraId="0000073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Emotional overeating (AEBQ)</w:t>
            </w:r>
          </w:p>
        </w:tc>
        <w:tc>
          <w:tcPr>
            <w:tcW w:w="3150" w:type="dxa"/>
            <w:tcBorders>
              <w:top w:val="nil"/>
              <w:left w:val="nil"/>
              <w:bottom w:val="nil"/>
              <w:right w:val="nil"/>
            </w:tcBorders>
            <w:tcMar>
              <w:top w:w="40" w:type="dxa"/>
              <w:left w:w="40" w:type="dxa"/>
              <w:bottom w:w="40" w:type="dxa"/>
              <w:right w:w="40" w:type="dxa"/>
            </w:tcMar>
            <w:vAlign w:val="bottom"/>
          </w:tcPr>
          <w:p w14:paraId="0000073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3.5 ± 0.9 (3.2, 3.8)</w:t>
            </w:r>
          </w:p>
        </w:tc>
      </w:tr>
      <w:tr w:rsidR="00CB4215" w14:paraId="108EC89B" w14:textId="77777777">
        <w:tc>
          <w:tcPr>
            <w:tcW w:w="5895" w:type="dxa"/>
            <w:tcBorders>
              <w:top w:val="nil"/>
              <w:left w:val="nil"/>
              <w:bottom w:val="nil"/>
              <w:right w:val="nil"/>
            </w:tcBorders>
            <w:tcMar>
              <w:top w:w="40" w:type="dxa"/>
              <w:left w:w="40" w:type="dxa"/>
              <w:bottom w:w="40" w:type="dxa"/>
              <w:right w:w="40" w:type="dxa"/>
            </w:tcMar>
            <w:vAlign w:val="bottom"/>
          </w:tcPr>
          <w:p w14:paraId="0000073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Emotional undereating (AEBQ)</w:t>
            </w:r>
          </w:p>
        </w:tc>
        <w:tc>
          <w:tcPr>
            <w:tcW w:w="3150" w:type="dxa"/>
            <w:tcBorders>
              <w:top w:val="nil"/>
              <w:left w:val="nil"/>
              <w:bottom w:val="nil"/>
              <w:right w:val="nil"/>
            </w:tcBorders>
            <w:tcMar>
              <w:top w:w="40" w:type="dxa"/>
              <w:left w:w="40" w:type="dxa"/>
              <w:bottom w:w="40" w:type="dxa"/>
              <w:right w:w="40" w:type="dxa"/>
            </w:tcMar>
            <w:vAlign w:val="bottom"/>
          </w:tcPr>
          <w:p w14:paraId="0000073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 ± 0.8 (1.9, 2.5)</w:t>
            </w:r>
          </w:p>
        </w:tc>
      </w:tr>
      <w:tr w:rsidR="00CB4215" w14:paraId="50B29E7A" w14:textId="77777777">
        <w:tc>
          <w:tcPr>
            <w:tcW w:w="5895" w:type="dxa"/>
            <w:tcBorders>
              <w:top w:val="nil"/>
              <w:left w:val="nil"/>
              <w:bottom w:val="nil"/>
              <w:right w:val="nil"/>
            </w:tcBorders>
            <w:tcMar>
              <w:top w:w="40" w:type="dxa"/>
              <w:left w:w="40" w:type="dxa"/>
              <w:bottom w:w="40" w:type="dxa"/>
              <w:right w:w="40" w:type="dxa"/>
            </w:tcMar>
            <w:vAlign w:val="bottom"/>
          </w:tcPr>
          <w:p w14:paraId="0000073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Slowness in eating (AEBQ)</w:t>
            </w:r>
          </w:p>
        </w:tc>
        <w:tc>
          <w:tcPr>
            <w:tcW w:w="3150" w:type="dxa"/>
            <w:tcBorders>
              <w:top w:val="nil"/>
              <w:left w:val="nil"/>
              <w:bottom w:val="nil"/>
              <w:right w:val="nil"/>
            </w:tcBorders>
            <w:tcMar>
              <w:top w:w="40" w:type="dxa"/>
              <w:left w:w="40" w:type="dxa"/>
              <w:bottom w:w="40" w:type="dxa"/>
              <w:right w:w="40" w:type="dxa"/>
            </w:tcMar>
            <w:vAlign w:val="bottom"/>
          </w:tcPr>
          <w:p w14:paraId="0000073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2.4 ± 1.1 (1.9, 2.8)</w:t>
            </w:r>
          </w:p>
        </w:tc>
      </w:tr>
      <w:tr w:rsidR="00CB4215" w14:paraId="6F7682B0" w14:textId="77777777">
        <w:tc>
          <w:tcPr>
            <w:tcW w:w="5895" w:type="dxa"/>
            <w:tcBorders>
              <w:top w:val="nil"/>
              <w:left w:val="nil"/>
              <w:bottom w:val="nil"/>
              <w:right w:val="nil"/>
            </w:tcBorders>
            <w:tcMar>
              <w:top w:w="40" w:type="dxa"/>
              <w:left w:w="40" w:type="dxa"/>
              <w:bottom w:w="40" w:type="dxa"/>
              <w:right w:w="40" w:type="dxa"/>
            </w:tcMar>
            <w:vAlign w:val="bottom"/>
          </w:tcPr>
          <w:p w14:paraId="0000073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Enjoyment of food (AEBQ)</w:t>
            </w:r>
          </w:p>
        </w:tc>
        <w:tc>
          <w:tcPr>
            <w:tcW w:w="3150" w:type="dxa"/>
            <w:tcBorders>
              <w:top w:val="nil"/>
              <w:left w:val="nil"/>
              <w:bottom w:val="nil"/>
              <w:right w:val="nil"/>
            </w:tcBorders>
            <w:tcMar>
              <w:top w:w="40" w:type="dxa"/>
              <w:left w:w="40" w:type="dxa"/>
              <w:bottom w:w="40" w:type="dxa"/>
              <w:right w:w="40" w:type="dxa"/>
            </w:tcMar>
            <w:vAlign w:val="bottom"/>
          </w:tcPr>
          <w:p w14:paraId="0000073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4.4 ± 0.7 (4.1, 4.7)</w:t>
            </w:r>
          </w:p>
        </w:tc>
      </w:tr>
      <w:tr w:rsidR="00CB4215" w14:paraId="30808802" w14:textId="77777777">
        <w:tc>
          <w:tcPr>
            <w:tcW w:w="5895" w:type="dxa"/>
            <w:tcBorders>
              <w:top w:val="nil"/>
              <w:left w:val="nil"/>
              <w:bottom w:val="nil"/>
              <w:right w:val="nil"/>
            </w:tcBorders>
            <w:tcMar>
              <w:top w:w="40" w:type="dxa"/>
              <w:left w:w="40" w:type="dxa"/>
              <w:bottom w:w="40" w:type="dxa"/>
              <w:right w:w="40" w:type="dxa"/>
            </w:tcMar>
            <w:vAlign w:val="bottom"/>
          </w:tcPr>
          <w:p w14:paraId="0000073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Food responsiveness (AEBQ)</w:t>
            </w:r>
          </w:p>
        </w:tc>
        <w:tc>
          <w:tcPr>
            <w:tcW w:w="3150" w:type="dxa"/>
            <w:tcBorders>
              <w:top w:val="nil"/>
              <w:left w:val="nil"/>
              <w:bottom w:val="nil"/>
              <w:right w:val="nil"/>
            </w:tcBorders>
            <w:tcMar>
              <w:top w:w="40" w:type="dxa"/>
              <w:left w:w="40" w:type="dxa"/>
              <w:bottom w:w="40" w:type="dxa"/>
              <w:right w:w="40" w:type="dxa"/>
            </w:tcMar>
            <w:vAlign w:val="bottom"/>
          </w:tcPr>
          <w:p w14:paraId="0000073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3.5 ± 0.9 (3.2, 3.8)</w:t>
            </w:r>
          </w:p>
        </w:tc>
      </w:tr>
      <w:tr w:rsidR="00CB4215" w14:paraId="4DEE881F" w14:textId="77777777">
        <w:tc>
          <w:tcPr>
            <w:tcW w:w="5895" w:type="dxa"/>
            <w:tcBorders>
              <w:top w:val="nil"/>
              <w:left w:val="nil"/>
              <w:bottom w:val="single" w:sz="4" w:space="0" w:color="000000"/>
              <w:right w:val="nil"/>
            </w:tcBorders>
            <w:shd w:val="clear" w:color="auto" w:fill="FFFFFF"/>
            <w:tcMar>
              <w:top w:w="40" w:type="dxa"/>
              <w:left w:w="40" w:type="dxa"/>
              <w:bottom w:w="40" w:type="dxa"/>
              <w:right w:w="40" w:type="dxa"/>
            </w:tcMar>
            <w:vAlign w:val="bottom"/>
          </w:tcPr>
          <w:p w14:paraId="0000073D" w14:textId="75AA9F30"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Craving control (C</w:t>
            </w:r>
            <w:r w:rsidR="00577175">
              <w:rPr>
                <w:rFonts w:ascii="Times New Roman" w:eastAsia="Times New Roman" w:hAnsi="Times New Roman" w:cs="Times New Roman"/>
              </w:rPr>
              <w:t>O</w:t>
            </w:r>
            <w:r>
              <w:rPr>
                <w:rFonts w:ascii="Times New Roman" w:eastAsia="Times New Roman" w:hAnsi="Times New Roman" w:cs="Times New Roman"/>
              </w:rPr>
              <w:t>EQ)</w:t>
            </w:r>
          </w:p>
        </w:tc>
        <w:tc>
          <w:tcPr>
            <w:tcW w:w="3150" w:type="dxa"/>
            <w:tcBorders>
              <w:top w:val="nil"/>
              <w:left w:val="nil"/>
              <w:bottom w:val="single" w:sz="4" w:space="0" w:color="000000"/>
              <w:right w:val="nil"/>
            </w:tcBorders>
            <w:tcMar>
              <w:top w:w="40" w:type="dxa"/>
              <w:left w:w="40" w:type="dxa"/>
              <w:bottom w:w="40" w:type="dxa"/>
              <w:right w:w="40" w:type="dxa"/>
            </w:tcMar>
            <w:vAlign w:val="bottom"/>
          </w:tcPr>
          <w:p w14:paraId="0000073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33.7 ± 21.2 (25.8, 41.6)</w:t>
            </w:r>
          </w:p>
        </w:tc>
      </w:tr>
    </w:tbl>
    <w:p w14:paraId="0000073F" w14:textId="54BF7A4E" w:rsidR="00CB4215" w:rsidRDefault="006C356B">
      <w:pPr>
        <w:spacing w:line="240" w:lineRule="auto"/>
        <w:rPr>
          <w:rFonts w:ascii="Times New Roman" w:eastAsia="Times New Roman" w:hAnsi="Times New Roman" w:cs="Times New Roman"/>
          <w:sz w:val="20"/>
          <w:szCs w:val="20"/>
        </w:rPr>
      </w:pPr>
      <w:r w:rsidRPr="006C356B">
        <w:rPr>
          <w:rFonts w:ascii="Times New Roman" w:eastAsia="Times New Roman" w:hAnsi="Times New Roman" w:cs="Times New Roman"/>
          <w:i/>
          <w:iCs/>
          <w:sz w:val="20"/>
          <w:szCs w:val="20"/>
        </w:rPr>
        <w:t>Note</w:t>
      </w:r>
      <w:r>
        <w:rPr>
          <w:rFonts w:ascii="Times New Roman" w:eastAsia="Times New Roman" w:hAnsi="Times New Roman" w:cs="Times New Roman"/>
          <w:sz w:val="20"/>
          <w:szCs w:val="20"/>
        </w:rPr>
        <w:t xml:space="preserve">: </w:t>
      </w:r>
      <w:r w:rsidR="000530B4">
        <w:rPr>
          <w:rFonts w:ascii="Times New Roman" w:eastAsia="Times New Roman" w:hAnsi="Times New Roman" w:cs="Times New Roman"/>
          <w:sz w:val="20"/>
          <w:szCs w:val="20"/>
        </w:rPr>
        <w:t>COEQ = Control of Eating Questionnaire (Dalton et al., 2015); TFEQ = Three Factor Eating Questionnaire, revised version (Karlsson et al., 2000); AEBQ = Adult Eating Behaviour Questionnaire (</w:t>
      </w:r>
      <w:proofErr w:type="spellStart"/>
      <w:r w:rsidR="000530B4">
        <w:rPr>
          <w:rFonts w:ascii="Times New Roman" w:eastAsia="Times New Roman" w:hAnsi="Times New Roman" w:cs="Times New Roman"/>
          <w:sz w:val="20"/>
          <w:szCs w:val="20"/>
        </w:rPr>
        <w:t>Hunot</w:t>
      </w:r>
      <w:proofErr w:type="spellEnd"/>
      <w:r w:rsidR="000530B4">
        <w:rPr>
          <w:rFonts w:ascii="Times New Roman" w:eastAsia="Times New Roman" w:hAnsi="Times New Roman" w:cs="Times New Roman"/>
          <w:sz w:val="20"/>
          <w:szCs w:val="20"/>
        </w:rPr>
        <w:t xml:space="preserve"> et al., 2016).</w:t>
      </w:r>
    </w:p>
    <w:p w14:paraId="00000740" w14:textId="50C3EFF5" w:rsidR="00CB4215" w:rsidRDefault="000530B4">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rPr>
        <w:t>Regular</w:t>
      </w:r>
      <w:proofErr w:type="spellEnd"/>
      <w:r>
        <w:rPr>
          <w:rFonts w:ascii="Times New Roman" w:eastAsia="Times New Roman" w:hAnsi="Times New Roman" w:cs="Times New Roman"/>
          <w:sz w:val="20"/>
          <w:szCs w:val="20"/>
        </w:rPr>
        <w:t xml:space="preserve"> day work refers to work during the daytime, e.g., from 9 AM to 5 PM.</w:t>
      </w:r>
    </w:p>
    <w:p w14:paraId="00000741"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vertAlign w:val="superscript"/>
        </w:rPr>
        <w:t>b</w:t>
      </w:r>
      <w:r>
        <w:rPr>
          <w:rFonts w:ascii="Times New Roman" w:eastAsia="Times New Roman" w:hAnsi="Times New Roman" w:cs="Times New Roman"/>
          <w:sz w:val="20"/>
          <w:szCs w:val="20"/>
        </w:rPr>
        <w:t>Rotating</w:t>
      </w:r>
      <w:proofErr w:type="spellEnd"/>
      <w:r>
        <w:rPr>
          <w:rFonts w:ascii="Times New Roman" w:eastAsia="Times New Roman" w:hAnsi="Times New Roman" w:cs="Times New Roman"/>
          <w:sz w:val="20"/>
          <w:szCs w:val="20"/>
        </w:rPr>
        <w:t xml:space="preserve"> shift work refers to work alternate night and daytime (</w:t>
      </w:r>
      <w:proofErr w:type="spellStart"/>
      <w:r>
        <w:rPr>
          <w:rFonts w:ascii="Times New Roman" w:eastAsia="Times New Roman" w:hAnsi="Times New Roman" w:cs="Times New Roman"/>
          <w:sz w:val="20"/>
          <w:szCs w:val="20"/>
        </w:rPr>
        <w:t>Fujino</w:t>
      </w:r>
      <w:proofErr w:type="spellEnd"/>
      <w:r>
        <w:rPr>
          <w:rFonts w:ascii="Times New Roman" w:eastAsia="Times New Roman" w:hAnsi="Times New Roman" w:cs="Times New Roman"/>
          <w:sz w:val="20"/>
          <w:szCs w:val="20"/>
        </w:rPr>
        <w:t xml:space="preserve"> et al. 2006).</w:t>
      </w:r>
    </w:p>
    <w:p w14:paraId="00000742"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vertAlign w:val="superscript"/>
        </w:rPr>
        <w:t>c</w:t>
      </w:r>
      <w:r>
        <w:rPr>
          <w:rFonts w:ascii="Times New Roman" w:eastAsia="Times New Roman" w:hAnsi="Times New Roman" w:cs="Times New Roman"/>
          <w:sz w:val="20"/>
          <w:szCs w:val="20"/>
        </w:rPr>
        <w:t>n</w:t>
      </w:r>
      <w:proofErr w:type="spellEnd"/>
      <w:r>
        <w:rPr>
          <w:rFonts w:ascii="Times New Roman" w:eastAsia="Times New Roman" w:hAnsi="Times New Roman" w:cs="Times New Roman"/>
          <w:sz w:val="20"/>
          <w:szCs w:val="20"/>
        </w:rPr>
        <w:t xml:space="preserve"> = 29 due to one participant reported not consuming an evening meal.</w:t>
      </w:r>
    </w:p>
    <w:p w14:paraId="00000743" w14:textId="77777777" w:rsidR="00CB4215" w:rsidRDefault="00CB4215">
      <w:pPr>
        <w:spacing w:line="240" w:lineRule="auto"/>
        <w:rPr>
          <w:rFonts w:ascii="Times New Roman" w:eastAsia="Times New Roman" w:hAnsi="Times New Roman" w:cs="Times New Roman"/>
          <w:sz w:val="20"/>
          <w:szCs w:val="20"/>
        </w:rPr>
      </w:pPr>
    </w:p>
    <w:p w14:paraId="00000744"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5.4.2 Correlations between BMI, meal timing and eating behaviour traits</w:t>
      </w:r>
    </w:p>
    <w:p w14:paraId="00000745" w14:textId="77777777" w:rsidR="00CB4215" w:rsidRDefault="00CB4215"/>
    <w:p w14:paraId="00000746" w14:textId="1D23DD1A" w:rsidR="00CB4215" w:rsidRDefault="000530B4">
      <w:pPr>
        <w:spacing w:line="480" w:lineRule="auto"/>
        <w:rPr>
          <w:rFonts w:ascii="Times New Roman" w:eastAsia="Times New Roman" w:hAnsi="Times New Roman" w:cs="Times New Roman"/>
          <w:sz w:val="24"/>
          <w:szCs w:val="24"/>
        </w:rPr>
        <w:sectPr w:rsidR="00CB4215">
          <w:headerReference w:type="default" r:id="rId596"/>
          <w:pgSz w:w="11909" w:h="16834"/>
          <w:pgMar w:top="1440" w:right="1440" w:bottom="1440" w:left="1440" w:header="720" w:footer="720" w:gutter="0"/>
          <w:cols w:space="720"/>
        </w:sectPr>
      </w:pPr>
      <w:r>
        <w:rPr>
          <w:rFonts w:ascii="Times New Roman" w:eastAsia="Times New Roman" w:hAnsi="Times New Roman" w:cs="Times New Roman"/>
          <w:sz w:val="24"/>
          <w:szCs w:val="24"/>
        </w:rPr>
        <w:t>Table 5.3 shows correlations between BMI, meal timing and eating behaviour traits. Results showed that late eating was not significantly associated with higher BMI (</w:t>
      </w:r>
      <w:r>
        <w:rPr>
          <w:rFonts w:ascii="Times New Roman" w:eastAsia="Times New Roman" w:hAnsi="Times New Roman" w:cs="Times New Roman"/>
          <w:i/>
          <w:sz w:val="24"/>
          <w:szCs w:val="24"/>
        </w:rPr>
        <w:t>p</w:t>
      </w:r>
      <w:r w:rsidR="00AC014F">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&gt;</w:t>
      </w:r>
      <w:r w:rsidR="00AC0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.05). However, as expected, late eating was significantly associated with higher scores on uncontrolled eating as measured with TFEQ (r</w:t>
      </w:r>
      <w:r w:rsidR="00AC0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AC0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-.41, </w:t>
      </w:r>
      <w:r>
        <w:rPr>
          <w:rFonts w:ascii="Times New Roman" w:eastAsia="Times New Roman" w:hAnsi="Times New Roman" w:cs="Times New Roman"/>
          <w:i/>
          <w:sz w:val="24"/>
          <w:szCs w:val="24"/>
        </w:rPr>
        <w:t>p</w:t>
      </w:r>
      <w:r w:rsidR="00AC014F">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AC0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.03). No significant associations were found between late eating and other eating behaviour traits, including cognitive restraint, emotional eating, </w:t>
      </w:r>
      <w:r>
        <w:rPr>
          <w:rFonts w:ascii="Times New Roman" w:eastAsia="Times New Roman" w:hAnsi="Times New Roman" w:cs="Times New Roman"/>
          <w:sz w:val="24"/>
          <w:szCs w:val="24"/>
        </w:rPr>
        <w:lastRenderedPageBreak/>
        <w:t xml:space="preserve">emotional overeating and undereating, satiety responsiveness, enjoyment of food, food responsiveness, slowness in eating and craving control (all </w:t>
      </w:r>
      <w:r>
        <w:rPr>
          <w:rFonts w:ascii="Times New Roman" w:eastAsia="Times New Roman" w:hAnsi="Times New Roman" w:cs="Times New Roman"/>
          <w:i/>
          <w:sz w:val="24"/>
          <w:szCs w:val="24"/>
        </w:rPr>
        <w:t>p</w:t>
      </w:r>
      <w:r w:rsidR="00AC014F">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&gt;</w:t>
      </w:r>
      <w:r w:rsidR="00AC0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.05). </w:t>
      </w:r>
    </w:p>
    <w:p w14:paraId="00000747"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i/>
          <w:color w:val="000000"/>
          <w:sz w:val="20"/>
          <w:szCs w:val="20"/>
        </w:rPr>
      </w:pPr>
      <w:bookmarkStart w:id="97" w:name="_heading=h.2250f4o" w:colFirst="0" w:colLast="0"/>
      <w:bookmarkEnd w:id="97"/>
      <w:r>
        <w:rPr>
          <w:rFonts w:ascii="Times New Roman" w:eastAsia="Times New Roman" w:hAnsi="Times New Roman" w:cs="Times New Roman"/>
          <w:i/>
          <w:color w:val="000000"/>
          <w:sz w:val="20"/>
          <w:szCs w:val="20"/>
        </w:rPr>
        <w:lastRenderedPageBreak/>
        <w:t xml:space="preserve">Table 5.3. </w:t>
      </w:r>
      <w:r>
        <w:rPr>
          <w:rFonts w:ascii="Times New Roman" w:eastAsia="Times New Roman" w:hAnsi="Times New Roman" w:cs="Times New Roman"/>
          <w:color w:val="000000"/>
          <w:sz w:val="20"/>
          <w:szCs w:val="20"/>
        </w:rPr>
        <w:t>Correlations between BMI, meal timing and eating behaviour traits.</w:t>
      </w:r>
    </w:p>
    <w:tbl>
      <w:tblPr>
        <w:tblStyle w:val="ad"/>
        <w:tblW w:w="13968" w:type="dxa"/>
        <w:tblBorders>
          <w:insideH w:val="nil"/>
          <w:insideV w:val="nil"/>
        </w:tblBorders>
        <w:tblLayout w:type="fixed"/>
        <w:tblLook w:val="0600" w:firstRow="0" w:lastRow="0" w:firstColumn="0" w:lastColumn="0" w:noHBand="1" w:noVBand="1"/>
      </w:tblPr>
      <w:tblGrid>
        <w:gridCol w:w="3261"/>
        <w:gridCol w:w="850"/>
        <w:gridCol w:w="851"/>
        <w:gridCol w:w="988"/>
        <w:gridCol w:w="1108"/>
        <w:gridCol w:w="1152"/>
        <w:gridCol w:w="1006"/>
        <w:gridCol w:w="1035"/>
        <w:gridCol w:w="787"/>
        <w:gridCol w:w="787"/>
        <w:gridCol w:w="831"/>
        <w:gridCol w:w="802"/>
        <w:gridCol w:w="510"/>
      </w:tblGrid>
      <w:tr w:rsidR="00CB4215" w14:paraId="4CEAF720" w14:textId="77777777" w:rsidTr="009F5CAE">
        <w:trPr>
          <w:trHeight w:val="340"/>
        </w:trPr>
        <w:tc>
          <w:tcPr>
            <w:tcW w:w="3261" w:type="dxa"/>
            <w:tcBorders>
              <w:top w:val="single" w:sz="8" w:space="0" w:color="000000"/>
              <w:left w:val="nil"/>
              <w:bottom w:val="single" w:sz="8" w:space="0" w:color="000000"/>
              <w:right w:val="nil"/>
            </w:tcBorders>
            <w:tcMar>
              <w:top w:w="100" w:type="dxa"/>
              <w:left w:w="100" w:type="dxa"/>
              <w:bottom w:w="100" w:type="dxa"/>
              <w:right w:w="100" w:type="dxa"/>
            </w:tcMar>
          </w:tcPr>
          <w:p w14:paraId="00000748" w14:textId="77777777" w:rsidR="00CB4215" w:rsidRDefault="00CB4215">
            <w:pPr>
              <w:spacing w:line="240" w:lineRule="auto"/>
              <w:rPr>
                <w:rFonts w:ascii="Times New Roman" w:eastAsia="Times New Roman" w:hAnsi="Times New Roman" w:cs="Times New Roman"/>
              </w:rPr>
            </w:pPr>
          </w:p>
        </w:tc>
        <w:tc>
          <w:tcPr>
            <w:tcW w:w="850" w:type="dxa"/>
            <w:tcBorders>
              <w:top w:val="single" w:sz="8" w:space="0" w:color="000000"/>
              <w:left w:val="nil"/>
              <w:bottom w:val="single" w:sz="8" w:space="0" w:color="000000"/>
              <w:right w:val="nil"/>
            </w:tcBorders>
            <w:tcMar>
              <w:top w:w="100" w:type="dxa"/>
              <w:left w:w="100" w:type="dxa"/>
              <w:bottom w:w="100" w:type="dxa"/>
              <w:right w:w="100" w:type="dxa"/>
            </w:tcMar>
          </w:tcPr>
          <w:p w14:paraId="0000074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8" w:space="0" w:color="000000"/>
              <w:left w:val="nil"/>
              <w:bottom w:val="single" w:sz="8" w:space="0" w:color="000000"/>
              <w:right w:val="nil"/>
            </w:tcBorders>
            <w:tcMar>
              <w:top w:w="100" w:type="dxa"/>
              <w:left w:w="100" w:type="dxa"/>
              <w:bottom w:w="100" w:type="dxa"/>
              <w:right w:w="100" w:type="dxa"/>
            </w:tcMar>
          </w:tcPr>
          <w:p w14:paraId="0000074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988" w:type="dxa"/>
            <w:tcBorders>
              <w:top w:val="single" w:sz="8" w:space="0" w:color="000000"/>
              <w:left w:val="nil"/>
              <w:bottom w:val="single" w:sz="8" w:space="0" w:color="000000"/>
              <w:right w:val="nil"/>
            </w:tcBorders>
            <w:tcMar>
              <w:top w:w="100" w:type="dxa"/>
              <w:left w:w="100" w:type="dxa"/>
              <w:bottom w:w="100" w:type="dxa"/>
              <w:right w:w="100" w:type="dxa"/>
            </w:tcMar>
          </w:tcPr>
          <w:p w14:paraId="0000074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1108" w:type="dxa"/>
            <w:tcBorders>
              <w:top w:val="single" w:sz="8" w:space="0" w:color="000000"/>
              <w:left w:val="nil"/>
              <w:bottom w:val="single" w:sz="8" w:space="0" w:color="000000"/>
              <w:right w:val="nil"/>
            </w:tcBorders>
            <w:tcMar>
              <w:top w:w="100" w:type="dxa"/>
              <w:left w:w="100" w:type="dxa"/>
              <w:bottom w:w="100" w:type="dxa"/>
              <w:right w:w="100" w:type="dxa"/>
            </w:tcMar>
          </w:tcPr>
          <w:p w14:paraId="0000074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1152" w:type="dxa"/>
            <w:tcBorders>
              <w:top w:val="single" w:sz="8" w:space="0" w:color="000000"/>
              <w:left w:val="nil"/>
              <w:bottom w:val="single" w:sz="8" w:space="0" w:color="000000"/>
              <w:right w:val="nil"/>
            </w:tcBorders>
            <w:tcMar>
              <w:top w:w="100" w:type="dxa"/>
              <w:left w:w="100" w:type="dxa"/>
              <w:bottom w:w="100" w:type="dxa"/>
              <w:right w:w="100" w:type="dxa"/>
            </w:tcMar>
          </w:tcPr>
          <w:p w14:paraId="0000074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1006" w:type="dxa"/>
            <w:tcBorders>
              <w:top w:val="single" w:sz="8" w:space="0" w:color="000000"/>
              <w:left w:val="nil"/>
              <w:bottom w:val="single" w:sz="8" w:space="0" w:color="000000"/>
              <w:right w:val="nil"/>
            </w:tcBorders>
            <w:tcMar>
              <w:top w:w="100" w:type="dxa"/>
              <w:left w:w="100" w:type="dxa"/>
              <w:bottom w:w="100" w:type="dxa"/>
              <w:right w:w="100" w:type="dxa"/>
            </w:tcMar>
          </w:tcPr>
          <w:p w14:paraId="0000074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tcPr>
          <w:p w14:paraId="0000074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7</w:t>
            </w:r>
          </w:p>
        </w:tc>
        <w:tc>
          <w:tcPr>
            <w:tcW w:w="787" w:type="dxa"/>
            <w:tcBorders>
              <w:top w:val="single" w:sz="8" w:space="0" w:color="000000"/>
              <w:left w:val="nil"/>
              <w:bottom w:val="single" w:sz="8" w:space="0" w:color="000000"/>
              <w:right w:val="nil"/>
            </w:tcBorders>
            <w:tcMar>
              <w:top w:w="100" w:type="dxa"/>
              <w:left w:w="100" w:type="dxa"/>
              <w:bottom w:w="100" w:type="dxa"/>
              <w:right w:w="100" w:type="dxa"/>
            </w:tcMar>
          </w:tcPr>
          <w:p w14:paraId="0000075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8</w:t>
            </w:r>
          </w:p>
        </w:tc>
        <w:tc>
          <w:tcPr>
            <w:tcW w:w="787" w:type="dxa"/>
            <w:tcBorders>
              <w:top w:val="single" w:sz="8" w:space="0" w:color="000000"/>
              <w:left w:val="nil"/>
              <w:bottom w:val="single" w:sz="8" w:space="0" w:color="000000"/>
              <w:right w:val="nil"/>
            </w:tcBorders>
            <w:tcMar>
              <w:top w:w="100" w:type="dxa"/>
              <w:left w:w="100" w:type="dxa"/>
              <w:bottom w:w="100" w:type="dxa"/>
              <w:right w:w="100" w:type="dxa"/>
            </w:tcMar>
          </w:tcPr>
          <w:p w14:paraId="0000075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9</w:t>
            </w:r>
          </w:p>
        </w:tc>
        <w:tc>
          <w:tcPr>
            <w:tcW w:w="831" w:type="dxa"/>
            <w:tcBorders>
              <w:top w:val="single" w:sz="8" w:space="0" w:color="000000"/>
              <w:left w:val="nil"/>
              <w:bottom w:val="single" w:sz="8" w:space="0" w:color="000000"/>
              <w:right w:val="nil"/>
            </w:tcBorders>
            <w:tcMar>
              <w:top w:w="100" w:type="dxa"/>
              <w:left w:w="100" w:type="dxa"/>
              <w:bottom w:w="100" w:type="dxa"/>
              <w:right w:w="100" w:type="dxa"/>
            </w:tcMar>
          </w:tcPr>
          <w:p w14:paraId="0000075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802" w:type="dxa"/>
            <w:tcBorders>
              <w:top w:val="single" w:sz="8" w:space="0" w:color="000000"/>
              <w:left w:val="nil"/>
              <w:bottom w:val="single" w:sz="8" w:space="0" w:color="000000"/>
              <w:right w:val="nil"/>
            </w:tcBorders>
            <w:tcMar>
              <w:top w:w="100" w:type="dxa"/>
              <w:left w:w="100" w:type="dxa"/>
              <w:bottom w:w="100" w:type="dxa"/>
              <w:right w:w="100" w:type="dxa"/>
            </w:tcMar>
          </w:tcPr>
          <w:p w14:paraId="0000075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11</w:t>
            </w:r>
          </w:p>
        </w:tc>
        <w:tc>
          <w:tcPr>
            <w:tcW w:w="510" w:type="dxa"/>
            <w:tcBorders>
              <w:top w:val="single" w:sz="8" w:space="0" w:color="000000"/>
              <w:left w:val="nil"/>
              <w:bottom w:val="single" w:sz="8" w:space="0" w:color="000000"/>
              <w:right w:val="nil"/>
            </w:tcBorders>
            <w:tcMar>
              <w:top w:w="100" w:type="dxa"/>
              <w:left w:w="100" w:type="dxa"/>
              <w:bottom w:w="100" w:type="dxa"/>
              <w:right w:w="100" w:type="dxa"/>
            </w:tcMar>
          </w:tcPr>
          <w:p w14:paraId="0000075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12</w:t>
            </w:r>
          </w:p>
        </w:tc>
      </w:tr>
      <w:tr w:rsidR="00CB4215" w14:paraId="6D175AFE" w14:textId="77777777" w:rsidTr="009F5CAE">
        <w:trPr>
          <w:trHeight w:val="62"/>
        </w:trPr>
        <w:tc>
          <w:tcPr>
            <w:tcW w:w="3261" w:type="dxa"/>
            <w:tcBorders>
              <w:top w:val="single" w:sz="8" w:space="0" w:color="000000"/>
              <w:left w:val="nil"/>
              <w:bottom w:val="nil"/>
              <w:right w:val="nil"/>
            </w:tcBorders>
            <w:tcMar>
              <w:top w:w="100" w:type="dxa"/>
              <w:left w:w="100" w:type="dxa"/>
              <w:bottom w:w="100" w:type="dxa"/>
              <w:right w:w="100" w:type="dxa"/>
            </w:tcMar>
          </w:tcPr>
          <w:p w14:paraId="0000075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 BMI</w:t>
            </w:r>
          </w:p>
        </w:tc>
        <w:tc>
          <w:tcPr>
            <w:tcW w:w="850" w:type="dxa"/>
            <w:tcBorders>
              <w:top w:val="single" w:sz="8" w:space="0" w:color="000000"/>
              <w:left w:val="nil"/>
              <w:bottom w:val="nil"/>
              <w:right w:val="nil"/>
            </w:tcBorders>
            <w:tcMar>
              <w:top w:w="100" w:type="dxa"/>
              <w:left w:w="100" w:type="dxa"/>
              <w:bottom w:w="100" w:type="dxa"/>
              <w:right w:w="100" w:type="dxa"/>
            </w:tcMar>
          </w:tcPr>
          <w:p w14:paraId="0000075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1" w:type="dxa"/>
            <w:tcBorders>
              <w:top w:val="single" w:sz="8" w:space="0" w:color="000000"/>
              <w:left w:val="nil"/>
              <w:bottom w:val="nil"/>
              <w:right w:val="nil"/>
            </w:tcBorders>
            <w:tcMar>
              <w:top w:w="100" w:type="dxa"/>
              <w:left w:w="100" w:type="dxa"/>
              <w:bottom w:w="100" w:type="dxa"/>
              <w:right w:w="100" w:type="dxa"/>
            </w:tcMar>
          </w:tcPr>
          <w:p w14:paraId="0000075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88" w:type="dxa"/>
            <w:tcBorders>
              <w:top w:val="single" w:sz="8" w:space="0" w:color="000000"/>
              <w:left w:val="nil"/>
              <w:bottom w:val="nil"/>
              <w:right w:val="nil"/>
            </w:tcBorders>
            <w:tcMar>
              <w:top w:w="100" w:type="dxa"/>
              <w:left w:w="100" w:type="dxa"/>
              <w:bottom w:w="100" w:type="dxa"/>
              <w:right w:w="100" w:type="dxa"/>
            </w:tcMar>
          </w:tcPr>
          <w:p w14:paraId="0000075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108" w:type="dxa"/>
            <w:tcBorders>
              <w:top w:val="single" w:sz="8" w:space="0" w:color="000000"/>
              <w:left w:val="nil"/>
              <w:bottom w:val="nil"/>
              <w:right w:val="nil"/>
            </w:tcBorders>
            <w:tcMar>
              <w:top w:w="100" w:type="dxa"/>
              <w:left w:w="100" w:type="dxa"/>
              <w:bottom w:w="100" w:type="dxa"/>
              <w:right w:w="100" w:type="dxa"/>
            </w:tcMar>
          </w:tcPr>
          <w:p w14:paraId="0000075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152" w:type="dxa"/>
            <w:tcBorders>
              <w:top w:val="single" w:sz="8" w:space="0" w:color="000000"/>
              <w:left w:val="nil"/>
              <w:bottom w:val="nil"/>
              <w:right w:val="nil"/>
            </w:tcBorders>
            <w:tcMar>
              <w:top w:w="100" w:type="dxa"/>
              <w:left w:w="100" w:type="dxa"/>
              <w:bottom w:w="100" w:type="dxa"/>
              <w:right w:w="100" w:type="dxa"/>
            </w:tcMar>
          </w:tcPr>
          <w:p w14:paraId="0000075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06" w:type="dxa"/>
            <w:tcBorders>
              <w:top w:val="single" w:sz="8" w:space="0" w:color="000000"/>
              <w:left w:val="nil"/>
              <w:bottom w:val="nil"/>
              <w:right w:val="nil"/>
            </w:tcBorders>
            <w:tcMar>
              <w:top w:w="100" w:type="dxa"/>
              <w:left w:w="100" w:type="dxa"/>
              <w:bottom w:w="100" w:type="dxa"/>
              <w:right w:w="100" w:type="dxa"/>
            </w:tcMar>
          </w:tcPr>
          <w:p w14:paraId="0000075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35" w:type="dxa"/>
            <w:tcBorders>
              <w:top w:val="single" w:sz="8" w:space="0" w:color="000000"/>
              <w:left w:val="nil"/>
              <w:bottom w:val="nil"/>
              <w:right w:val="nil"/>
            </w:tcBorders>
            <w:tcMar>
              <w:top w:w="100" w:type="dxa"/>
              <w:left w:w="100" w:type="dxa"/>
              <w:bottom w:w="100" w:type="dxa"/>
              <w:right w:w="100" w:type="dxa"/>
            </w:tcMar>
          </w:tcPr>
          <w:p w14:paraId="0000075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787" w:type="dxa"/>
            <w:tcBorders>
              <w:top w:val="single" w:sz="8" w:space="0" w:color="000000"/>
              <w:left w:val="nil"/>
              <w:bottom w:val="nil"/>
              <w:right w:val="nil"/>
            </w:tcBorders>
            <w:tcMar>
              <w:top w:w="100" w:type="dxa"/>
              <w:left w:w="100" w:type="dxa"/>
              <w:bottom w:w="100" w:type="dxa"/>
              <w:right w:w="100" w:type="dxa"/>
            </w:tcMar>
          </w:tcPr>
          <w:p w14:paraId="0000075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787" w:type="dxa"/>
            <w:tcBorders>
              <w:top w:val="single" w:sz="8" w:space="0" w:color="000000"/>
              <w:left w:val="nil"/>
              <w:bottom w:val="nil"/>
              <w:right w:val="nil"/>
            </w:tcBorders>
            <w:tcMar>
              <w:top w:w="100" w:type="dxa"/>
              <w:left w:w="100" w:type="dxa"/>
              <w:bottom w:w="100" w:type="dxa"/>
              <w:right w:w="100" w:type="dxa"/>
            </w:tcMar>
          </w:tcPr>
          <w:p w14:paraId="0000075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31" w:type="dxa"/>
            <w:tcBorders>
              <w:top w:val="single" w:sz="8" w:space="0" w:color="000000"/>
              <w:left w:val="nil"/>
              <w:bottom w:val="nil"/>
              <w:right w:val="nil"/>
            </w:tcBorders>
            <w:tcMar>
              <w:top w:w="100" w:type="dxa"/>
              <w:left w:w="100" w:type="dxa"/>
              <w:bottom w:w="100" w:type="dxa"/>
              <w:right w:w="100" w:type="dxa"/>
            </w:tcMar>
          </w:tcPr>
          <w:p w14:paraId="0000075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02" w:type="dxa"/>
            <w:tcBorders>
              <w:top w:val="single" w:sz="8" w:space="0" w:color="000000"/>
              <w:left w:val="nil"/>
              <w:bottom w:val="nil"/>
              <w:right w:val="nil"/>
            </w:tcBorders>
            <w:tcMar>
              <w:top w:w="100" w:type="dxa"/>
              <w:left w:w="100" w:type="dxa"/>
              <w:bottom w:w="100" w:type="dxa"/>
              <w:right w:w="100" w:type="dxa"/>
            </w:tcMar>
          </w:tcPr>
          <w:p w14:paraId="00000760" w14:textId="77777777" w:rsidR="00CB4215" w:rsidRDefault="00CB4215">
            <w:pPr>
              <w:spacing w:line="240" w:lineRule="auto"/>
              <w:rPr>
                <w:rFonts w:ascii="Times New Roman" w:eastAsia="Times New Roman" w:hAnsi="Times New Roman" w:cs="Times New Roman"/>
              </w:rPr>
            </w:pPr>
          </w:p>
        </w:tc>
        <w:tc>
          <w:tcPr>
            <w:tcW w:w="510" w:type="dxa"/>
            <w:tcBorders>
              <w:top w:val="single" w:sz="8" w:space="0" w:color="000000"/>
              <w:left w:val="nil"/>
              <w:bottom w:val="nil"/>
              <w:right w:val="nil"/>
            </w:tcBorders>
            <w:tcMar>
              <w:top w:w="100" w:type="dxa"/>
              <w:left w:w="100" w:type="dxa"/>
              <w:bottom w:w="100" w:type="dxa"/>
              <w:right w:w="100" w:type="dxa"/>
            </w:tcMar>
          </w:tcPr>
          <w:p w14:paraId="00000761" w14:textId="77777777" w:rsidR="00CB4215" w:rsidRDefault="00CB4215">
            <w:pPr>
              <w:spacing w:line="240" w:lineRule="auto"/>
              <w:rPr>
                <w:rFonts w:ascii="Times New Roman" w:eastAsia="Times New Roman" w:hAnsi="Times New Roman" w:cs="Times New Roman"/>
              </w:rPr>
            </w:pPr>
          </w:p>
        </w:tc>
      </w:tr>
      <w:tr w:rsidR="00CB4215" w14:paraId="340AB058" w14:textId="77777777" w:rsidTr="009F5CAE">
        <w:trPr>
          <w:trHeight w:val="32"/>
        </w:trPr>
        <w:tc>
          <w:tcPr>
            <w:tcW w:w="3261" w:type="dxa"/>
            <w:tcBorders>
              <w:top w:val="nil"/>
              <w:left w:val="nil"/>
              <w:bottom w:val="nil"/>
              <w:right w:val="nil"/>
            </w:tcBorders>
            <w:tcMar>
              <w:top w:w="100" w:type="dxa"/>
              <w:left w:w="100" w:type="dxa"/>
              <w:bottom w:w="100" w:type="dxa"/>
              <w:right w:w="100" w:type="dxa"/>
            </w:tcMar>
          </w:tcPr>
          <w:p w14:paraId="0000076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 Last eating episode time</w:t>
            </w:r>
          </w:p>
        </w:tc>
        <w:tc>
          <w:tcPr>
            <w:tcW w:w="850" w:type="dxa"/>
            <w:tcBorders>
              <w:top w:val="nil"/>
              <w:left w:val="nil"/>
              <w:bottom w:val="nil"/>
              <w:right w:val="nil"/>
            </w:tcBorders>
            <w:tcMar>
              <w:top w:w="100" w:type="dxa"/>
              <w:left w:w="100" w:type="dxa"/>
              <w:bottom w:w="100" w:type="dxa"/>
              <w:right w:w="100" w:type="dxa"/>
            </w:tcMar>
          </w:tcPr>
          <w:p w14:paraId="0000076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851" w:type="dxa"/>
            <w:tcBorders>
              <w:top w:val="nil"/>
              <w:left w:val="nil"/>
              <w:bottom w:val="nil"/>
              <w:right w:val="nil"/>
            </w:tcBorders>
            <w:tcMar>
              <w:top w:w="100" w:type="dxa"/>
              <w:left w:w="100" w:type="dxa"/>
              <w:bottom w:w="100" w:type="dxa"/>
              <w:right w:w="100" w:type="dxa"/>
            </w:tcMar>
          </w:tcPr>
          <w:p w14:paraId="00000764" w14:textId="77777777" w:rsidR="00CB4215" w:rsidRDefault="00CB4215">
            <w:pPr>
              <w:spacing w:line="240" w:lineRule="auto"/>
              <w:rPr>
                <w:rFonts w:ascii="Times New Roman" w:eastAsia="Times New Roman" w:hAnsi="Times New Roman" w:cs="Times New Roman"/>
              </w:rPr>
            </w:pPr>
          </w:p>
        </w:tc>
        <w:tc>
          <w:tcPr>
            <w:tcW w:w="988" w:type="dxa"/>
            <w:tcBorders>
              <w:top w:val="nil"/>
              <w:left w:val="nil"/>
              <w:bottom w:val="nil"/>
              <w:right w:val="nil"/>
            </w:tcBorders>
            <w:tcMar>
              <w:top w:w="100" w:type="dxa"/>
              <w:left w:w="100" w:type="dxa"/>
              <w:bottom w:w="100" w:type="dxa"/>
              <w:right w:w="100" w:type="dxa"/>
            </w:tcMar>
          </w:tcPr>
          <w:p w14:paraId="00000765" w14:textId="77777777" w:rsidR="00CB4215" w:rsidRDefault="00CB4215">
            <w:pPr>
              <w:spacing w:line="240" w:lineRule="auto"/>
              <w:rPr>
                <w:rFonts w:ascii="Times New Roman" w:eastAsia="Times New Roman" w:hAnsi="Times New Roman" w:cs="Times New Roman"/>
              </w:rPr>
            </w:pPr>
          </w:p>
        </w:tc>
        <w:tc>
          <w:tcPr>
            <w:tcW w:w="1108" w:type="dxa"/>
            <w:tcBorders>
              <w:top w:val="nil"/>
              <w:left w:val="nil"/>
              <w:bottom w:val="nil"/>
              <w:right w:val="nil"/>
            </w:tcBorders>
            <w:tcMar>
              <w:top w:w="100" w:type="dxa"/>
              <w:left w:w="100" w:type="dxa"/>
              <w:bottom w:w="100" w:type="dxa"/>
              <w:right w:w="100" w:type="dxa"/>
            </w:tcMar>
          </w:tcPr>
          <w:p w14:paraId="00000766" w14:textId="77777777" w:rsidR="00CB4215" w:rsidRDefault="00CB4215">
            <w:pPr>
              <w:spacing w:line="240" w:lineRule="auto"/>
              <w:rPr>
                <w:rFonts w:ascii="Times New Roman" w:eastAsia="Times New Roman" w:hAnsi="Times New Roman" w:cs="Times New Roman"/>
              </w:rPr>
            </w:pPr>
          </w:p>
        </w:tc>
        <w:tc>
          <w:tcPr>
            <w:tcW w:w="1152" w:type="dxa"/>
            <w:tcBorders>
              <w:top w:val="nil"/>
              <w:left w:val="nil"/>
              <w:bottom w:val="nil"/>
              <w:right w:val="nil"/>
            </w:tcBorders>
            <w:tcMar>
              <w:top w:w="100" w:type="dxa"/>
              <w:left w:w="100" w:type="dxa"/>
              <w:bottom w:w="100" w:type="dxa"/>
              <w:right w:w="100" w:type="dxa"/>
            </w:tcMar>
          </w:tcPr>
          <w:p w14:paraId="00000767" w14:textId="77777777" w:rsidR="00CB4215" w:rsidRDefault="00CB4215">
            <w:pPr>
              <w:spacing w:line="240" w:lineRule="auto"/>
              <w:rPr>
                <w:rFonts w:ascii="Times New Roman" w:eastAsia="Times New Roman" w:hAnsi="Times New Roman" w:cs="Times New Roman"/>
              </w:rPr>
            </w:pPr>
          </w:p>
        </w:tc>
        <w:tc>
          <w:tcPr>
            <w:tcW w:w="1006" w:type="dxa"/>
            <w:tcBorders>
              <w:top w:val="nil"/>
              <w:left w:val="nil"/>
              <w:bottom w:val="nil"/>
              <w:right w:val="nil"/>
            </w:tcBorders>
            <w:tcMar>
              <w:top w:w="100" w:type="dxa"/>
              <w:left w:w="100" w:type="dxa"/>
              <w:bottom w:w="100" w:type="dxa"/>
              <w:right w:w="100" w:type="dxa"/>
            </w:tcMar>
          </w:tcPr>
          <w:p w14:paraId="00000768" w14:textId="77777777" w:rsidR="00CB4215" w:rsidRDefault="00CB4215">
            <w:pPr>
              <w:spacing w:line="240" w:lineRule="auto"/>
              <w:rPr>
                <w:rFonts w:ascii="Times New Roman" w:eastAsia="Times New Roman" w:hAnsi="Times New Roman" w:cs="Times New Roman"/>
              </w:rPr>
            </w:pPr>
          </w:p>
        </w:tc>
        <w:tc>
          <w:tcPr>
            <w:tcW w:w="1035" w:type="dxa"/>
            <w:tcBorders>
              <w:top w:val="nil"/>
              <w:left w:val="nil"/>
              <w:bottom w:val="nil"/>
              <w:right w:val="nil"/>
            </w:tcBorders>
            <w:tcMar>
              <w:top w:w="100" w:type="dxa"/>
              <w:left w:w="100" w:type="dxa"/>
              <w:bottom w:w="100" w:type="dxa"/>
              <w:right w:w="100" w:type="dxa"/>
            </w:tcMar>
          </w:tcPr>
          <w:p w14:paraId="00000769"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6A"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6B" w14:textId="77777777" w:rsidR="00CB4215" w:rsidRDefault="00CB4215">
            <w:pPr>
              <w:spacing w:line="240" w:lineRule="auto"/>
              <w:rPr>
                <w:rFonts w:ascii="Times New Roman" w:eastAsia="Times New Roman" w:hAnsi="Times New Roman" w:cs="Times New Roman"/>
              </w:rPr>
            </w:pPr>
          </w:p>
        </w:tc>
        <w:tc>
          <w:tcPr>
            <w:tcW w:w="831" w:type="dxa"/>
            <w:tcBorders>
              <w:top w:val="nil"/>
              <w:left w:val="nil"/>
              <w:bottom w:val="nil"/>
              <w:right w:val="nil"/>
            </w:tcBorders>
            <w:tcMar>
              <w:top w:w="100" w:type="dxa"/>
              <w:left w:w="100" w:type="dxa"/>
              <w:bottom w:w="100" w:type="dxa"/>
              <w:right w:w="100" w:type="dxa"/>
            </w:tcMar>
          </w:tcPr>
          <w:p w14:paraId="0000076C" w14:textId="77777777" w:rsidR="00CB4215" w:rsidRDefault="00CB4215">
            <w:pPr>
              <w:spacing w:line="240" w:lineRule="auto"/>
              <w:rPr>
                <w:rFonts w:ascii="Times New Roman" w:eastAsia="Times New Roman" w:hAnsi="Times New Roman" w:cs="Times New Roman"/>
              </w:rPr>
            </w:pPr>
          </w:p>
        </w:tc>
        <w:tc>
          <w:tcPr>
            <w:tcW w:w="802" w:type="dxa"/>
            <w:tcBorders>
              <w:top w:val="nil"/>
              <w:left w:val="nil"/>
              <w:bottom w:val="nil"/>
              <w:right w:val="nil"/>
            </w:tcBorders>
            <w:tcMar>
              <w:top w:w="100" w:type="dxa"/>
              <w:left w:w="100" w:type="dxa"/>
              <w:bottom w:w="100" w:type="dxa"/>
              <w:right w:w="100" w:type="dxa"/>
            </w:tcMar>
          </w:tcPr>
          <w:p w14:paraId="0000076D"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76E" w14:textId="77777777" w:rsidR="00CB4215" w:rsidRDefault="00CB4215">
            <w:pPr>
              <w:spacing w:line="240" w:lineRule="auto"/>
              <w:rPr>
                <w:rFonts w:ascii="Times New Roman" w:eastAsia="Times New Roman" w:hAnsi="Times New Roman" w:cs="Times New Roman"/>
              </w:rPr>
            </w:pPr>
          </w:p>
        </w:tc>
      </w:tr>
      <w:tr w:rsidR="00CB4215" w14:paraId="191BF35E" w14:textId="77777777" w:rsidTr="009F5CAE">
        <w:trPr>
          <w:trHeight w:val="25"/>
        </w:trPr>
        <w:tc>
          <w:tcPr>
            <w:tcW w:w="3261" w:type="dxa"/>
            <w:tcBorders>
              <w:top w:val="nil"/>
              <w:left w:val="nil"/>
              <w:bottom w:val="nil"/>
              <w:right w:val="nil"/>
            </w:tcBorders>
            <w:tcMar>
              <w:top w:w="100" w:type="dxa"/>
              <w:left w:w="100" w:type="dxa"/>
              <w:bottom w:w="100" w:type="dxa"/>
              <w:right w:w="100" w:type="dxa"/>
            </w:tcMar>
          </w:tcPr>
          <w:p w14:paraId="0000076F" w14:textId="492A74C3"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 TFEQ-</w:t>
            </w:r>
            <w:r w:rsidR="00B64CA5" w:rsidRPr="00B64CA5">
              <w:rPr>
                <w:rFonts w:ascii="Times New Roman" w:eastAsia="Times New Roman" w:hAnsi="Times New Roman" w:cs="Times New Roman"/>
                <w:sz w:val="20"/>
                <w:szCs w:val="20"/>
              </w:rPr>
              <w:t xml:space="preserve"> </w:t>
            </w:r>
            <w:r w:rsidR="00B64CA5">
              <w:rPr>
                <w:rFonts w:ascii="Times New Roman" w:eastAsia="Times New Roman" w:hAnsi="Times New Roman" w:cs="Times New Roman"/>
              </w:rPr>
              <w:t>c</w:t>
            </w:r>
            <w:r w:rsidR="00B64CA5" w:rsidRPr="00B64CA5">
              <w:rPr>
                <w:rFonts w:ascii="Times New Roman" w:eastAsia="Times New Roman" w:hAnsi="Times New Roman" w:cs="Times New Roman"/>
              </w:rPr>
              <w:t>ognitive restraint</w:t>
            </w:r>
          </w:p>
        </w:tc>
        <w:tc>
          <w:tcPr>
            <w:tcW w:w="850" w:type="dxa"/>
            <w:tcBorders>
              <w:top w:val="nil"/>
              <w:left w:val="nil"/>
              <w:bottom w:val="nil"/>
              <w:right w:val="nil"/>
            </w:tcBorders>
            <w:tcMar>
              <w:top w:w="100" w:type="dxa"/>
              <w:left w:w="100" w:type="dxa"/>
              <w:bottom w:w="100" w:type="dxa"/>
              <w:right w:w="100" w:type="dxa"/>
            </w:tcMar>
          </w:tcPr>
          <w:p w14:paraId="0000077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-.36</w:t>
            </w:r>
          </w:p>
        </w:tc>
        <w:tc>
          <w:tcPr>
            <w:tcW w:w="851" w:type="dxa"/>
            <w:tcBorders>
              <w:top w:val="nil"/>
              <w:left w:val="nil"/>
              <w:bottom w:val="nil"/>
              <w:right w:val="nil"/>
            </w:tcBorders>
            <w:tcMar>
              <w:top w:w="100" w:type="dxa"/>
              <w:left w:w="100" w:type="dxa"/>
              <w:bottom w:w="100" w:type="dxa"/>
              <w:right w:w="100" w:type="dxa"/>
            </w:tcMar>
          </w:tcPr>
          <w:p w14:paraId="0000077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-.32</w:t>
            </w:r>
          </w:p>
        </w:tc>
        <w:tc>
          <w:tcPr>
            <w:tcW w:w="988" w:type="dxa"/>
            <w:tcBorders>
              <w:top w:val="nil"/>
              <w:left w:val="nil"/>
              <w:bottom w:val="nil"/>
              <w:right w:val="nil"/>
            </w:tcBorders>
            <w:tcMar>
              <w:top w:w="100" w:type="dxa"/>
              <w:left w:w="100" w:type="dxa"/>
              <w:bottom w:w="100" w:type="dxa"/>
              <w:right w:w="100" w:type="dxa"/>
            </w:tcMar>
          </w:tcPr>
          <w:p w14:paraId="00000772" w14:textId="77777777" w:rsidR="00CB4215" w:rsidRDefault="00CB4215">
            <w:pPr>
              <w:spacing w:line="240" w:lineRule="auto"/>
              <w:rPr>
                <w:rFonts w:ascii="Times New Roman" w:eastAsia="Times New Roman" w:hAnsi="Times New Roman" w:cs="Times New Roman"/>
              </w:rPr>
            </w:pPr>
          </w:p>
        </w:tc>
        <w:tc>
          <w:tcPr>
            <w:tcW w:w="1108" w:type="dxa"/>
            <w:tcBorders>
              <w:top w:val="nil"/>
              <w:left w:val="nil"/>
              <w:bottom w:val="nil"/>
              <w:right w:val="nil"/>
            </w:tcBorders>
            <w:tcMar>
              <w:top w:w="100" w:type="dxa"/>
              <w:left w:w="100" w:type="dxa"/>
              <w:bottom w:w="100" w:type="dxa"/>
              <w:right w:w="100" w:type="dxa"/>
            </w:tcMar>
          </w:tcPr>
          <w:p w14:paraId="00000773" w14:textId="77777777" w:rsidR="00CB4215" w:rsidRDefault="00CB4215">
            <w:pPr>
              <w:spacing w:line="240" w:lineRule="auto"/>
              <w:rPr>
                <w:rFonts w:ascii="Times New Roman" w:eastAsia="Times New Roman" w:hAnsi="Times New Roman" w:cs="Times New Roman"/>
              </w:rPr>
            </w:pPr>
          </w:p>
        </w:tc>
        <w:tc>
          <w:tcPr>
            <w:tcW w:w="1152" w:type="dxa"/>
            <w:tcBorders>
              <w:top w:val="nil"/>
              <w:left w:val="nil"/>
              <w:bottom w:val="nil"/>
              <w:right w:val="nil"/>
            </w:tcBorders>
            <w:tcMar>
              <w:top w:w="100" w:type="dxa"/>
              <w:left w:w="100" w:type="dxa"/>
              <w:bottom w:w="100" w:type="dxa"/>
              <w:right w:w="100" w:type="dxa"/>
            </w:tcMar>
          </w:tcPr>
          <w:p w14:paraId="00000774" w14:textId="77777777" w:rsidR="00CB4215" w:rsidRDefault="00CB4215">
            <w:pPr>
              <w:spacing w:line="240" w:lineRule="auto"/>
              <w:rPr>
                <w:rFonts w:ascii="Times New Roman" w:eastAsia="Times New Roman" w:hAnsi="Times New Roman" w:cs="Times New Roman"/>
              </w:rPr>
            </w:pPr>
          </w:p>
        </w:tc>
        <w:tc>
          <w:tcPr>
            <w:tcW w:w="1006" w:type="dxa"/>
            <w:tcBorders>
              <w:top w:val="nil"/>
              <w:left w:val="nil"/>
              <w:bottom w:val="nil"/>
              <w:right w:val="nil"/>
            </w:tcBorders>
            <w:tcMar>
              <w:top w:w="100" w:type="dxa"/>
              <w:left w:w="100" w:type="dxa"/>
              <w:bottom w:w="100" w:type="dxa"/>
              <w:right w:w="100" w:type="dxa"/>
            </w:tcMar>
          </w:tcPr>
          <w:p w14:paraId="00000775" w14:textId="77777777" w:rsidR="00CB4215" w:rsidRDefault="00CB4215">
            <w:pPr>
              <w:spacing w:line="240" w:lineRule="auto"/>
              <w:rPr>
                <w:rFonts w:ascii="Times New Roman" w:eastAsia="Times New Roman" w:hAnsi="Times New Roman" w:cs="Times New Roman"/>
              </w:rPr>
            </w:pPr>
          </w:p>
        </w:tc>
        <w:tc>
          <w:tcPr>
            <w:tcW w:w="1035" w:type="dxa"/>
            <w:tcBorders>
              <w:top w:val="nil"/>
              <w:left w:val="nil"/>
              <w:bottom w:val="nil"/>
              <w:right w:val="nil"/>
            </w:tcBorders>
            <w:tcMar>
              <w:top w:w="100" w:type="dxa"/>
              <w:left w:w="100" w:type="dxa"/>
              <w:bottom w:w="100" w:type="dxa"/>
              <w:right w:w="100" w:type="dxa"/>
            </w:tcMar>
          </w:tcPr>
          <w:p w14:paraId="00000776"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77"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78" w14:textId="77777777" w:rsidR="00CB4215" w:rsidRDefault="00CB4215">
            <w:pPr>
              <w:spacing w:line="240" w:lineRule="auto"/>
              <w:rPr>
                <w:rFonts w:ascii="Times New Roman" w:eastAsia="Times New Roman" w:hAnsi="Times New Roman" w:cs="Times New Roman"/>
              </w:rPr>
            </w:pPr>
          </w:p>
        </w:tc>
        <w:tc>
          <w:tcPr>
            <w:tcW w:w="831" w:type="dxa"/>
            <w:tcBorders>
              <w:top w:val="nil"/>
              <w:left w:val="nil"/>
              <w:bottom w:val="nil"/>
              <w:right w:val="nil"/>
            </w:tcBorders>
            <w:tcMar>
              <w:top w:w="100" w:type="dxa"/>
              <w:left w:w="100" w:type="dxa"/>
              <w:bottom w:w="100" w:type="dxa"/>
              <w:right w:w="100" w:type="dxa"/>
            </w:tcMar>
          </w:tcPr>
          <w:p w14:paraId="00000779" w14:textId="77777777" w:rsidR="00CB4215" w:rsidRDefault="00CB4215">
            <w:pPr>
              <w:spacing w:line="240" w:lineRule="auto"/>
              <w:rPr>
                <w:rFonts w:ascii="Times New Roman" w:eastAsia="Times New Roman" w:hAnsi="Times New Roman" w:cs="Times New Roman"/>
              </w:rPr>
            </w:pPr>
          </w:p>
        </w:tc>
        <w:tc>
          <w:tcPr>
            <w:tcW w:w="802" w:type="dxa"/>
            <w:tcBorders>
              <w:top w:val="nil"/>
              <w:left w:val="nil"/>
              <w:bottom w:val="nil"/>
              <w:right w:val="nil"/>
            </w:tcBorders>
            <w:tcMar>
              <w:top w:w="100" w:type="dxa"/>
              <w:left w:w="100" w:type="dxa"/>
              <w:bottom w:w="100" w:type="dxa"/>
              <w:right w:w="100" w:type="dxa"/>
            </w:tcMar>
          </w:tcPr>
          <w:p w14:paraId="0000077A"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77B" w14:textId="77777777" w:rsidR="00CB4215" w:rsidRDefault="00CB4215">
            <w:pPr>
              <w:spacing w:line="240" w:lineRule="auto"/>
              <w:rPr>
                <w:rFonts w:ascii="Times New Roman" w:eastAsia="Times New Roman" w:hAnsi="Times New Roman" w:cs="Times New Roman"/>
              </w:rPr>
            </w:pPr>
          </w:p>
        </w:tc>
      </w:tr>
      <w:tr w:rsidR="00CB4215" w14:paraId="605416FE" w14:textId="77777777" w:rsidTr="009F5CAE">
        <w:trPr>
          <w:trHeight w:val="25"/>
        </w:trPr>
        <w:tc>
          <w:tcPr>
            <w:tcW w:w="3261" w:type="dxa"/>
            <w:tcBorders>
              <w:top w:val="nil"/>
              <w:left w:val="nil"/>
              <w:bottom w:val="nil"/>
              <w:right w:val="nil"/>
            </w:tcBorders>
            <w:tcMar>
              <w:top w:w="100" w:type="dxa"/>
              <w:left w:w="100" w:type="dxa"/>
              <w:bottom w:w="100" w:type="dxa"/>
              <w:right w:w="100" w:type="dxa"/>
            </w:tcMar>
          </w:tcPr>
          <w:p w14:paraId="0000077C" w14:textId="46866048"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 TFEQ-</w:t>
            </w:r>
            <w:r w:rsidR="00016023" w:rsidRPr="00016023">
              <w:rPr>
                <w:rFonts w:ascii="Times New Roman" w:eastAsia="Times New Roman" w:hAnsi="Times New Roman" w:cs="Times New Roman"/>
                <w:sz w:val="20"/>
                <w:szCs w:val="20"/>
              </w:rPr>
              <w:t xml:space="preserve"> </w:t>
            </w:r>
            <w:r w:rsidR="00016023">
              <w:rPr>
                <w:rFonts w:ascii="Times New Roman" w:eastAsia="Times New Roman" w:hAnsi="Times New Roman" w:cs="Times New Roman"/>
              </w:rPr>
              <w:t>u</w:t>
            </w:r>
            <w:r w:rsidR="00016023" w:rsidRPr="00016023">
              <w:rPr>
                <w:rFonts w:ascii="Times New Roman" w:eastAsia="Times New Roman" w:hAnsi="Times New Roman" w:cs="Times New Roman"/>
              </w:rPr>
              <w:t xml:space="preserve">ncontrolled </w:t>
            </w:r>
            <w:r w:rsidR="00016023">
              <w:rPr>
                <w:rFonts w:ascii="Times New Roman" w:eastAsia="Times New Roman" w:hAnsi="Times New Roman" w:cs="Times New Roman"/>
              </w:rPr>
              <w:t>e</w:t>
            </w:r>
            <w:r w:rsidR="00016023" w:rsidRPr="00016023">
              <w:rPr>
                <w:rFonts w:ascii="Times New Roman" w:eastAsia="Times New Roman" w:hAnsi="Times New Roman" w:cs="Times New Roman"/>
              </w:rPr>
              <w:t>ating</w:t>
            </w:r>
          </w:p>
        </w:tc>
        <w:tc>
          <w:tcPr>
            <w:tcW w:w="850" w:type="dxa"/>
            <w:tcBorders>
              <w:top w:val="nil"/>
              <w:left w:val="nil"/>
              <w:bottom w:val="nil"/>
              <w:right w:val="nil"/>
            </w:tcBorders>
            <w:tcMar>
              <w:top w:w="100" w:type="dxa"/>
              <w:left w:w="100" w:type="dxa"/>
              <w:bottom w:w="100" w:type="dxa"/>
              <w:right w:w="100" w:type="dxa"/>
            </w:tcMar>
          </w:tcPr>
          <w:p w14:paraId="0000077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851" w:type="dxa"/>
            <w:tcBorders>
              <w:top w:val="nil"/>
              <w:left w:val="nil"/>
              <w:bottom w:val="nil"/>
              <w:right w:val="nil"/>
            </w:tcBorders>
            <w:shd w:val="clear" w:color="auto" w:fill="FFFF00"/>
            <w:tcMar>
              <w:top w:w="100" w:type="dxa"/>
              <w:left w:w="100" w:type="dxa"/>
              <w:bottom w:w="100" w:type="dxa"/>
              <w:right w:w="100" w:type="dxa"/>
            </w:tcMar>
          </w:tcPr>
          <w:p w14:paraId="0000077E" w14:textId="3A1B23FD" w:rsidR="00CB4215" w:rsidRPr="009F5CAE" w:rsidRDefault="009F5CAE">
            <w:pPr>
              <w:spacing w:line="240" w:lineRule="auto"/>
              <w:rPr>
                <w:rFonts w:ascii="Times New Roman" w:eastAsia="Times New Roman" w:hAnsi="Times New Roman" w:cs="Times New Roman"/>
                <w:b/>
                <w:bCs/>
                <w:shd w:val="clear" w:color="auto" w:fill="FF9900"/>
              </w:rPr>
            </w:pPr>
            <w:r w:rsidRPr="009F5CAE">
              <w:rPr>
                <w:rFonts w:ascii="Times New Roman" w:eastAsia="Times New Roman" w:hAnsi="Times New Roman" w:cs="Times New Roman"/>
                <w:b/>
                <w:bCs/>
              </w:rPr>
              <w:t>.41</w:t>
            </w:r>
            <w:r w:rsidRPr="009F5CAE">
              <w:rPr>
                <w:rFonts w:ascii="Times New Roman" w:eastAsia="Times New Roman" w:hAnsi="Times New Roman" w:cs="Times New Roman"/>
                <w:b/>
                <w:bCs/>
                <w:vertAlign w:val="superscript"/>
              </w:rPr>
              <w:t>*</w:t>
            </w:r>
          </w:p>
        </w:tc>
        <w:tc>
          <w:tcPr>
            <w:tcW w:w="988" w:type="dxa"/>
            <w:tcBorders>
              <w:top w:val="nil"/>
              <w:left w:val="nil"/>
              <w:bottom w:val="nil"/>
              <w:right w:val="nil"/>
            </w:tcBorders>
            <w:tcMar>
              <w:top w:w="100" w:type="dxa"/>
              <w:left w:w="100" w:type="dxa"/>
              <w:bottom w:w="100" w:type="dxa"/>
              <w:right w:w="100" w:type="dxa"/>
            </w:tcMar>
          </w:tcPr>
          <w:p w14:paraId="0000077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-.37</w:t>
            </w:r>
            <w:r>
              <w:rPr>
                <w:rFonts w:ascii="Times New Roman" w:eastAsia="Times New Roman" w:hAnsi="Times New Roman" w:cs="Times New Roman"/>
                <w:vertAlign w:val="superscript"/>
              </w:rPr>
              <w:t>*</w:t>
            </w:r>
          </w:p>
        </w:tc>
        <w:tc>
          <w:tcPr>
            <w:tcW w:w="1108" w:type="dxa"/>
            <w:tcBorders>
              <w:top w:val="nil"/>
              <w:left w:val="nil"/>
              <w:bottom w:val="nil"/>
              <w:right w:val="nil"/>
            </w:tcBorders>
            <w:tcMar>
              <w:top w:w="100" w:type="dxa"/>
              <w:left w:w="100" w:type="dxa"/>
              <w:bottom w:w="100" w:type="dxa"/>
              <w:right w:w="100" w:type="dxa"/>
            </w:tcMar>
          </w:tcPr>
          <w:p w14:paraId="00000780" w14:textId="77777777" w:rsidR="00CB4215" w:rsidRDefault="00CB4215">
            <w:pPr>
              <w:spacing w:line="240" w:lineRule="auto"/>
              <w:rPr>
                <w:rFonts w:ascii="Times New Roman" w:eastAsia="Times New Roman" w:hAnsi="Times New Roman" w:cs="Times New Roman"/>
              </w:rPr>
            </w:pPr>
          </w:p>
        </w:tc>
        <w:tc>
          <w:tcPr>
            <w:tcW w:w="1152" w:type="dxa"/>
            <w:tcBorders>
              <w:top w:val="nil"/>
              <w:left w:val="nil"/>
              <w:bottom w:val="nil"/>
              <w:right w:val="nil"/>
            </w:tcBorders>
            <w:tcMar>
              <w:top w:w="100" w:type="dxa"/>
              <w:left w:w="100" w:type="dxa"/>
              <w:bottom w:w="100" w:type="dxa"/>
              <w:right w:w="100" w:type="dxa"/>
            </w:tcMar>
          </w:tcPr>
          <w:p w14:paraId="00000781" w14:textId="77777777" w:rsidR="00CB4215" w:rsidRDefault="00CB4215">
            <w:pPr>
              <w:spacing w:line="240" w:lineRule="auto"/>
              <w:rPr>
                <w:rFonts w:ascii="Times New Roman" w:eastAsia="Times New Roman" w:hAnsi="Times New Roman" w:cs="Times New Roman"/>
              </w:rPr>
            </w:pPr>
          </w:p>
        </w:tc>
        <w:tc>
          <w:tcPr>
            <w:tcW w:w="1006" w:type="dxa"/>
            <w:tcBorders>
              <w:top w:val="nil"/>
              <w:left w:val="nil"/>
              <w:bottom w:val="nil"/>
              <w:right w:val="nil"/>
            </w:tcBorders>
            <w:tcMar>
              <w:top w:w="100" w:type="dxa"/>
              <w:left w:w="100" w:type="dxa"/>
              <w:bottom w:w="100" w:type="dxa"/>
              <w:right w:w="100" w:type="dxa"/>
            </w:tcMar>
          </w:tcPr>
          <w:p w14:paraId="00000782" w14:textId="77777777" w:rsidR="00CB4215" w:rsidRDefault="00CB4215">
            <w:pPr>
              <w:spacing w:line="240" w:lineRule="auto"/>
              <w:rPr>
                <w:rFonts w:ascii="Times New Roman" w:eastAsia="Times New Roman" w:hAnsi="Times New Roman" w:cs="Times New Roman"/>
              </w:rPr>
            </w:pPr>
          </w:p>
        </w:tc>
        <w:tc>
          <w:tcPr>
            <w:tcW w:w="1035" w:type="dxa"/>
            <w:tcBorders>
              <w:top w:val="nil"/>
              <w:left w:val="nil"/>
              <w:bottom w:val="nil"/>
              <w:right w:val="nil"/>
            </w:tcBorders>
            <w:tcMar>
              <w:top w:w="100" w:type="dxa"/>
              <w:left w:w="100" w:type="dxa"/>
              <w:bottom w:w="100" w:type="dxa"/>
              <w:right w:w="100" w:type="dxa"/>
            </w:tcMar>
          </w:tcPr>
          <w:p w14:paraId="00000783"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84"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85" w14:textId="77777777" w:rsidR="00CB4215" w:rsidRDefault="00CB4215">
            <w:pPr>
              <w:spacing w:line="240" w:lineRule="auto"/>
              <w:rPr>
                <w:rFonts w:ascii="Times New Roman" w:eastAsia="Times New Roman" w:hAnsi="Times New Roman" w:cs="Times New Roman"/>
              </w:rPr>
            </w:pPr>
          </w:p>
        </w:tc>
        <w:tc>
          <w:tcPr>
            <w:tcW w:w="831" w:type="dxa"/>
            <w:tcBorders>
              <w:top w:val="nil"/>
              <w:left w:val="nil"/>
              <w:bottom w:val="nil"/>
              <w:right w:val="nil"/>
            </w:tcBorders>
            <w:tcMar>
              <w:top w:w="100" w:type="dxa"/>
              <w:left w:w="100" w:type="dxa"/>
              <w:bottom w:w="100" w:type="dxa"/>
              <w:right w:w="100" w:type="dxa"/>
            </w:tcMar>
          </w:tcPr>
          <w:p w14:paraId="00000786" w14:textId="77777777" w:rsidR="00CB4215" w:rsidRDefault="00CB4215">
            <w:pPr>
              <w:spacing w:line="240" w:lineRule="auto"/>
              <w:rPr>
                <w:rFonts w:ascii="Times New Roman" w:eastAsia="Times New Roman" w:hAnsi="Times New Roman" w:cs="Times New Roman"/>
              </w:rPr>
            </w:pPr>
          </w:p>
        </w:tc>
        <w:tc>
          <w:tcPr>
            <w:tcW w:w="802" w:type="dxa"/>
            <w:tcBorders>
              <w:top w:val="nil"/>
              <w:left w:val="nil"/>
              <w:bottom w:val="nil"/>
              <w:right w:val="nil"/>
            </w:tcBorders>
            <w:tcMar>
              <w:top w:w="100" w:type="dxa"/>
              <w:left w:w="100" w:type="dxa"/>
              <w:bottom w:w="100" w:type="dxa"/>
              <w:right w:w="100" w:type="dxa"/>
            </w:tcMar>
          </w:tcPr>
          <w:p w14:paraId="00000787"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788" w14:textId="77777777" w:rsidR="00CB4215" w:rsidRDefault="00CB4215">
            <w:pPr>
              <w:spacing w:line="240" w:lineRule="auto"/>
              <w:rPr>
                <w:rFonts w:ascii="Times New Roman" w:eastAsia="Times New Roman" w:hAnsi="Times New Roman" w:cs="Times New Roman"/>
              </w:rPr>
            </w:pPr>
          </w:p>
        </w:tc>
      </w:tr>
      <w:tr w:rsidR="00CB4215" w14:paraId="1502F0CF" w14:textId="77777777" w:rsidTr="009F5CAE">
        <w:trPr>
          <w:trHeight w:val="25"/>
        </w:trPr>
        <w:tc>
          <w:tcPr>
            <w:tcW w:w="3261" w:type="dxa"/>
            <w:tcBorders>
              <w:top w:val="nil"/>
              <w:left w:val="nil"/>
              <w:bottom w:val="nil"/>
              <w:right w:val="nil"/>
            </w:tcBorders>
            <w:tcMar>
              <w:top w:w="100" w:type="dxa"/>
              <w:left w:w="100" w:type="dxa"/>
              <w:bottom w:w="100" w:type="dxa"/>
              <w:right w:w="100" w:type="dxa"/>
            </w:tcMar>
          </w:tcPr>
          <w:p w14:paraId="00000789" w14:textId="6CA9294E"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 TFEQ-</w:t>
            </w:r>
            <w:r w:rsidR="00016023" w:rsidRPr="00016023">
              <w:rPr>
                <w:rFonts w:ascii="Times New Roman" w:eastAsia="Times New Roman" w:hAnsi="Times New Roman" w:cs="Times New Roman"/>
                <w:sz w:val="20"/>
                <w:szCs w:val="20"/>
              </w:rPr>
              <w:t xml:space="preserve"> </w:t>
            </w:r>
            <w:r w:rsidR="00016023">
              <w:rPr>
                <w:rFonts w:ascii="Times New Roman" w:eastAsia="Times New Roman" w:hAnsi="Times New Roman" w:cs="Times New Roman"/>
              </w:rPr>
              <w:t>e</w:t>
            </w:r>
            <w:r w:rsidR="00016023" w:rsidRPr="00016023">
              <w:rPr>
                <w:rFonts w:ascii="Times New Roman" w:eastAsia="Times New Roman" w:hAnsi="Times New Roman" w:cs="Times New Roman"/>
              </w:rPr>
              <w:t>motional Eating</w:t>
            </w:r>
          </w:p>
        </w:tc>
        <w:tc>
          <w:tcPr>
            <w:tcW w:w="850" w:type="dxa"/>
            <w:tcBorders>
              <w:top w:val="nil"/>
              <w:left w:val="nil"/>
              <w:bottom w:val="nil"/>
              <w:right w:val="nil"/>
            </w:tcBorders>
            <w:tcMar>
              <w:top w:w="100" w:type="dxa"/>
              <w:left w:w="100" w:type="dxa"/>
              <w:bottom w:w="100" w:type="dxa"/>
              <w:right w:w="100" w:type="dxa"/>
            </w:tcMar>
          </w:tcPr>
          <w:p w14:paraId="0000078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.43</w:t>
            </w:r>
            <w:r>
              <w:rPr>
                <w:rFonts w:ascii="Times New Roman" w:eastAsia="Times New Roman" w:hAnsi="Times New Roman" w:cs="Times New Roman"/>
                <w:vertAlign w:val="superscript"/>
              </w:rPr>
              <w:t>*</w:t>
            </w:r>
          </w:p>
        </w:tc>
        <w:tc>
          <w:tcPr>
            <w:tcW w:w="851" w:type="dxa"/>
            <w:tcBorders>
              <w:top w:val="nil"/>
              <w:left w:val="nil"/>
              <w:bottom w:val="nil"/>
              <w:right w:val="nil"/>
            </w:tcBorders>
            <w:tcMar>
              <w:top w:w="100" w:type="dxa"/>
              <w:left w:w="100" w:type="dxa"/>
              <w:bottom w:w="100" w:type="dxa"/>
              <w:right w:w="100" w:type="dxa"/>
            </w:tcMar>
          </w:tcPr>
          <w:p w14:paraId="0000078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988" w:type="dxa"/>
            <w:tcBorders>
              <w:top w:val="nil"/>
              <w:left w:val="nil"/>
              <w:bottom w:val="nil"/>
              <w:right w:val="nil"/>
            </w:tcBorders>
            <w:tcMar>
              <w:top w:w="100" w:type="dxa"/>
              <w:left w:w="100" w:type="dxa"/>
              <w:bottom w:w="100" w:type="dxa"/>
              <w:right w:w="100" w:type="dxa"/>
            </w:tcMar>
          </w:tcPr>
          <w:p w14:paraId="0000078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-.35</w:t>
            </w:r>
          </w:p>
        </w:tc>
        <w:tc>
          <w:tcPr>
            <w:tcW w:w="1108" w:type="dxa"/>
            <w:tcBorders>
              <w:top w:val="nil"/>
              <w:left w:val="nil"/>
              <w:bottom w:val="nil"/>
              <w:right w:val="nil"/>
            </w:tcBorders>
            <w:tcMar>
              <w:top w:w="100" w:type="dxa"/>
              <w:left w:w="100" w:type="dxa"/>
              <w:bottom w:w="100" w:type="dxa"/>
              <w:right w:w="100" w:type="dxa"/>
            </w:tcMar>
          </w:tcPr>
          <w:p w14:paraId="0000078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.53</w:t>
            </w:r>
            <w:r>
              <w:rPr>
                <w:rFonts w:ascii="Times New Roman" w:eastAsia="Times New Roman" w:hAnsi="Times New Roman" w:cs="Times New Roman"/>
                <w:vertAlign w:val="superscript"/>
              </w:rPr>
              <w:t>**</w:t>
            </w:r>
          </w:p>
        </w:tc>
        <w:tc>
          <w:tcPr>
            <w:tcW w:w="1152" w:type="dxa"/>
            <w:tcBorders>
              <w:top w:val="nil"/>
              <w:left w:val="nil"/>
              <w:bottom w:val="nil"/>
              <w:right w:val="nil"/>
            </w:tcBorders>
            <w:tcMar>
              <w:top w:w="100" w:type="dxa"/>
              <w:left w:w="100" w:type="dxa"/>
              <w:bottom w:w="100" w:type="dxa"/>
              <w:right w:w="100" w:type="dxa"/>
            </w:tcMar>
          </w:tcPr>
          <w:p w14:paraId="0000078E" w14:textId="77777777" w:rsidR="00CB4215" w:rsidRDefault="00CB4215">
            <w:pPr>
              <w:spacing w:line="240" w:lineRule="auto"/>
              <w:rPr>
                <w:rFonts w:ascii="Times New Roman" w:eastAsia="Times New Roman" w:hAnsi="Times New Roman" w:cs="Times New Roman"/>
              </w:rPr>
            </w:pPr>
          </w:p>
        </w:tc>
        <w:tc>
          <w:tcPr>
            <w:tcW w:w="1006" w:type="dxa"/>
            <w:tcBorders>
              <w:top w:val="nil"/>
              <w:left w:val="nil"/>
              <w:bottom w:val="nil"/>
              <w:right w:val="nil"/>
            </w:tcBorders>
            <w:tcMar>
              <w:top w:w="100" w:type="dxa"/>
              <w:left w:w="100" w:type="dxa"/>
              <w:bottom w:w="100" w:type="dxa"/>
              <w:right w:w="100" w:type="dxa"/>
            </w:tcMar>
          </w:tcPr>
          <w:p w14:paraId="0000078F" w14:textId="77777777" w:rsidR="00CB4215" w:rsidRDefault="00CB4215">
            <w:pPr>
              <w:spacing w:line="240" w:lineRule="auto"/>
              <w:rPr>
                <w:rFonts w:ascii="Times New Roman" w:eastAsia="Times New Roman" w:hAnsi="Times New Roman" w:cs="Times New Roman"/>
              </w:rPr>
            </w:pPr>
          </w:p>
        </w:tc>
        <w:tc>
          <w:tcPr>
            <w:tcW w:w="1035" w:type="dxa"/>
            <w:tcBorders>
              <w:top w:val="nil"/>
              <w:left w:val="nil"/>
              <w:bottom w:val="nil"/>
              <w:right w:val="nil"/>
            </w:tcBorders>
            <w:tcMar>
              <w:top w:w="100" w:type="dxa"/>
              <w:left w:w="100" w:type="dxa"/>
              <w:bottom w:w="100" w:type="dxa"/>
              <w:right w:w="100" w:type="dxa"/>
            </w:tcMar>
          </w:tcPr>
          <w:p w14:paraId="00000790"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91"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92" w14:textId="77777777" w:rsidR="00CB4215" w:rsidRDefault="00CB4215">
            <w:pPr>
              <w:spacing w:line="240" w:lineRule="auto"/>
              <w:rPr>
                <w:rFonts w:ascii="Times New Roman" w:eastAsia="Times New Roman" w:hAnsi="Times New Roman" w:cs="Times New Roman"/>
              </w:rPr>
            </w:pPr>
          </w:p>
        </w:tc>
        <w:tc>
          <w:tcPr>
            <w:tcW w:w="831" w:type="dxa"/>
            <w:tcBorders>
              <w:top w:val="nil"/>
              <w:left w:val="nil"/>
              <w:bottom w:val="nil"/>
              <w:right w:val="nil"/>
            </w:tcBorders>
            <w:tcMar>
              <w:top w:w="100" w:type="dxa"/>
              <w:left w:w="100" w:type="dxa"/>
              <w:bottom w:w="100" w:type="dxa"/>
              <w:right w:w="100" w:type="dxa"/>
            </w:tcMar>
          </w:tcPr>
          <w:p w14:paraId="00000793" w14:textId="77777777" w:rsidR="00CB4215" w:rsidRDefault="00CB4215">
            <w:pPr>
              <w:spacing w:line="240" w:lineRule="auto"/>
              <w:rPr>
                <w:rFonts w:ascii="Times New Roman" w:eastAsia="Times New Roman" w:hAnsi="Times New Roman" w:cs="Times New Roman"/>
              </w:rPr>
            </w:pPr>
          </w:p>
        </w:tc>
        <w:tc>
          <w:tcPr>
            <w:tcW w:w="802" w:type="dxa"/>
            <w:tcBorders>
              <w:top w:val="nil"/>
              <w:left w:val="nil"/>
              <w:bottom w:val="nil"/>
              <w:right w:val="nil"/>
            </w:tcBorders>
            <w:tcMar>
              <w:top w:w="100" w:type="dxa"/>
              <w:left w:w="100" w:type="dxa"/>
              <w:bottom w:w="100" w:type="dxa"/>
              <w:right w:w="100" w:type="dxa"/>
            </w:tcMar>
          </w:tcPr>
          <w:p w14:paraId="00000794"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795" w14:textId="77777777" w:rsidR="00CB4215" w:rsidRDefault="00CB4215">
            <w:pPr>
              <w:spacing w:line="240" w:lineRule="auto"/>
              <w:rPr>
                <w:rFonts w:ascii="Times New Roman" w:eastAsia="Times New Roman" w:hAnsi="Times New Roman" w:cs="Times New Roman"/>
              </w:rPr>
            </w:pPr>
          </w:p>
        </w:tc>
      </w:tr>
      <w:tr w:rsidR="00CB4215" w14:paraId="2CDCE335" w14:textId="77777777" w:rsidTr="009F5CAE">
        <w:trPr>
          <w:trHeight w:val="25"/>
        </w:trPr>
        <w:tc>
          <w:tcPr>
            <w:tcW w:w="3261" w:type="dxa"/>
            <w:tcBorders>
              <w:top w:val="nil"/>
              <w:left w:val="nil"/>
              <w:bottom w:val="nil"/>
              <w:right w:val="nil"/>
            </w:tcBorders>
            <w:tcMar>
              <w:top w:w="100" w:type="dxa"/>
              <w:left w:w="100" w:type="dxa"/>
              <w:bottom w:w="100" w:type="dxa"/>
              <w:right w:w="100" w:type="dxa"/>
            </w:tcMar>
          </w:tcPr>
          <w:p w14:paraId="00000796" w14:textId="64F80B0A"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6. AEBQ-</w:t>
            </w:r>
            <w:r w:rsidR="00016023" w:rsidRPr="00016023">
              <w:rPr>
                <w:rFonts w:ascii="Times New Roman" w:eastAsia="Times New Roman" w:hAnsi="Times New Roman" w:cs="Times New Roman"/>
                <w:sz w:val="20"/>
                <w:szCs w:val="20"/>
              </w:rPr>
              <w:t xml:space="preserve"> </w:t>
            </w:r>
            <w:r w:rsidR="00016023">
              <w:rPr>
                <w:rFonts w:ascii="Times New Roman" w:eastAsia="Times New Roman" w:hAnsi="Times New Roman" w:cs="Times New Roman"/>
              </w:rPr>
              <w:t>f</w:t>
            </w:r>
            <w:r w:rsidR="00016023" w:rsidRPr="00016023">
              <w:rPr>
                <w:rFonts w:ascii="Times New Roman" w:eastAsia="Times New Roman" w:hAnsi="Times New Roman" w:cs="Times New Roman"/>
              </w:rPr>
              <w:t xml:space="preserve">ood </w:t>
            </w:r>
            <w:r w:rsidR="00016023">
              <w:rPr>
                <w:rFonts w:ascii="Times New Roman" w:eastAsia="Times New Roman" w:hAnsi="Times New Roman" w:cs="Times New Roman"/>
              </w:rPr>
              <w:t>r</w:t>
            </w:r>
            <w:r w:rsidR="00016023" w:rsidRPr="00016023">
              <w:rPr>
                <w:rFonts w:ascii="Times New Roman" w:eastAsia="Times New Roman" w:hAnsi="Times New Roman" w:cs="Times New Roman"/>
              </w:rPr>
              <w:t>esponsiveness</w:t>
            </w:r>
          </w:p>
        </w:tc>
        <w:tc>
          <w:tcPr>
            <w:tcW w:w="850" w:type="dxa"/>
            <w:tcBorders>
              <w:top w:val="nil"/>
              <w:left w:val="nil"/>
              <w:bottom w:val="nil"/>
              <w:right w:val="nil"/>
            </w:tcBorders>
            <w:tcMar>
              <w:top w:w="100" w:type="dxa"/>
              <w:left w:w="100" w:type="dxa"/>
              <w:bottom w:w="100" w:type="dxa"/>
              <w:right w:w="100" w:type="dxa"/>
            </w:tcMar>
          </w:tcPr>
          <w:p w14:paraId="0000079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.06</w:t>
            </w:r>
          </w:p>
        </w:tc>
        <w:tc>
          <w:tcPr>
            <w:tcW w:w="851" w:type="dxa"/>
            <w:tcBorders>
              <w:top w:val="nil"/>
              <w:left w:val="nil"/>
              <w:bottom w:val="nil"/>
              <w:right w:val="nil"/>
            </w:tcBorders>
            <w:tcMar>
              <w:top w:w="100" w:type="dxa"/>
              <w:left w:w="100" w:type="dxa"/>
              <w:bottom w:w="100" w:type="dxa"/>
              <w:right w:w="100" w:type="dxa"/>
            </w:tcMar>
          </w:tcPr>
          <w:p w14:paraId="0000079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.36</w:t>
            </w:r>
          </w:p>
        </w:tc>
        <w:tc>
          <w:tcPr>
            <w:tcW w:w="988" w:type="dxa"/>
            <w:tcBorders>
              <w:top w:val="nil"/>
              <w:left w:val="nil"/>
              <w:bottom w:val="nil"/>
              <w:right w:val="nil"/>
            </w:tcBorders>
            <w:tcMar>
              <w:top w:w="100" w:type="dxa"/>
              <w:left w:w="100" w:type="dxa"/>
              <w:bottom w:w="100" w:type="dxa"/>
              <w:right w:w="100" w:type="dxa"/>
            </w:tcMar>
          </w:tcPr>
          <w:p w14:paraId="0000079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-.38</w:t>
            </w:r>
            <w:r>
              <w:rPr>
                <w:rFonts w:ascii="Times New Roman" w:eastAsia="Times New Roman" w:hAnsi="Times New Roman" w:cs="Times New Roman"/>
                <w:vertAlign w:val="superscript"/>
              </w:rPr>
              <w:t>*</w:t>
            </w:r>
          </w:p>
        </w:tc>
        <w:tc>
          <w:tcPr>
            <w:tcW w:w="1108" w:type="dxa"/>
            <w:tcBorders>
              <w:top w:val="nil"/>
              <w:left w:val="nil"/>
              <w:bottom w:val="nil"/>
              <w:right w:val="nil"/>
            </w:tcBorders>
            <w:tcMar>
              <w:top w:w="100" w:type="dxa"/>
              <w:left w:w="100" w:type="dxa"/>
              <w:bottom w:w="100" w:type="dxa"/>
              <w:right w:w="100" w:type="dxa"/>
            </w:tcMar>
          </w:tcPr>
          <w:p w14:paraId="0000079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.71</w:t>
            </w:r>
            <w:r>
              <w:rPr>
                <w:rFonts w:ascii="Times New Roman" w:eastAsia="Times New Roman" w:hAnsi="Times New Roman" w:cs="Times New Roman"/>
                <w:vertAlign w:val="superscript"/>
              </w:rPr>
              <w:t>**</w:t>
            </w:r>
          </w:p>
        </w:tc>
        <w:tc>
          <w:tcPr>
            <w:tcW w:w="1152" w:type="dxa"/>
            <w:tcBorders>
              <w:top w:val="nil"/>
              <w:left w:val="nil"/>
              <w:bottom w:val="nil"/>
              <w:right w:val="nil"/>
            </w:tcBorders>
            <w:tcMar>
              <w:top w:w="100" w:type="dxa"/>
              <w:left w:w="100" w:type="dxa"/>
              <w:bottom w:w="100" w:type="dxa"/>
              <w:right w:w="100" w:type="dxa"/>
            </w:tcMar>
          </w:tcPr>
          <w:p w14:paraId="0000079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.39</w:t>
            </w:r>
            <w:r>
              <w:rPr>
                <w:rFonts w:ascii="Times New Roman" w:eastAsia="Times New Roman" w:hAnsi="Times New Roman" w:cs="Times New Roman"/>
                <w:vertAlign w:val="superscript"/>
              </w:rPr>
              <w:t>*</w:t>
            </w:r>
          </w:p>
        </w:tc>
        <w:tc>
          <w:tcPr>
            <w:tcW w:w="1006" w:type="dxa"/>
            <w:tcBorders>
              <w:top w:val="nil"/>
              <w:left w:val="nil"/>
              <w:bottom w:val="nil"/>
              <w:right w:val="nil"/>
            </w:tcBorders>
            <w:tcMar>
              <w:top w:w="100" w:type="dxa"/>
              <w:left w:w="100" w:type="dxa"/>
              <w:bottom w:w="100" w:type="dxa"/>
              <w:right w:w="100" w:type="dxa"/>
            </w:tcMar>
          </w:tcPr>
          <w:p w14:paraId="0000079C" w14:textId="77777777" w:rsidR="00CB4215" w:rsidRDefault="00CB4215">
            <w:pPr>
              <w:spacing w:line="240" w:lineRule="auto"/>
              <w:rPr>
                <w:rFonts w:ascii="Times New Roman" w:eastAsia="Times New Roman" w:hAnsi="Times New Roman" w:cs="Times New Roman"/>
              </w:rPr>
            </w:pPr>
          </w:p>
        </w:tc>
        <w:tc>
          <w:tcPr>
            <w:tcW w:w="1035" w:type="dxa"/>
            <w:tcBorders>
              <w:top w:val="nil"/>
              <w:left w:val="nil"/>
              <w:bottom w:val="nil"/>
              <w:right w:val="nil"/>
            </w:tcBorders>
            <w:tcMar>
              <w:top w:w="100" w:type="dxa"/>
              <w:left w:w="100" w:type="dxa"/>
              <w:bottom w:w="100" w:type="dxa"/>
              <w:right w:w="100" w:type="dxa"/>
            </w:tcMar>
          </w:tcPr>
          <w:p w14:paraId="0000079D"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9E"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9F" w14:textId="77777777" w:rsidR="00CB4215" w:rsidRDefault="00CB4215">
            <w:pPr>
              <w:spacing w:line="240" w:lineRule="auto"/>
              <w:rPr>
                <w:rFonts w:ascii="Times New Roman" w:eastAsia="Times New Roman" w:hAnsi="Times New Roman" w:cs="Times New Roman"/>
              </w:rPr>
            </w:pPr>
          </w:p>
        </w:tc>
        <w:tc>
          <w:tcPr>
            <w:tcW w:w="831" w:type="dxa"/>
            <w:tcBorders>
              <w:top w:val="nil"/>
              <w:left w:val="nil"/>
              <w:bottom w:val="nil"/>
              <w:right w:val="nil"/>
            </w:tcBorders>
            <w:tcMar>
              <w:top w:w="100" w:type="dxa"/>
              <w:left w:w="100" w:type="dxa"/>
              <w:bottom w:w="100" w:type="dxa"/>
              <w:right w:w="100" w:type="dxa"/>
            </w:tcMar>
          </w:tcPr>
          <w:p w14:paraId="000007A0" w14:textId="77777777" w:rsidR="00CB4215" w:rsidRDefault="00CB4215">
            <w:pPr>
              <w:spacing w:line="240" w:lineRule="auto"/>
              <w:rPr>
                <w:rFonts w:ascii="Times New Roman" w:eastAsia="Times New Roman" w:hAnsi="Times New Roman" w:cs="Times New Roman"/>
              </w:rPr>
            </w:pPr>
          </w:p>
        </w:tc>
        <w:tc>
          <w:tcPr>
            <w:tcW w:w="802" w:type="dxa"/>
            <w:tcBorders>
              <w:top w:val="nil"/>
              <w:left w:val="nil"/>
              <w:bottom w:val="nil"/>
              <w:right w:val="nil"/>
            </w:tcBorders>
            <w:tcMar>
              <w:top w:w="100" w:type="dxa"/>
              <w:left w:w="100" w:type="dxa"/>
              <w:bottom w:w="100" w:type="dxa"/>
              <w:right w:w="100" w:type="dxa"/>
            </w:tcMar>
          </w:tcPr>
          <w:p w14:paraId="000007A1"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7A2" w14:textId="77777777" w:rsidR="00CB4215" w:rsidRDefault="00CB4215">
            <w:pPr>
              <w:spacing w:line="240" w:lineRule="auto"/>
              <w:rPr>
                <w:rFonts w:ascii="Times New Roman" w:eastAsia="Times New Roman" w:hAnsi="Times New Roman" w:cs="Times New Roman"/>
              </w:rPr>
            </w:pPr>
          </w:p>
        </w:tc>
      </w:tr>
      <w:tr w:rsidR="00CB4215" w14:paraId="31052FF6" w14:textId="77777777" w:rsidTr="009F5CAE">
        <w:trPr>
          <w:trHeight w:val="25"/>
        </w:trPr>
        <w:tc>
          <w:tcPr>
            <w:tcW w:w="3261" w:type="dxa"/>
            <w:tcBorders>
              <w:top w:val="nil"/>
              <w:left w:val="nil"/>
              <w:bottom w:val="nil"/>
              <w:right w:val="nil"/>
            </w:tcBorders>
            <w:tcMar>
              <w:top w:w="100" w:type="dxa"/>
              <w:left w:w="100" w:type="dxa"/>
              <w:bottom w:w="100" w:type="dxa"/>
              <w:right w:w="100" w:type="dxa"/>
            </w:tcMar>
          </w:tcPr>
          <w:p w14:paraId="000007A3" w14:textId="1336901F"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7. AEBQ-</w:t>
            </w:r>
            <w:r w:rsidR="009F5CAE" w:rsidRPr="009F5CAE">
              <w:rPr>
                <w:rFonts w:ascii="Times New Roman" w:eastAsia="Times New Roman" w:hAnsi="Times New Roman" w:cs="Times New Roman"/>
                <w:sz w:val="20"/>
                <w:szCs w:val="20"/>
              </w:rPr>
              <w:t xml:space="preserve"> </w:t>
            </w:r>
            <w:r w:rsidR="009F5CAE">
              <w:rPr>
                <w:rFonts w:ascii="Times New Roman" w:eastAsia="Times New Roman" w:hAnsi="Times New Roman" w:cs="Times New Roman"/>
              </w:rPr>
              <w:t>e</w:t>
            </w:r>
            <w:r w:rsidR="009F5CAE" w:rsidRPr="009F5CAE">
              <w:rPr>
                <w:rFonts w:ascii="Times New Roman" w:eastAsia="Times New Roman" w:hAnsi="Times New Roman" w:cs="Times New Roman"/>
              </w:rPr>
              <w:t xml:space="preserve">motional </w:t>
            </w:r>
            <w:r w:rsidR="009F5CAE">
              <w:rPr>
                <w:rFonts w:ascii="Times New Roman" w:eastAsia="Times New Roman" w:hAnsi="Times New Roman" w:cs="Times New Roman"/>
              </w:rPr>
              <w:t>o</w:t>
            </w:r>
            <w:r w:rsidR="009F5CAE" w:rsidRPr="009F5CAE">
              <w:rPr>
                <w:rFonts w:ascii="Times New Roman" w:eastAsia="Times New Roman" w:hAnsi="Times New Roman" w:cs="Times New Roman"/>
              </w:rPr>
              <w:t>vereating</w:t>
            </w:r>
          </w:p>
        </w:tc>
        <w:tc>
          <w:tcPr>
            <w:tcW w:w="850" w:type="dxa"/>
            <w:tcBorders>
              <w:top w:val="nil"/>
              <w:left w:val="nil"/>
              <w:bottom w:val="nil"/>
              <w:right w:val="nil"/>
            </w:tcBorders>
            <w:tcMar>
              <w:top w:w="100" w:type="dxa"/>
              <w:left w:w="100" w:type="dxa"/>
              <w:bottom w:w="100" w:type="dxa"/>
              <w:right w:w="100" w:type="dxa"/>
            </w:tcMar>
          </w:tcPr>
          <w:p w14:paraId="000007A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.29</w:t>
            </w:r>
          </w:p>
        </w:tc>
        <w:tc>
          <w:tcPr>
            <w:tcW w:w="851" w:type="dxa"/>
            <w:tcBorders>
              <w:top w:val="nil"/>
              <w:left w:val="nil"/>
              <w:bottom w:val="nil"/>
              <w:right w:val="nil"/>
            </w:tcBorders>
            <w:tcMar>
              <w:top w:w="100" w:type="dxa"/>
              <w:left w:w="100" w:type="dxa"/>
              <w:bottom w:w="100" w:type="dxa"/>
              <w:right w:w="100" w:type="dxa"/>
            </w:tcMar>
          </w:tcPr>
          <w:p w14:paraId="000007A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.01</w:t>
            </w:r>
          </w:p>
        </w:tc>
        <w:tc>
          <w:tcPr>
            <w:tcW w:w="988" w:type="dxa"/>
            <w:tcBorders>
              <w:top w:val="nil"/>
              <w:left w:val="nil"/>
              <w:bottom w:val="nil"/>
              <w:right w:val="nil"/>
            </w:tcBorders>
            <w:tcMar>
              <w:top w:w="100" w:type="dxa"/>
              <w:left w:w="100" w:type="dxa"/>
              <w:bottom w:w="100" w:type="dxa"/>
              <w:right w:w="100" w:type="dxa"/>
            </w:tcMar>
          </w:tcPr>
          <w:p w14:paraId="000007A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-.40</w:t>
            </w:r>
            <w:r>
              <w:rPr>
                <w:rFonts w:ascii="Times New Roman" w:eastAsia="Times New Roman" w:hAnsi="Times New Roman" w:cs="Times New Roman"/>
                <w:vertAlign w:val="superscript"/>
              </w:rPr>
              <w:t>*</w:t>
            </w:r>
          </w:p>
        </w:tc>
        <w:tc>
          <w:tcPr>
            <w:tcW w:w="1108" w:type="dxa"/>
            <w:tcBorders>
              <w:top w:val="nil"/>
              <w:left w:val="nil"/>
              <w:bottom w:val="nil"/>
              <w:right w:val="nil"/>
            </w:tcBorders>
            <w:tcMar>
              <w:top w:w="100" w:type="dxa"/>
              <w:left w:w="100" w:type="dxa"/>
              <w:bottom w:w="100" w:type="dxa"/>
              <w:right w:w="100" w:type="dxa"/>
            </w:tcMar>
          </w:tcPr>
          <w:p w14:paraId="000007A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.51</w:t>
            </w:r>
            <w:r>
              <w:rPr>
                <w:rFonts w:ascii="Times New Roman" w:eastAsia="Times New Roman" w:hAnsi="Times New Roman" w:cs="Times New Roman"/>
                <w:vertAlign w:val="superscript"/>
              </w:rPr>
              <w:t>**</w:t>
            </w:r>
          </w:p>
        </w:tc>
        <w:tc>
          <w:tcPr>
            <w:tcW w:w="1152" w:type="dxa"/>
            <w:tcBorders>
              <w:top w:val="nil"/>
              <w:left w:val="nil"/>
              <w:bottom w:val="nil"/>
              <w:right w:val="nil"/>
            </w:tcBorders>
            <w:tcMar>
              <w:top w:w="100" w:type="dxa"/>
              <w:left w:w="100" w:type="dxa"/>
              <w:bottom w:w="100" w:type="dxa"/>
              <w:right w:w="100" w:type="dxa"/>
            </w:tcMar>
          </w:tcPr>
          <w:p w14:paraId="000007A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.81</w:t>
            </w:r>
            <w:r>
              <w:rPr>
                <w:rFonts w:ascii="Times New Roman" w:eastAsia="Times New Roman" w:hAnsi="Times New Roman" w:cs="Times New Roman"/>
                <w:vertAlign w:val="superscript"/>
              </w:rPr>
              <w:t>**</w:t>
            </w:r>
          </w:p>
        </w:tc>
        <w:tc>
          <w:tcPr>
            <w:tcW w:w="1006" w:type="dxa"/>
            <w:tcBorders>
              <w:top w:val="nil"/>
              <w:left w:val="nil"/>
              <w:bottom w:val="nil"/>
              <w:right w:val="nil"/>
            </w:tcBorders>
            <w:tcMar>
              <w:top w:w="100" w:type="dxa"/>
              <w:left w:w="100" w:type="dxa"/>
              <w:bottom w:w="100" w:type="dxa"/>
              <w:right w:w="100" w:type="dxa"/>
            </w:tcMar>
          </w:tcPr>
          <w:p w14:paraId="000007A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.46</w:t>
            </w:r>
            <w:r>
              <w:rPr>
                <w:rFonts w:ascii="Times New Roman" w:eastAsia="Times New Roman" w:hAnsi="Times New Roman" w:cs="Times New Roman"/>
                <w:vertAlign w:val="superscript"/>
              </w:rPr>
              <w:t>*</w:t>
            </w:r>
          </w:p>
        </w:tc>
        <w:tc>
          <w:tcPr>
            <w:tcW w:w="1035" w:type="dxa"/>
            <w:tcBorders>
              <w:top w:val="nil"/>
              <w:left w:val="nil"/>
              <w:bottom w:val="nil"/>
              <w:right w:val="nil"/>
            </w:tcBorders>
            <w:tcMar>
              <w:top w:w="100" w:type="dxa"/>
              <w:left w:w="100" w:type="dxa"/>
              <w:bottom w:w="100" w:type="dxa"/>
              <w:right w:w="100" w:type="dxa"/>
            </w:tcMar>
          </w:tcPr>
          <w:p w14:paraId="000007AA"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AB"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AC" w14:textId="77777777" w:rsidR="00CB4215" w:rsidRDefault="00CB4215">
            <w:pPr>
              <w:spacing w:line="240" w:lineRule="auto"/>
              <w:rPr>
                <w:rFonts w:ascii="Times New Roman" w:eastAsia="Times New Roman" w:hAnsi="Times New Roman" w:cs="Times New Roman"/>
              </w:rPr>
            </w:pPr>
          </w:p>
        </w:tc>
        <w:tc>
          <w:tcPr>
            <w:tcW w:w="831" w:type="dxa"/>
            <w:tcBorders>
              <w:top w:val="nil"/>
              <w:left w:val="nil"/>
              <w:bottom w:val="nil"/>
              <w:right w:val="nil"/>
            </w:tcBorders>
            <w:tcMar>
              <w:top w:w="100" w:type="dxa"/>
              <w:left w:w="100" w:type="dxa"/>
              <w:bottom w:w="100" w:type="dxa"/>
              <w:right w:w="100" w:type="dxa"/>
            </w:tcMar>
          </w:tcPr>
          <w:p w14:paraId="000007AD" w14:textId="77777777" w:rsidR="00CB4215" w:rsidRDefault="00CB4215">
            <w:pPr>
              <w:spacing w:line="240" w:lineRule="auto"/>
              <w:rPr>
                <w:rFonts w:ascii="Times New Roman" w:eastAsia="Times New Roman" w:hAnsi="Times New Roman" w:cs="Times New Roman"/>
              </w:rPr>
            </w:pPr>
          </w:p>
        </w:tc>
        <w:tc>
          <w:tcPr>
            <w:tcW w:w="802" w:type="dxa"/>
            <w:tcBorders>
              <w:top w:val="nil"/>
              <w:left w:val="nil"/>
              <w:bottom w:val="nil"/>
              <w:right w:val="nil"/>
            </w:tcBorders>
            <w:tcMar>
              <w:top w:w="100" w:type="dxa"/>
              <w:left w:w="100" w:type="dxa"/>
              <w:bottom w:w="100" w:type="dxa"/>
              <w:right w:w="100" w:type="dxa"/>
            </w:tcMar>
          </w:tcPr>
          <w:p w14:paraId="000007AE"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7AF" w14:textId="77777777" w:rsidR="00CB4215" w:rsidRDefault="00CB4215">
            <w:pPr>
              <w:spacing w:line="240" w:lineRule="auto"/>
              <w:rPr>
                <w:rFonts w:ascii="Times New Roman" w:eastAsia="Times New Roman" w:hAnsi="Times New Roman" w:cs="Times New Roman"/>
              </w:rPr>
            </w:pPr>
          </w:p>
        </w:tc>
      </w:tr>
      <w:tr w:rsidR="00CB4215" w14:paraId="2F0DC3B0" w14:textId="77777777" w:rsidTr="009F5CAE">
        <w:trPr>
          <w:trHeight w:val="25"/>
        </w:trPr>
        <w:tc>
          <w:tcPr>
            <w:tcW w:w="3261" w:type="dxa"/>
            <w:tcBorders>
              <w:top w:val="nil"/>
              <w:left w:val="nil"/>
              <w:bottom w:val="nil"/>
              <w:right w:val="nil"/>
            </w:tcBorders>
            <w:tcMar>
              <w:top w:w="100" w:type="dxa"/>
              <w:left w:w="100" w:type="dxa"/>
              <w:bottom w:w="100" w:type="dxa"/>
              <w:right w:w="100" w:type="dxa"/>
            </w:tcMar>
          </w:tcPr>
          <w:p w14:paraId="000007B0" w14:textId="75810C85"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8. AEBQ-</w:t>
            </w:r>
            <w:r w:rsidR="009F5CAE">
              <w:rPr>
                <w:rFonts w:ascii="Times New Roman" w:eastAsia="Times New Roman" w:hAnsi="Times New Roman" w:cs="Times New Roman"/>
              </w:rPr>
              <w:t xml:space="preserve"> e</w:t>
            </w:r>
            <w:r w:rsidR="009F5CAE" w:rsidRPr="009F5CAE">
              <w:rPr>
                <w:rFonts w:ascii="Times New Roman" w:eastAsia="Times New Roman" w:hAnsi="Times New Roman" w:cs="Times New Roman"/>
              </w:rPr>
              <w:t xml:space="preserve">motional </w:t>
            </w:r>
            <w:r w:rsidR="009F5CAE">
              <w:rPr>
                <w:rFonts w:ascii="Times New Roman" w:eastAsia="Times New Roman" w:hAnsi="Times New Roman" w:cs="Times New Roman"/>
              </w:rPr>
              <w:t>u</w:t>
            </w:r>
            <w:r w:rsidR="009F5CAE" w:rsidRPr="009F5CAE">
              <w:rPr>
                <w:rFonts w:ascii="Times New Roman" w:eastAsia="Times New Roman" w:hAnsi="Times New Roman" w:cs="Times New Roman"/>
              </w:rPr>
              <w:t>ndereating</w:t>
            </w:r>
          </w:p>
        </w:tc>
        <w:tc>
          <w:tcPr>
            <w:tcW w:w="850" w:type="dxa"/>
            <w:tcBorders>
              <w:top w:val="nil"/>
              <w:left w:val="nil"/>
              <w:bottom w:val="nil"/>
              <w:right w:val="nil"/>
            </w:tcBorders>
            <w:tcMar>
              <w:top w:w="100" w:type="dxa"/>
              <w:left w:w="100" w:type="dxa"/>
              <w:bottom w:w="100" w:type="dxa"/>
              <w:right w:w="100" w:type="dxa"/>
            </w:tcMar>
          </w:tcPr>
          <w:p w14:paraId="000007B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-.11</w:t>
            </w:r>
          </w:p>
        </w:tc>
        <w:tc>
          <w:tcPr>
            <w:tcW w:w="851" w:type="dxa"/>
            <w:tcBorders>
              <w:top w:val="nil"/>
              <w:left w:val="nil"/>
              <w:bottom w:val="nil"/>
              <w:right w:val="nil"/>
            </w:tcBorders>
            <w:tcMar>
              <w:top w:w="100" w:type="dxa"/>
              <w:left w:w="100" w:type="dxa"/>
              <w:bottom w:w="100" w:type="dxa"/>
              <w:right w:w="100" w:type="dxa"/>
            </w:tcMar>
          </w:tcPr>
          <w:p w14:paraId="000007B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-.11</w:t>
            </w:r>
          </w:p>
        </w:tc>
        <w:tc>
          <w:tcPr>
            <w:tcW w:w="988" w:type="dxa"/>
            <w:tcBorders>
              <w:top w:val="nil"/>
              <w:left w:val="nil"/>
              <w:bottom w:val="nil"/>
              <w:right w:val="nil"/>
            </w:tcBorders>
            <w:tcMar>
              <w:top w:w="100" w:type="dxa"/>
              <w:left w:w="100" w:type="dxa"/>
              <w:bottom w:w="100" w:type="dxa"/>
              <w:right w:w="100" w:type="dxa"/>
            </w:tcMar>
          </w:tcPr>
          <w:p w14:paraId="000007B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.53</w:t>
            </w:r>
            <w:r>
              <w:rPr>
                <w:rFonts w:ascii="Times New Roman" w:eastAsia="Times New Roman" w:hAnsi="Times New Roman" w:cs="Times New Roman"/>
                <w:vertAlign w:val="superscript"/>
              </w:rPr>
              <w:t>**</w:t>
            </w:r>
          </w:p>
        </w:tc>
        <w:tc>
          <w:tcPr>
            <w:tcW w:w="1108" w:type="dxa"/>
            <w:tcBorders>
              <w:top w:val="nil"/>
              <w:left w:val="nil"/>
              <w:bottom w:val="nil"/>
              <w:right w:val="nil"/>
            </w:tcBorders>
            <w:tcMar>
              <w:top w:w="100" w:type="dxa"/>
              <w:left w:w="100" w:type="dxa"/>
              <w:bottom w:w="100" w:type="dxa"/>
              <w:right w:w="100" w:type="dxa"/>
            </w:tcMar>
          </w:tcPr>
          <w:p w14:paraId="000007B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1152" w:type="dxa"/>
            <w:tcBorders>
              <w:top w:val="nil"/>
              <w:left w:val="nil"/>
              <w:bottom w:val="nil"/>
              <w:right w:val="nil"/>
            </w:tcBorders>
            <w:tcMar>
              <w:top w:w="100" w:type="dxa"/>
              <w:left w:w="100" w:type="dxa"/>
              <w:bottom w:w="100" w:type="dxa"/>
              <w:right w:w="100" w:type="dxa"/>
            </w:tcMar>
          </w:tcPr>
          <w:p w14:paraId="000007B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-.55</w:t>
            </w:r>
            <w:r>
              <w:rPr>
                <w:rFonts w:ascii="Times New Roman" w:eastAsia="Times New Roman" w:hAnsi="Times New Roman" w:cs="Times New Roman"/>
                <w:vertAlign w:val="superscript"/>
              </w:rPr>
              <w:t>**</w:t>
            </w:r>
          </w:p>
        </w:tc>
        <w:tc>
          <w:tcPr>
            <w:tcW w:w="1006" w:type="dxa"/>
            <w:tcBorders>
              <w:top w:val="nil"/>
              <w:left w:val="nil"/>
              <w:bottom w:val="nil"/>
              <w:right w:val="nil"/>
            </w:tcBorders>
            <w:tcMar>
              <w:top w:w="100" w:type="dxa"/>
              <w:left w:w="100" w:type="dxa"/>
              <w:bottom w:w="100" w:type="dxa"/>
              <w:right w:w="100" w:type="dxa"/>
            </w:tcMar>
          </w:tcPr>
          <w:p w14:paraId="000007B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1035" w:type="dxa"/>
            <w:tcBorders>
              <w:top w:val="nil"/>
              <w:left w:val="nil"/>
              <w:bottom w:val="nil"/>
              <w:right w:val="nil"/>
            </w:tcBorders>
            <w:tcMar>
              <w:top w:w="100" w:type="dxa"/>
              <w:left w:w="100" w:type="dxa"/>
              <w:bottom w:w="100" w:type="dxa"/>
              <w:right w:w="100" w:type="dxa"/>
            </w:tcMar>
          </w:tcPr>
          <w:p w14:paraId="000007B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-.71</w:t>
            </w:r>
            <w:r>
              <w:rPr>
                <w:rFonts w:ascii="Times New Roman" w:eastAsia="Times New Roman" w:hAnsi="Times New Roman" w:cs="Times New Roman"/>
                <w:vertAlign w:val="superscript"/>
              </w:rPr>
              <w:t>**</w:t>
            </w:r>
          </w:p>
        </w:tc>
        <w:tc>
          <w:tcPr>
            <w:tcW w:w="787" w:type="dxa"/>
            <w:tcBorders>
              <w:top w:val="nil"/>
              <w:left w:val="nil"/>
              <w:bottom w:val="nil"/>
              <w:right w:val="nil"/>
            </w:tcBorders>
            <w:tcMar>
              <w:top w:w="100" w:type="dxa"/>
              <w:left w:w="100" w:type="dxa"/>
              <w:bottom w:w="100" w:type="dxa"/>
              <w:right w:w="100" w:type="dxa"/>
            </w:tcMar>
          </w:tcPr>
          <w:p w14:paraId="000007B8" w14:textId="77777777" w:rsidR="00CB4215" w:rsidRDefault="00CB4215">
            <w:pPr>
              <w:spacing w:line="240" w:lineRule="auto"/>
              <w:rPr>
                <w:rFonts w:ascii="Times New Roman" w:eastAsia="Times New Roman" w:hAnsi="Times New Roman" w:cs="Times New Roman"/>
              </w:rPr>
            </w:pPr>
          </w:p>
        </w:tc>
        <w:tc>
          <w:tcPr>
            <w:tcW w:w="787" w:type="dxa"/>
            <w:tcBorders>
              <w:top w:val="nil"/>
              <w:left w:val="nil"/>
              <w:bottom w:val="nil"/>
              <w:right w:val="nil"/>
            </w:tcBorders>
            <w:tcMar>
              <w:top w:w="100" w:type="dxa"/>
              <w:left w:w="100" w:type="dxa"/>
              <w:bottom w:w="100" w:type="dxa"/>
              <w:right w:w="100" w:type="dxa"/>
            </w:tcMar>
          </w:tcPr>
          <w:p w14:paraId="000007B9" w14:textId="77777777" w:rsidR="00CB4215" w:rsidRDefault="00CB4215">
            <w:pPr>
              <w:spacing w:line="240" w:lineRule="auto"/>
              <w:rPr>
                <w:rFonts w:ascii="Times New Roman" w:eastAsia="Times New Roman" w:hAnsi="Times New Roman" w:cs="Times New Roman"/>
              </w:rPr>
            </w:pPr>
          </w:p>
        </w:tc>
        <w:tc>
          <w:tcPr>
            <w:tcW w:w="831" w:type="dxa"/>
            <w:tcBorders>
              <w:top w:val="nil"/>
              <w:left w:val="nil"/>
              <w:bottom w:val="nil"/>
              <w:right w:val="nil"/>
            </w:tcBorders>
            <w:tcMar>
              <w:top w:w="100" w:type="dxa"/>
              <w:left w:w="100" w:type="dxa"/>
              <w:bottom w:w="100" w:type="dxa"/>
              <w:right w:w="100" w:type="dxa"/>
            </w:tcMar>
          </w:tcPr>
          <w:p w14:paraId="000007BA" w14:textId="77777777" w:rsidR="00CB4215" w:rsidRDefault="00CB4215">
            <w:pPr>
              <w:spacing w:line="240" w:lineRule="auto"/>
              <w:rPr>
                <w:rFonts w:ascii="Times New Roman" w:eastAsia="Times New Roman" w:hAnsi="Times New Roman" w:cs="Times New Roman"/>
              </w:rPr>
            </w:pPr>
          </w:p>
        </w:tc>
        <w:tc>
          <w:tcPr>
            <w:tcW w:w="802" w:type="dxa"/>
            <w:tcBorders>
              <w:top w:val="nil"/>
              <w:left w:val="nil"/>
              <w:bottom w:val="nil"/>
              <w:right w:val="nil"/>
            </w:tcBorders>
            <w:tcMar>
              <w:top w:w="100" w:type="dxa"/>
              <w:left w:w="100" w:type="dxa"/>
              <w:bottom w:w="100" w:type="dxa"/>
              <w:right w:w="100" w:type="dxa"/>
            </w:tcMar>
          </w:tcPr>
          <w:p w14:paraId="000007BB"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7BC" w14:textId="77777777" w:rsidR="00CB4215" w:rsidRDefault="00CB4215">
            <w:pPr>
              <w:spacing w:line="240" w:lineRule="auto"/>
              <w:rPr>
                <w:rFonts w:ascii="Times New Roman" w:eastAsia="Times New Roman" w:hAnsi="Times New Roman" w:cs="Times New Roman"/>
              </w:rPr>
            </w:pPr>
          </w:p>
        </w:tc>
      </w:tr>
      <w:tr w:rsidR="00CB4215" w14:paraId="3E19102D" w14:textId="77777777" w:rsidTr="009F5CAE">
        <w:trPr>
          <w:trHeight w:val="25"/>
        </w:trPr>
        <w:tc>
          <w:tcPr>
            <w:tcW w:w="3261" w:type="dxa"/>
            <w:tcBorders>
              <w:top w:val="nil"/>
              <w:left w:val="nil"/>
              <w:bottom w:val="nil"/>
              <w:right w:val="nil"/>
            </w:tcBorders>
            <w:tcMar>
              <w:top w:w="100" w:type="dxa"/>
              <w:left w:w="100" w:type="dxa"/>
              <w:bottom w:w="100" w:type="dxa"/>
              <w:right w:w="100" w:type="dxa"/>
            </w:tcMar>
          </w:tcPr>
          <w:p w14:paraId="000007BD" w14:textId="62E7E42C"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9. AEBQ-</w:t>
            </w:r>
            <w:r w:rsidR="009F5CAE" w:rsidRPr="009F5CAE">
              <w:rPr>
                <w:rFonts w:ascii="Times New Roman" w:eastAsia="Times New Roman" w:hAnsi="Times New Roman" w:cs="Times New Roman"/>
                <w:sz w:val="20"/>
                <w:szCs w:val="20"/>
              </w:rPr>
              <w:t xml:space="preserve"> </w:t>
            </w:r>
            <w:r w:rsidR="009F5CAE">
              <w:rPr>
                <w:rFonts w:ascii="Times New Roman" w:eastAsia="Times New Roman" w:hAnsi="Times New Roman" w:cs="Times New Roman"/>
              </w:rPr>
              <w:t>e</w:t>
            </w:r>
            <w:r w:rsidR="009F5CAE" w:rsidRPr="009F5CAE">
              <w:rPr>
                <w:rFonts w:ascii="Times New Roman" w:eastAsia="Times New Roman" w:hAnsi="Times New Roman" w:cs="Times New Roman"/>
              </w:rPr>
              <w:t>njoy of food</w:t>
            </w:r>
          </w:p>
        </w:tc>
        <w:tc>
          <w:tcPr>
            <w:tcW w:w="850" w:type="dxa"/>
            <w:tcBorders>
              <w:top w:val="nil"/>
              <w:left w:val="nil"/>
              <w:bottom w:val="nil"/>
              <w:right w:val="nil"/>
            </w:tcBorders>
            <w:tcMar>
              <w:top w:w="100" w:type="dxa"/>
              <w:left w:w="100" w:type="dxa"/>
              <w:bottom w:w="100" w:type="dxa"/>
              <w:right w:w="100" w:type="dxa"/>
            </w:tcMar>
          </w:tcPr>
          <w:p w14:paraId="000007B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851" w:type="dxa"/>
            <w:tcBorders>
              <w:top w:val="nil"/>
              <w:left w:val="nil"/>
              <w:bottom w:val="nil"/>
              <w:right w:val="nil"/>
            </w:tcBorders>
            <w:tcMar>
              <w:top w:w="100" w:type="dxa"/>
              <w:left w:w="100" w:type="dxa"/>
              <w:bottom w:w="100" w:type="dxa"/>
              <w:right w:w="100" w:type="dxa"/>
            </w:tcMar>
          </w:tcPr>
          <w:p w14:paraId="000007B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.08</w:t>
            </w:r>
          </w:p>
        </w:tc>
        <w:tc>
          <w:tcPr>
            <w:tcW w:w="988" w:type="dxa"/>
            <w:tcBorders>
              <w:top w:val="nil"/>
              <w:left w:val="nil"/>
              <w:bottom w:val="nil"/>
              <w:right w:val="nil"/>
            </w:tcBorders>
            <w:tcMar>
              <w:top w:w="100" w:type="dxa"/>
              <w:left w:w="100" w:type="dxa"/>
              <w:bottom w:w="100" w:type="dxa"/>
              <w:right w:w="100" w:type="dxa"/>
            </w:tcMar>
          </w:tcPr>
          <w:p w14:paraId="000007C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-.07</w:t>
            </w:r>
          </w:p>
        </w:tc>
        <w:tc>
          <w:tcPr>
            <w:tcW w:w="1108" w:type="dxa"/>
            <w:tcBorders>
              <w:top w:val="nil"/>
              <w:left w:val="nil"/>
              <w:bottom w:val="nil"/>
              <w:right w:val="nil"/>
            </w:tcBorders>
            <w:tcMar>
              <w:top w:w="100" w:type="dxa"/>
              <w:left w:w="100" w:type="dxa"/>
              <w:bottom w:w="100" w:type="dxa"/>
              <w:right w:w="100" w:type="dxa"/>
            </w:tcMar>
          </w:tcPr>
          <w:p w14:paraId="000007C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152" w:type="dxa"/>
            <w:tcBorders>
              <w:top w:val="nil"/>
              <w:left w:val="nil"/>
              <w:bottom w:val="nil"/>
              <w:right w:val="nil"/>
            </w:tcBorders>
            <w:tcMar>
              <w:top w:w="100" w:type="dxa"/>
              <w:left w:w="100" w:type="dxa"/>
              <w:bottom w:w="100" w:type="dxa"/>
              <w:right w:w="100" w:type="dxa"/>
            </w:tcMar>
          </w:tcPr>
          <w:p w14:paraId="000007C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1006" w:type="dxa"/>
            <w:tcBorders>
              <w:top w:val="nil"/>
              <w:left w:val="nil"/>
              <w:bottom w:val="nil"/>
              <w:right w:val="nil"/>
            </w:tcBorders>
            <w:tcMar>
              <w:top w:w="100" w:type="dxa"/>
              <w:left w:w="100" w:type="dxa"/>
              <w:bottom w:w="100" w:type="dxa"/>
              <w:right w:w="100" w:type="dxa"/>
            </w:tcMar>
          </w:tcPr>
          <w:p w14:paraId="000007C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.36</w:t>
            </w:r>
            <w:r>
              <w:rPr>
                <w:rFonts w:ascii="Times New Roman" w:eastAsia="Times New Roman" w:hAnsi="Times New Roman" w:cs="Times New Roman"/>
                <w:vertAlign w:val="superscript"/>
              </w:rPr>
              <w:t>*</w:t>
            </w:r>
          </w:p>
        </w:tc>
        <w:tc>
          <w:tcPr>
            <w:tcW w:w="1035" w:type="dxa"/>
            <w:tcBorders>
              <w:top w:val="nil"/>
              <w:left w:val="nil"/>
              <w:bottom w:val="nil"/>
              <w:right w:val="nil"/>
            </w:tcBorders>
            <w:tcMar>
              <w:top w:w="100" w:type="dxa"/>
              <w:left w:w="100" w:type="dxa"/>
              <w:bottom w:w="100" w:type="dxa"/>
              <w:right w:w="100" w:type="dxa"/>
            </w:tcMar>
          </w:tcPr>
          <w:p w14:paraId="000007C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-.04</w:t>
            </w:r>
          </w:p>
        </w:tc>
        <w:tc>
          <w:tcPr>
            <w:tcW w:w="787" w:type="dxa"/>
            <w:tcBorders>
              <w:top w:val="nil"/>
              <w:left w:val="nil"/>
              <w:bottom w:val="nil"/>
              <w:right w:val="nil"/>
            </w:tcBorders>
            <w:tcMar>
              <w:top w:w="100" w:type="dxa"/>
              <w:left w:w="100" w:type="dxa"/>
              <w:bottom w:w="100" w:type="dxa"/>
              <w:right w:w="100" w:type="dxa"/>
            </w:tcMar>
          </w:tcPr>
          <w:p w14:paraId="000007C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-.03</w:t>
            </w:r>
          </w:p>
        </w:tc>
        <w:tc>
          <w:tcPr>
            <w:tcW w:w="787" w:type="dxa"/>
            <w:tcBorders>
              <w:top w:val="nil"/>
              <w:left w:val="nil"/>
              <w:bottom w:val="nil"/>
              <w:right w:val="nil"/>
            </w:tcBorders>
            <w:tcMar>
              <w:top w:w="100" w:type="dxa"/>
              <w:left w:w="100" w:type="dxa"/>
              <w:bottom w:w="100" w:type="dxa"/>
              <w:right w:w="100" w:type="dxa"/>
            </w:tcMar>
          </w:tcPr>
          <w:p w14:paraId="000007C6" w14:textId="77777777" w:rsidR="00CB4215" w:rsidRDefault="00CB4215">
            <w:pPr>
              <w:spacing w:line="240" w:lineRule="auto"/>
              <w:rPr>
                <w:rFonts w:ascii="Times New Roman" w:eastAsia="Times New Roman" w:hAnsi="Times New Roman" w:cs="Times New Roman"/>
              </w:rPr>
            </w:pPr>
          </w:p>
        </w:tc>
        <w:tc>
          <w:tcPr>
            <w:tcW w:w="831" w:type="dxa"/>
            <w:tcBorders>
              <w:top w:val="nil"/>
              <w:left w:val="nil"/>
              <w:bottom w:val="nil"/>
              <w:right w:val="nil"/>
            </w:tcBorders>
            <w:tcMar>
              <w:top w:w="100" w:type="dxa"/>
              <w:left w:w="100" w:type="dxa"/>
              <w:bottom w:w="100" w:type="dxa"/>
              <w:right w:w="100" w:type="dxa"/>
            </w:tcMar>
          </w:tcPr>
          <w:p w14:paraId="000007C7" w14:textId="77777777" w:rsidR="00CB4215" w:rsidRDefault="00CB4215">
            <w:pPr>
              <w:spacing w:line="240" w:lineRule="auto"/>
              <w:rPr>
                <w:rFonts w:ascii="Times New Roman" w:eastAsia="Times New Roman" w:hAnsi="Times New Roman" w:cs="Times New Roman"/>
              </w:rPr>
            </w:pPr>
          </w:p>
        </w:tc>
        <w:tc>
          <w:tcPr>
            <w:tcW w:w="802" w:type="dxa"/>
            <w:tcBorders>
              <w:top w:val="nil"/>
              <w:left w:val="nil"/>
              <w:bottom w:val="nil"/>
              <w:right w:val="nil"/>
            </w:tcBorders>
            <w:tcMar>
              <w:top w:w="100" w:type="dxa"/>
              <w:left w:w="100" w:type="dxa"/>
              <w:bottom w:w="100" w:type="dxa"/>
              <w:right w:w="100" w:type="dxa"/>
            </w:tcMar>
          </w:tcPr>
          <w:p w14:paraId="000007C8"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7C9" w14:textId="77777777" w:rsidR="00CB4215" w:rsidRDefault="00CB4215">
            <w:pPr>
              <w:spacing w:line="240" w:lineRule="auto"/>
              <w:rPr>
                <w:rFonts w:ascii="Times New Roman" w:eastAsia="Times New Roman" w:hAnsi="Times New Roman" w:cs="Times New Roman"/>
              </w:rPr>
            </w:pPr>
          </w:p>
        </w:tc>
      </w:tr>
      <w:tr w:rsidR="00CB4215" w14:paraId="628E74FF" w14:textId="77777777" w:rsidTr="009F5CAE">
        <w:trPr>
          <w:trHeight w:val="25"/>
        </w:trPr>
        <w:tc>
          <w:tcPr>
            <w:tcW w:w="3261" w:type="dxa"/>
            <w:tcBorders>
              <w:top w:val="nil"/>
              <w:left w:val="nil"/>
              <w:bottom w:val="nil"/>
              <w:right w:val="nil"/>
            </w:tcBorders>
            <w:tcMar>
              <w:top w:w="100" w:type="dxa"/>
              <w:left w:w="100" w:type="dxa"/>
              <w:bottom w:w="100" w:type="dxa"/>
              <w:right w:w="100" w:type="dxa"/>
            </w:tcMar>
          </w:tcPr>
          <w:p w14:paraId="000007CA" w14:textId="2757AC62"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 AEBQ-</w:t>
            </w:r>
            <w:r w:rsidR="009F5CAE" w:rsidRPr="009F5CAE">
              <w:rPr>
                <w:rFonts w:ascii="Times New Roman" w:eastAsia="Times New Roman" w:hAnsi="Times New Roman" w:cs="Times New Roman"/>
                <w:sz w:val="20"/>
                <w:szCs w:val="20"/>
              </w:rPr>
              <w:t xml:space="preserve"> </w:t>
            </w:r>
            <w:r w:rsidR="009F5CAE">
              <w:rPr>
                <w:rFonts w:ascii="Times New Roman" w:eastAsia="Times New Roman" w:hAnsi="Times New Roman" w:cs="Times New Roman"/>
              </w:rPr>
              <w:t>s</w:t>
            </w:r>
            <w:r w:rsidR="009F5CAE" w:rsidRPr="009F5CAE">
              <w:rPr>
                <w:rFonts w:ascii="Times New Roman" w:eastAsia="Times New Roman" w:hAnsi="Times New Roman" w:cs="Times New Roman"/>
              </w:rPr>
              <w:t xml:space="preserve">atiety </w:t>
            </w:r>
            <w:r w:rsidR="009F5CAE">
              <w:rPr>
                <w:rFonts w:ascii="Times New Roman" w:eastAsia="Times New Roman" w:hAnsi="Times New Roman" w:cs="Times New Roman"/>
              </w:rPr>
              <w:t>r</w:t>
            </w:r>
            <w:r w:rsidR="009F5CAE" w:rsidRPr="009F5CAE">
              <w:rPr>
                <w:rFonts w:ascii="Times New Roman" w:eastAsia="Times New Roman" w:hAnsi="Times New Roman" w:cs="Times New Roman"/>
              </w:rPr>
              <w:t>esponsiveness</w:t>
            </w:r>
          </w:p>
        </w:tc>
        <w:tc>
          <w:tcPr>
            <w:tcW w:w="850" w:type="dxa"/>
            <w:tcBorders>
              <w:top w:val="nil"/>
              <w:left w:val="nil"/>
              <w:bottom w:val="nil"/>
              <w:right w:val="nil"/>
            </w:tcBorders>
            <w:tcMar>
              <w:top w:w="100" w:type="dxa"/>
              <w:left w:w="100" w:type="dxa"/>
              <w:bottom w:w="100" w:type="dxa"/>
              <w:right w:w="100" w:type="dxa"/>
            </w:tcMar>
          </w:tcPr>
          <w:p w14:paraId="000007C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851" w:type="dxa"/>
            <w:tcBorders>
              <w:top w:val="nil"/>
              <w:left w:val="nil"/>
              <w:bottom w:val="nil"/>
              <w:right w:val="nil"/>
            </w:tcBorders>
            <w:tcMar>
              <w:top w:w="100" w:type="dxa"/>
              <w:left w:w="100" w:type="dxa"/>
              <w:bottom w:w="100" w:type="dxa"/>
              <w:right w:w="100" w:type="dxa"/>
            </w:tcMar>
          </w:tcPr>
          <w:p w14:paraId="000007C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.09</w:t>
            </w:r>
          </w:p>
        </w:tc>
        <w:tc>
          <w:tcPr>
            <w:tcW w:w="988" w:type="dxa"/>
            <w:tcBorders>
              <w:top w:val="nil"/>
              <w:left w:val="nil"/>
              <w:bottom w:val="nil"/>
              <w:right w:val="nil"/>
            </w:tcBorders>
            <w:tcMar>
              <w:top w:w="100" w:type="dxa"/>
              <w:left w:w="100" w:type="dxa"/>
              <w:bottom w:w="100" w:type="dxa"/>
              <w:right w:w="100" w:type="dxa"/>
            </w:tcMar>
          </w:tcPr>
          <w:p w14:paraId="000007C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.36</w:t>
            </w:r>
          </w:p>
        </w:tc>
        <w:tc>
          <w:tcPr>
            <w:tcW w:w="1108" w:type="dxa"/>
            <w:tcBorders>
              <w:top w:val="nil"/>
              <w:left w:val="nil"/>
              <w:bottom w:val="nil"/>
              <w:right w:val="nil"/>
            </w:tcBorders>
            <w:tcMar>
              <w:top w:w="100" w:type="dxa"/>
              <w:left w:w="100" w:type="dxa"/>
              <w:bottom w:w="100" w:type="dxa"/>
              <w:right w:w="100" w:type="dxa"/>
            </w:tcMar>
          </w:tcPr>
          <w:p w14:paraId="000007C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-.38</w:t>
            </w:r>
            <w:r>
              <w:rPr>
                <w:rFonts w:ascii="Times New Roman" w:eastAsia="Times New Roman" w:hAnsi="Times New Roman" w:cs="Times New Roman"/>
                <w:vertAlign w:val="superscript"/>
              </w:rPr>
              <w:t>*</w:t>
            </w:r>
          </w:p>
        </w:tc>
        <w:tc>
          <w:tcPr>
            <w:tcW w:w="1152" w:type="dxa"/>
            <w:tcBorders>
              <w:top w:val="nil"/>
              <w:left w:val="nil"/>
              <w:bottom w:val="nil"/>
              <w:right w:val="nil"/>
            </w:tcBorders>
            <w:tcMar>
              <w:top w:w="100" w:type="dxa"/>
              <w:left w:w="100" w:type="dxa"/>
              <w:bottom w:w="100" w:type="dxa"/>
              <w:right w:w="100" w:type="dxa"/>
            </w:tcMar>
          </w:tcPr>
          <w:p w14:paraId="000007C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1006" w:type="dxa"/>
            <w:tcBorders>
              <w:top w:val="nil"/>
              <w:left w:val="nil"/>
              <w:bottom w:val="nil"/>
              <w:right w:val="nil"/>
            </w:tcBorders>
            <w:tcMar>
              <w:top w:w="100" w:type="dxa"/>
              <w:left w:w="100" w:type="dxa"/>
              <w:bottom w:w="100" w:type="dxa"/>
              <w:right w:w="100" w:type="dxa"/>
            </w:tcMar>
          </w:tcPr>
          <w:p w14:paraId="000007D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-.40</w:t>
            </w:r>
            <w:r>
              <w:rPr>
                <w:rFonts w:ascii="Times New Roman" w:eastAsia="Times New Roman" w:hAnsi="Times New Roman" w:cs="Times New Roman"/>
                <w:vertAlign w:val="superscript"/>
              </w:rPr>
              <w:t>*</w:t>
            </w:r>
          </w:p>
        </w:tc>
        <w:tc>
          <w:tcPr>
            <w:tcW w:w="1035" w:type="dxa"/>
            <w:tcBorders>
              <w:top w:val="nil"/>
              <w:left w:val="nil"/>
              <w:bottom w:val="nil"/>
              <w:right w:val="nil"/>
            </w:tcBorders>
            <w:tcMar>
              <w:top w:w="100" w:type="dxa"/>
              <w:left w:w="100" w:type="dxa"/>
              <w:bottom w:w="100" w:type="dxa"/>
              <w:right w:w="100" w:type="dxa"/>
            </w:tcMar>
          </w:tcPr>
          <w:p w14:paraId="000007D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787" w:type="dxa"/>
            <w:tcBorders>
              <w:top w:val="nil"/>
              <w:left w:val="nil"/>
              <w:bottom w:val="nil"/>
              <w:right w:val="nil"/>
            </w:tcBorders>
            <w:tcMar>
              <w:top w:w="100" w:type="dxa"/>
              <w:left w:w="100" w:type="dxa"/>
              <w:bottom w:w="100" w:type="dxa"/>
              <w:right w:w="100" w:type="dxa"/>
            </w:tcMar>
          </w:tcPr>
          <w:p w14:paraId="000007D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787" w:type="dxa"/>
            <w:tcBorders>
              <w:top w:val="nil"/>
              <w:left w:val="nil"/>
              <w:bottom w:val="nil"/>
              <w:right w:val="nil"/>
            </w:tcBorders>
            <w:tcMar>
              <w:top w:w="100" w:type="dxa"/>
              <w:left w:w="100" w:type="dxa"/>
              <w:bottom w:w="100" w:type="dxa"/>
              <w:right w:w="100" w:type="dxa"/>
            </w:tcMar>
          </w:tcPr>
          <w:p w14:paraId="000007D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831" w:type="dxa"/>
            <w:tcBorders>
              <w:top w:val="nil"/>
              <w:left w:val="nil"/>
              <w:bottom w:val="nil"/>
              <w:right w:val="nil"/>
            </w:tcBorders>
            <w:tcMar>
              <w:top w:w="100" w:type="dxa"/>
              <w:left w:w="100" w:type="dxa"/>
              <w:bottom w:w="100" w:type="dxa"/>
              <w:right w:w="100" w:type="dxa"/>
            </w:tcMar>
          </w:tcPr>
          <w:p w14:paraId="000007D4" w14:textId="77777777" w:rsidR="00CB4215" w:rsidRDefault="00CB4215">
            <w:pPr>
              <w:spacing w:line="240" w:lineRule="auto"/>
              <w:rPr>
                <w:rFonts w:ascii="Times New Roman" w:eastAsia="Times New Roman" w:hAnsi="Times New Roman" w:cs="Times New Roman"/>
              </w:rPr>
            </w:pPr>
          </w:p>
        </w:tc>
        <w:tc>
          <w:tcPr>
            <w:tcW w:w="802" w:type="dxa"/>
            <w:tcBorders>
              <w:top w:val="nil"/>
              <w:left w:val="nil"/>
              <w:bottom w:val="nil"/>
              <w:right w:val="nil"/>
            </w:tcBorders>
            <w:tcMar>
              <w:top w:w="100" w:type="dxa"/>
              <w:left w:w="100" w:type="dxa"/>
              <w:bottom w:w="100" w:type="dxa"/>
              <w:right w:w="100" w:type="dxa"/>
            </w:tcMar>
          </w:tcPr>
          <w:p w14:paraId="000007D5"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7D6" w14:textId="77777777" w:rsidR="00CB4215" w:rsidRDefault="00CB4215">
            <w:pPr>
              <w:spacing w:line="240" w:lineRule="auto"/>
              <w:rPr>
                <w:rFonts w:ascii="Times New Roman" w:eastAsia="Times New Roman" w:hAnsi="Times New Roman" w:cs="Times New Roman"/>
              </w:rPr>
            </w:pPr>
          </w:p>
        </w:tc>
      </w:tr>
      <w:tr w:rsidR="00CB4215" w14:paraId="0E2B54FF" w14:textId="77777777" w:rsidTr="009F5CAE">
        <w:trPr>
          <w:trHeight w:val="25"/>
        </w:trPr>
        <w:tc>
          <w:tcPr>
            <w:tcW w:w="3261" w:type="dxa"/>
            <w:tcBorders>
              <w:top w:val="nil"/>
              <w:left w:val="nil"/>
              <w:bottom w:val="nil"/>
              <w:right w:val="nil"/>
            </w:tcBorders>
            <w:tcMar>
              <w:top w:w="100" w:type="dxa"/>
              <w:left w:w="100" w:type="dxa"/>
              <w:bottom w:w="100" w:type="dxa"/>
              <w:right w:w="100" w:type="dxa"/>
            </w:tcMar>
          </w:tcPr>
          <w:p w14:paraId="000007D7" w14:textId="32CAD66B"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11. AEBQ-</w:t>
            </w:r>
            <w:r w:rsidR="009F5CAE" w:rsidRPr="009F5CAE">
              <w:rPr>
                <w:rFonts w:ascii="Times New Roman" w:eastAsia="Times New Roman" w:hAnsi="Times New Roman" w:cs="Times New Roman"/>
                <w:sz w:val="20"/>
                <w:szCs w:val="20"/>
              </w:rPr>
              <w:t xml:space="preserve"> </w:t>
            </w:r>
            <w:r w:rsidR="009F5CAE">
              <w:rPr>
                <w:rFonts w:ascii="Times New Roman" w:eastAsia="Times New Roman" w:hAnsi="Times New Roman" w:cs="Times New Roman"/>
              </w:rPr>
              <w:t>s</w:t>
            </w:r>
            <w:r w:rsidR="009F5CAE" w:rsidRPr="009F5CAE">
              <w:rPr>
                <w:rFonts w:ascii="Times New Roman" w:eastAsia="Times New Roman" w:hAnsi="Times New Roman" w:cs="Times New Roman"/>
              </w:rPr>
              <w:t>lowness in eating</w:t>
            </w:r>
          </w:p>
        </w:tc>
        <w:tc>
          <w:tcPr>
            <w:tcW w:w="850" w:type="dxa"/>
            <w:tcBorders>
              <w:top w:val="nil"/>
              <w:left w:val="nil"/>
              <w:bottom w:val="nil"/>
              <w:right w:val="nil"/>
            </w:tcBorders>
            <w:tcMar>
              <w:top w:w="100" w:type="dxa"/>
              <w:left w:w="100" w:type="dxa"/>
              <w:bottom w:w="100" w:type="dxa"/>
              <w:right w:w="100" w:type="dxa"/>
            </w:tcMar>
          </w:tcPr>
          <w:p w14:paraId="000007D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.02</w:t>
            </w:r>
          </w:p>
        </w:tc>
        <w:tc>
          <w:tcPr>
            <w:tcW w:w="851" w:type="dxa"/>
            <w:tcBorders>
              <w:top w:val="nil"/>
              <w:left w:val="nil"/>
              <w:bottom w:val="nil"/>
              <w:right w:val="nil"/>
            </w:tcBorders>
            <w:tcMar>
              <w:top w:w="100" w:type="dxa"/>
              <w:left w:w="100" w:type="dxa"/>
              <w:bottom w:w="100" w:type="dxa"/>
              <w:right w:w="100" w:type="dxa"/>
            </w:tcMar>
          </w:tcPr>
          <w:p w14:paraId="000007D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-.03</w:t>
            </w:r>
          </w:p>
        </w:tc>
        <w:tc>
          <w:tcPr>
            <w:tcW w:w="988" w:type="dxa"/>
            <w:tcBorders>
              <w:top w:val="nil"/>
              <w:left w:val="nil"/>
              <w:bottom w:val="nil"/>
              <w:right w:val="nil"/>
            </w:tcBorders>
            <w:tcMar>
              <w:top w:w="100" w:type="dxa"/>
              <w:left w:w="100" w:type="dxa"/>
              <w:bottom w:w="100" w:type="dxa"/>
              <w:right w:w="100" w:type="dxa"/>
            </w:tcMar>
          </w:tcPr>
          <w:p w14:paraId="000007D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.06</w:t>
            </w:r>
          </w:p>
        </w:tc>
        <w:tc>
          <w:tcPr>
            <w:tcW w:w="1108" w:type="dxa"/>
            <w:tcBorders>
              <w:top w:val="nil"/>
              <w:left w:val="nil"/>
              <w:bottom w:val="nil"/>
              <w:right w:val="nil"/>
            </w:tcBorders>
            <w:tcMar>
              <w:top w:w="100" w:type="dxa"/>
              <w:left w:w="100" w:type="dxa"/>
              <w:bottom w:w="100" w:type="dxa"/>
              <w:right w:w="100" w:type="dxa"/>
            </w:tcMar>
          </w:tcPr>
          <w:p w14:paraId="000007D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-.54</w:t>
            </w:r>
            <w:r>
              <w:rPr>
                <w:rFonts w:ascii="Times New Roman" w:eastAsia="Times New Roman" w:hAnsi="Times New Roman" w:cs="Times New Roman"/>
                <w:vertAlign w:val="superscript"/>
              </w:rPr>
              <w:t>**</w:t>
            </w:r>
          </w:p>
        </w:tc>
        <w:tc>
          <w:tcPr>
            <w:tcW w:w="1152" w:type="dxa"/>
            <w:tcBorders>
              <w:top w:val="nil"/>
              <w:left w:val="nil"/>
              <w:bottom w:val="nil"/>
              <w:right w:val="nil"/>
            </w:tcBorders>
            <w:tcMar>
              <w:top w:w="100" w:type="dxa"/>
              <w:left w:w="100" w:type="dxa"/>
              <w:bottom w:w="100" w:type="dxa"/>
              <w:right w:w="100" w:type="dxa"/>
            </w:tcMar>
          </w:tcPr>
          <w:p w14:paraId="000007D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1006" w:type="dxa"/>
            <w:tcBorders>
              <w:top w:val="nil"/>
              <w:left w:val="nil"/>
              <w:bottom w:val="nil"/>
              <w:right w:val="nil"/>
            </w:tcBorders>
            <w:tcMar>
              <w:top w:w="100" w:type="dxa"/>
              <w:left w:w="100" w:type="dxa"/>
              <w:bottom w:w="100" w:type="dxa"/>
              <w:right w:w="100" w:type="dxa"/>
            </w:tcMar>
          </w:tcPr>
          <w:p w14:paraId="000007D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-.24</w:t>
            </w:r>
          </w:p>
        </w:tc>
        <w:tc>
          <w:tcPr>
            <w:tcW w:w="1035" w:type="dxa"/>
            <w:tcBorders>
              <w:top w:val="nil"/>
              <w:left w:val="nil"/>
              <w:bottom w:val="nil"/>
              <w:right w:val="nil"/>
            </w:tcBorders>
            <w:tcMar>
              <w:top w:w="100" w:type="dxa"/>
              <w:left w:w="100" w:type="dxa"/>
              <w:bottom w:w="100" w:type="dxa"/>
              <w:right w:w="100" w:type="dxa"/>
            </w:tcMar>
          </w:tcPr>
          <w:p w14:paraId="000007D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787" w:type="dxa"/>
            <w:tcBorders>
              <w:top w:val="nil"/>
              <w:left w:val="nil"/>
              <w:bottom w:val="nil"/>
              <w:right w:val="nil"/>
            </w:tcBorders>
            <w:tcMar>
              <w:top w:w="100" w:type="dxa"/>
              <w:left w:w="100" w:type="dxa"/>
              <w:bottom w:w="100" w:type="dxa"/>
              <w:right w:w="100" w:type="dxa"/>
            </w:tcMar>
          </w:tcPr>
          <w:p w14:paraId="000007D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.28</w:t>
            </w:r>
          </w:p>
        </w:tc>
        <w:tc>
          <w:tcPr>
            <w:tcW w:w="787" w:type="dxa"/>
            <w:tcBorders>
              <w:top w:val="nil"/>
              <w:left w:val="nil"/>
              <w:bottom w:val="nil"/>
              <w:right w:val="nil"/>
            </w:tcBorders>
            <w:tcMar>
              <w:top w:w="100" w:type="dxa"/>
              <w:left w:w="100" w:type="dxa"/>
              <w:bottom w:w="100" w:type="dxa"/>
              <w:right w:w="100" w:type="dxa"/>
            </w:tcMar>
          </w:tcPr>
          <w:p w14:paraId="000007E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831" w:type="dxa"/>
            <w:tcBorders>
              <w:top w:val="nil"/>
              <w:left w:val="nil"/>
              <w:bottom w:val="nil"/>
              <w:right w:val="nil"/>
            </w:tcBorders>
            <w:tcMar>
              <w:top w:w="100" w:type="dxa"/>
              <w:left w:w="100" w:type="dxa"/>
              <w:bottom w:w="100" w:type="dxa"/>
              <w:right w:w="100" w:type="dxa"/>
            </w:tcMar>
          </w:tcPr>
          <w:p w14:paraId="000007E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.46</w:t>
            </w:r>
            <w:r>
              <w:rPr>
                <w:rFonts w:ascii="Times New Roman" w:eastAsia="Times New Roman" w:hAnsi="Times New Roman" w:cs="Times New Roman"/>
                <w:vertAlign w:val="superscript"/>
              </w:rPr>
              <w:t>*</w:t>
            </w:r>
          </w:p>
        </w:tc>
        <w:tc>
          <w:tcPr>
            <w:tcW w:w="802" w:type="dxa"/>
            <w:tcBorders>
              <w:top w:val="nil"/>
              <w:left w:val="nil"/>
              <w:bottom w:val="nil"/>
              <w:right w:val="nil"/>
            </w:tcBorders>
            <w:tcMar>
              <w:top w:w="100" w:type="dxa"/>
              <w:left w:w="100" w:type="dxa"/>
              <w:bottom w:w="100" w:type="dxa"/>
              <w:right w:w="100" w:type="dxa"/>
            </w:tcMar>
          </w:tcPr>
          <w:p w14:paraId="000007E2"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7E3" w14:textId="77777777" w:rsidR="00CB4215" w:rsidRDefault="00CB4215">
            <w:pPr>
              <w:spacing w:line="240" w:lineRule="auto"/>
              <w:rPr>
                <w:rFonts w:ascii="Times New Roman" w:eastAsia="Times New Roman" w:hAnsi="Times New Roman" w:cs="Times New Roman"/>
              </w:rPr>
            </w:pPr>
          </w:p>
        </w:tc>
      </w:tr>
      <w:tr w:rsidR="00CB4215" w14:paraId="2F6885DE" w14:textId="77777777" w:rsidTr="009F5CAE">
        <w:trPr>
          <w:trHeight w:val="25"/>
        </w:trPr>
        <w:tc>
          <w:tcPr>
            <w:tcW w:w="3261" w:type="dxa"/>
            <w:tcBorders>
              <w:top w:val="nil"/>
              <w:left w:val="nil"/>
              <w:bottom w:val="single" w:sz="8" w:space="0" w:color="000000"/>
              <w:right w:val="nil"/>
            </w:tcBorders>
            <w:tcMar>
              <w:top w:w="100" w:type="dxa"/>
              <w:left w:w="100" w:type="dxa"/>
              <w:bottom w:w="100" w:type="dxa"/>
              <w:right w:w="100" w:type="dxa"/>
            </w:tcMar>
          </w:tcPr>
          <w:p w14:paraId="000007E4" w14:textId="4AD954A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12. C</w:t>
            </w:r>
            <w:r w:rsidR="00577175">
              <w:rPr>
                <w:rFonts w:ascii="Times New Roman" w:eastAsia="Times New Roman" w:hAnsi="Times New Roman" w:cs="Times New Roman"/>
              </w:rPr>
              <w:t>O</w:t>
            </w:r>
            <w:r>
              <w:rPr>
                <w:rFonts w:ascii="Times New Roman" w:eastAsia="Times New Roman" w:hAnsi="Times New Roman" w:cs="Times New Roman"/>
              </w:rPr>
              <w:t>EQ-</w:t>
            </w:r>
            <w:r w:rsidR="009F5CAE" w:rsidRPr="009F5CAE">
              <w:rPr>
                <w:rFonts w:ascii="Times New Roman" w:eastAsia="Times New Roman" w:hAnsi="Times New Roman" w:cs="Times New Roman"/>
                <w:sz w:val="20"/>
                <w:szCs w:val="20"/>
              </w:rPr>
              <w:t xml:space="preserve"> </w:t>
            </w:r>
            <w:r w:rsidR="009F5CAE">
              <w:rPr>
                <w:rFonts w:ascii="Times New Roman" w:eastAsia="Times New Roman" w:hAnsi="Times New Roman" w:cs="Times New Roman"/>
              </w:rPr>
              <w:t>c</w:t>
            </w:r>
            <w:r w:rsidR="009F5CAE" w:rsidRPr="009F5CAE">
              <w:rPr>
                <w:rFonts w:ascii="Times New Roman" w:eastAsia="Times New Roman" w:hAnsi="Times New Roman" w:cs="Times New Roman"/>
              </w:rPr>
              <w:t xml:space="preserve">raving </w:t>
            </w:r>
            <w:r w:rsidR="00634CA9">
              <w:rPr>
                <w:rFonts w:ascii="Times New Roman" w:eastAsia="Times New Roman" w:hAnsi="Times New Roman" w:cs="Times New Roman"/>
              </w:rPr>
              <w:t>c</w:t>
            </w:r>
            <w:r w:rsidR="009F5CAE" w:rsidRPr="009F5CAE">
              <w:rPr>
                <w:rFonts w:ascii="Times New Roman" w:eastAsia="Times New Roman" w:hAnsi="Times New Roman" w:cs="Times New Roman"/>
              </w:rPr>
              <w:t>ontrol</w:t>
            </w:r>
          </w:p>
        </w:tc>
        <w:tc>
          <w:tcPr>
            <w:tcW w:w="850" w:type="dxa"/>
            <w:tcBorders>
              <w:top w:val="nil"/>
              <w:left w:val="nil"/>
              <w:bottom w:val="single" w:sz="8" w:space="0" w:color="000000"/>
              <w:right w:val="nil"/>
            </w:tcBorders>
            <w:tcMar>
              <w:top w:w="100" w:type="dxa"/>
              <w:left w:w="100" w:type="dxa"/>
              <w:bottom w:w="100" w:type="dxa"/>
              <w:right w:w="100" w:type="dxa"/>
            </w:tcMar>
          </w:tcPr>
          <w:p w14:paraId="000007E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-.22</w:t>
            </w:r>
          </w:p>
        </w:tc>
        <w:tc>
          <w:tcPr>
            <w:tcW w:w="851" w:type="dxa"/>
            <w:tcBorders>
              <w:top w:val="nil"/>
              <w:left w:val="nil"/>
              <w:bottom w:val="single" w:sz="8" w:space="0" w:color="000000"/>
              <w:right w:val="nil"/>
            </w:tcBorders>
            <w:tcMar>
              <w:top w:w="100" w:type="dxa"/>
              <w:left w:w="100" w:type="dxa"/>
              <w:bottom w:w="100" w:type="dxa"/>
              <w:right w:w="100" w:type="dxa"/>
            </w:tcMar>
          </w:tcPr>
          <w:p w14:paraId="000007E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-.28</w:t>
            </w:r>
          </w:p>
        </w:tc>
        <w:tc>
          <w:tcPr>
            <w:tcW w:w="988" w:type="dxa"/>
            <w:tcBorders>
              <w:top w:val="nil"/>
              <w:left w:val="nil"/>
              <w:bottom w:val="single" w:sz="8" w:space="0" w:color="000000"/>
              <w:right w:val="nil"/>
            </w:tcBorders>
            <w:tcMar>
              <w:top w:w="100" w:type="dxa"/>
              <w:left w:w="100" w:type="dxa"/>
              <w:bottom w:w="100" w:type="dxa"/>
              <w:right w:w="100" w:type="dxa"/>
            </w:tcMar>
          </w:tcPr>
          <w:p w14:paraId="000007E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.48</w:t>
            </w:r>
            <w:r>
              <w:rPr>
                <w:rFonts w:ascii="Times New Roman" w:eastAsia="Times New Roman" w:hAnsi="Times New Roman" w:cs="Times New Roman"/>
                <w:vertAlign w:val="superscript"/>
              </w:rPr>
              <w:t>**</w:t>
            </w:r>
          </w:p>
        </w:tc>
        <w:tc>
          <w:tcPr>
            <w:tcW w:w="1108" w:type="dxa"/>
            <w:tcBorders>
              <w:top w:val="nil"/>
              <w:left w:val="nil"/>
              <w:bottom w:val="single" w:sz="8" w:space="0" w:color="000000"/>
              <w:right w:val="nil"/>
            </w:tcBorders>
            <w:tcMar>
              <w:top w:w="100" w:type="dxa"/>
              <w:left w:w="100" w:type="dxa"/>
              <w:bottom w:w="100" w:type="dxa"/>
              <w:right w:w="100" w:type="dxa"/>
            </w:tcMar>
          </w:tcPr>
          <w:p w14:paraId="000007E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-.66</w:t>
            </w:r>
            <w:r>
              <w:rPr>
                <w:rFonts w:ascii="Times New Roman" w:eastAsia="Times New Roman" w:hAnsi="Times New Roman" w:cs="Times New Roman"/>
                <w:vertAlign w:val="superscript"/>
              </w:rPr>
              <w:t>**</w:t>
            </w:r>
          </w:p>
        </w:tc>
        <w:tc>
          <w:tcPr>
            <w:tcW w:w="1152" w:type="dxa"/>
            <w:tcBorders>
              <w:top w:val="nil"/>
              <w:left w:val="nil"/>
              <w:bottom w:val="single" w:sz="8" w:space="0" w:color="000000"/>
              <w:right w:val="nil"/>
            </w:tcBorders>
            <w:tcMar>
              <w:top w:w="100" w:type="dxa"/>
              <w:left w:w="100" w:type="dxa"/>
              <w:bottom w:w="100" w:type="dxa"/>
              <w:right w:w="100" w:type="dxa"/>
            </w:tcMar>
          </w:tcPr>
          <w:p w14:paraId="000007E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-.58</w:t>
            </w:r>
            <w:r>
              <w:rPr>
                <w:rFonts w:ascii="Times New Roman" w:eastAsia="Times New Roman" w:hAnsi="Times New Roman" w:cs="Times New Roman"/>
                <w:vertAlign w:val="superscript"/>
              </w:rPr>
              <w:t>**</w:t>
            </w:r>
          </w:p>
        </w:tc>
        <w:tc>
          <w:tcPr>
            <w:tcW w:w="1006" w:type="dxa"/>
            <w:tcBorders>
              <w:top w:val="nil"/>
              <w:left w:val="nil"/>
              <w:bottom w:val="single" w:sz="8" w:space="0" w:color="000000"/>
              <w:right w:val="nil"/>
            </w:tcBorders>
            <w:tcMar>
              <w:top w:w="100" w:type="dxa"/>
              <w:left w:w="100" w:type="dxa"/>
              <w:bottom w:w="100" w:type="dxa"/>
              <w:right w:w="100" w:type="dxa"/>
            </w:tcMar>
          </w:tcPr>
          <w:p w14:paraId="000007E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-.51</w:t>
            </w:r>
            <w:r>
              <w:rPr>
                <w:rFonts w:ascii="Times New Roman" w:eastAsia="Times New Roman" w:hAnsi="Times New Roman" w:cs="Times New Roman"/>
                <w:vertAlign w:val="superscript"/>
              </w:rPr>
              <w:t>**</w:t>
            </w:r>
          </w:p>
        </w:tc>
        <w:tc>
          <w:tcPr>
            <w:tcW w:w="1035" w:type="dxa"/>
            <w:tcBorders>
              <w:top w:val="nil"/>
              <w:left w:val="nil"/>
              <w:bottom w:val="single" w:sz="8" w:space="0" w:color="000000"/>
              <w:right w:val="nil"/>
            </w:tcBorders>
            <w:tcMar>
              <w:top w:w="100" w:type="dxa"/>
              <w:left w:w="100" w:type="dxa"/>
              <w:bottom w:w="100" w:type="dxa"/>
              <w:right w:w="100" w:type="dxa"/>
            </w:tcMar>
          </w:tcPr>
          <w:p w14:paraId="000007E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-.66</w:t>
            </w:r>
            <w:r>
              <w:rPr>
                <w:rFonts w:ascii="Times New Roman" w:eastAsia="Times New Roman" w:hAnsi="Times New Roman" w:cs="Times New Roman"/>
                <w:vertAlign w:val="superscript"/>
              </w:rPr>
              <w:t>**</w:t>
            </w:r>
          </w:p>
        </w:tc>
        <w:tc>
          <w:tcPr>
            <w:tcW w:w="787" w:type="dxa"/>
            <w:tcBorders>
              <w:top w:val="nil"/>
              <w:left w:val="nil"/>
              <w:bottom w:val="single" w:sz="8" w:space="0" w:color="000000"/>
              <w:right w:val="nil"/>
            </w:tcBorders>
            <w:tcMar>
              <w:top w:w="100" w:type="dxa"/>
              <w:left w:w="100" w:type="dxa"/>
              <w:bottom w:w="100" w:type="dxa"/>
              <w:right w:w="100" w:type="dxa"/>
            </w:tcMar>
          </w:tcPr>
          <w:p w14:paraId="000007E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.24</w:t>
            </w:r>
          </w:p>
        </w:tc>
        <w:tc>
          <w:tcPr>
            <w:tcW w:w="787" w:type="dxa"/>
            <w:tcBorders>
              <w:top w:val="nil"/>
              <w:left w:val="nil"/>
              <w:bottom w:val="single" w:sz="8" w:space="0" w:color="000000"/>
              <w:right w:val="nil"/>
            </w:tcBorders>
            <w:tcMar>
              <w:top w:w="100" w:type="dxa"/>
              <w:left w:w="100" w:type="dxa"/>
              <w:bottom w:w="100" w:type="dxa"/>
              <w:right w:w="100" w:type="dxa"/>
            </w:tcMar>
          </w:tcPr>
          <w:p w14:paraId="000007E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-.03</w:t>
            </w:r>
          </w:p>
        </w:tc>
        <w:tc>
          <w:tcPr>
            <w:tcW w:w="831" w:type="dxa"/>
            <w:tcBorders>
              <w:top w:val="nil"/>
              <w:left w:val="nil"/>
              <w:bottom w:val="single" w:sz="8" w:space="0" w:color="000000"/>
              <w:right w:val="nil"/>
            </w:tcBorders>
            <w:tcMar>
              <w:top w:w="100" w:type="dxa"/>
              <w:left w:w="100" w:type="dxa"/>
              <w:bottom w:w="100" w:type="dxa"/>
              <w:right w:w="100" w:type="dxa"/>
            </w:tcMar>
          </w:tcPr>
          <w:p w14:paraId="000007E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802" w:type="dxa"/>
            <w:tcBorders>
              <w:top w:val="nil"/>
              <w:left w:val="nil"/>
              <w:bottom w:val="single" w:sz="8" w:space="0" w:color="000000"/>
              <w:right w:val="nil"/>
            </w:tcBorders>
            <w:tcMar>
              <w:top w:w="100" w:type="dxa"/>
              <w:left w:w="100" w:type="dxa"/>
              <w:bottom w:w="100" w:type="dxa"/>
              <w:right w:w="100" w:type="dxa"/>
            </w:tcMar>
          </w:tcPr>
          <w:p w14:paraId="000007E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510" w:type="dxa"/>
            <w:tcBorders>
              <w:top w:val="nil"/>
              <w:left w:val="nil"/>
              <w:bottom w:val="single" w:sz="8" w:space="0" w:color="000000"/>
              <w:right w:val="nil"/>
            </w:tcBorders>
            <w:tcMar>
              <w:top w:w="100" w:type="dxa"/>
              <w:left w:w="100" w:type="dxa"/>
              <w:bottom w:w="100" w:type="dxa"/>
              <w:right w:w="100" w:type="dxa"/>
            </w:tcMar>
          </w:tcPr>
          <w:p w14:paraId="000007F0" w14:textId="77777777" w:rsidR="00CB4215" w:rsidRDefault="00CB4215">
            <w:pPr>
              <w:spacing w:line="240" w:lineRule="auto"/>
              <w:rPr>
                <w:rFonts w:ascii="Times New Roman" w:eastAsia="Times New Roman" w:hAnsi="Times New Roman" w:cs="Times New Roman"/>
              </w:rPr>
            </w:pPr>
          </w:p>
        </w:tc>
      </w:tr>
    </w:tbl>
    <w:p w14:paraId="000007F1" w14:textId="459CBA65"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Note</w:t>
      </w:r>
      <w:r>
        <w:rPr>
          <w:rFonts w:ascii="Times New Roman" w:eastAsia="Times New Roman" w:hAnsi="Times New Roman" w:cs="Times New Roman"/>
          <w:sz w:val="20"/>
          <w:szCs w:val="20"/>
        </w:rPr>
        <w:t>. MCI = Meal chaotic index (30-min time slots per meal); SCI = Snack chaotic index (30-min time slots per snack); TFEQ = Three Factor Eating Questionnaire revised 18-items (Karlsson et al., 2000); AEBQ = Adult Eating Behaviour Questionnaire (</w:t>
      </w:r>
      <w:proofErr w:type="spellStart"/>
      <w:r>
        <w:rPr>
          <w:rFonts w:ascii="Times New Roman" w:eastAsia="Times New Roman" w:hAnsi="Times New Roman" w:cs="Times New Roman"/>
          <w:sz w:val="20"/>
          <w:szCs w:val="20"/>
        </w:rPr>
        <w:t>Hunot</w:t>
      </w:r>
      <w:proofErr w:type="spellEnd"/>
      <w:r>
        <w:rPr>
          <w:rFonts w:ascii="Times New Roman" w:eastAsia="Times New Roman" w:hAnsi="Times New Roman" w:cs="Times New Roman"/>
          <w:sz w:val="20"/>
          <w:szCs w:val="20"/>
        </w:rPr>
        <w:t xml:space="preserve"> et al., 2016). COEQ = Control of Eating Questionnaire (Dalton et al., 2015). </w:t>
      </w:r>
    </w:p>
    <w:p w14:paraId="000007F2"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 associations are in bold and highlighted.</w:t>
      </w:r>
    </w:p>
    <w:p w14:paraId="000007F3"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9F5CAE">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 xml:space="preserve"> &lt; .05.</w:t>
      </w:r>
    </w:p>
    <w:p w14:paraId="000007F4"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9F5CAE">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 xml:space="preserve"> &lt; .01.</w:t>
      </w:r>
    </w:p>
    <w:p w14:paraId="000007F5" w14:textId="77777777" w:rsidR="00CB4215" w:rsidRDefault="000530B4">
      <w:pPr>
        <w:spacing w:line="240" w:lineRule="auto"/>
        <w:rPr>
          <w:rFonts w:ascii="Times New Roman" w:eastAsia="Times New Roman" w:hAnsi="Times New Roman" w:cs="Times New Roman"/>
          <w:sz w:val="20"/>
          <w:szCs w:val="20"/>
        </w:rPr>
        <w:sectPr w:rsidR="00CB4215">
          <w:pgSz w:w="16834" w:h="11909" w:orient="landscape"/>
          <w:pgMar w:top="1440" w:right="1440" w:bottom="1440" w:left="1440" w:header="720" w:footer="720" w:gutter="0"/>
          <w:cols w:space="720"/>
        </w:sectPr>
      </w:pPr>
      <w:r>
        <w:rPr>
          <w:rFonts w:ascii="Times New Roman" w:eastAsia="Times New Roman" w:hAnsi="Times New Roman" w:cs="Times New Roman"/>
          <w:sz w:val="20"/>
          <w:szCs w:val="20"/>
        </w:rPr>
        <w:t>***</w:t>
      </w:r>
      <w:r w:rsidRPr="009F5CAE">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 xml:space="preserve"> &lt; .001</w:t>
      </w:r>
    </w:p>
    <w:p w14:paraId="000007F6"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5.4.3 Comparison of eating behaviour traits between early vs late evening eaters</w:t>
      </w:r>
    </w:p>
    <w:p w14:paraId="000007F7" w14:textId="77777777" w:rsidR="00CB4215" w:rsidRDefault="00CB4215"/>
    <w:p w14:paraId="000007F8" w14:textId="7640DAD0"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were grouped into early eaters (n = 12) and late eaters (n =17) based on the cut-off point of 8 PM. Preliminary results showed no significant differences in eating behaviour traits between early eaters and </w:t>
      </w:r>
      <w:r w:rsidRPr="00D03B56">
        <w:rPr>
          <w:rFonts w:ascii="Times New Roman" w:eastAsia="Times New Roman" w:hAnsi="Times New Roman" w:cs="Times New Roman"/>
          <w:sz w:val="24"/>
          <w:szCs w:val="24"/>
        </w:rPr>
        <w:t xml:space="preserve">late eaters (all </w:t>
      </w:r>
      <w:r w:rsidRPr="00D03B56">
        <w:rPr>
          <w:rFonts w:ascii="Times New Roman" w:eastAsia="Times New Roman" w:hAnsi="Times New Roman" w:cs="Times New Roman"/>
          <w:i/>
          <w:sz w:val="24"/>
          <w:szCs w:val="24"/>
        </w:rPr>
        <w:t>p</w:t>
      </w:r>
      <w:r w:rsidR="00AC014F" w:rsidRPr="00D03B56">
        <w:rPr>
          <w:rFonts w:ascii="Times New Roman" w:eastAsia="Times New Roman" w:hAnsi="Times New Roman" w:cs="Times New Roman"/>
          <w:i/>
          <w:sz w:val="24"/>
          <w:szCs w:val="24"/>
        </w:rPr>
        <w:t xml:space="preserve"> </w:t>
      </w:r>
      <w:r w:rsidRPr="00D03B56">
        <w:rPr>
          <w:rFonts w:ascii="Times New Roman" w:eastAsia="Times New Roman" w:hAnsi="Times New Roman" w:cs="Times New Roman"/>
          <w:sz w:val="24"/>
          <w:szCs w:val="24"/>
        </w:rPr>
        <w:t>&gt;</w:t>
      </w:r>
      <w:r w:rsidR="00AC014F" w:rsidRPr="00D03B56">
        <w:rPr>
          <w:rFonts w:ascii="Times New Roman" w:eastAsia="Times New Roman" w:hAnsi="Times New Roman" w:cs="Times New Roman"/>
          <w:sz w:val="24"/>
          <w:szCs w:val="24"/>
        </w:rPr>
        <w:t xml:space="preserve"> </w:t>
      </w:r>
      <w:r w:rsidRPr="00D03B56">
        <w:rPr>
          <w:rFonts w:ascii="Times New Roman" w:eastAsia="Times New Roman" w:hAnsi="Times New Roman" w:cs="Times New Roman"/>
          <w:sz w:val="24"/>
          <w:szCs w:val="24"/>
        </w:rPr>
        <w:t>.05). While non-significant, late eaters scored higher in uncontrolled eating (</w:t>
      </w:r>
      <w:r w:rsidRPr="00D03B56">
        <w:rPr>
          <w:rFonts w:ascii="Times New Roman" w:eastAsia="Times New Roman" w:hAnsi="Times New Roman" w:cs="Times New Roman"/>
          <w:i/>
          <w:sz w:val="24"/>
          <w:szCs w:val="24"/>
        </w:rPr>
        <w:t>ŋp</w:t>
      </w:r>
      <w:r w:rsidRPr="00D03B56">
        <w:rPr>
          <w:rFonts w:ascii="Times New Roman" w:eastAsia="Times New Roman" w:hAnsi="Times New Roman" w:cs="Times New Roman"/>
          <w:i/>
          <w:sz w:val="24"/>
          <w:szCs w:val="24"/>
          <w:vertAlign w:val="superscript"/>
        </w:rPr>
        <w:t>2</w:t>
      </w:r>
      <w:r w:rsidR="00AC014F" w:rsidRPr="00D03B56">
        <w:rPr>
          <w:rFonts w:ascii="Times New Roman" w:eastAsia="Times New Roman" w:hAnsi="Times New Roman" w:cs="Times New Roman"/>
          <w:i/>
          <w:sz w:val="24"/>
          <w:szCs w:val="24"/>
          <w:vertAlign w:val="superscript"/>
        </w:rPr>
        <w:t xml:space="preserve"> </w:t>
      </w:r>
      <w:r w:rsidRPr="00D03B56">
        <w:rPr>
          <w:rFonts w:ascii="Times New Roman" w:eastAsia="Times New Roman" w:hAnsi="Times New Roman" w:cs="Times New Roman"/>
          <w:sz w:val="24"/>
          <w:szCs w:val="24"/>
        </w:rPr>
        <w:t>=</w:t>
      </w:r>
      <w:r w:rsidR="00AC014F" w:rsidRPr="00D03B56">
        <w:rPr>
          <w:rFonts w:ascii="Times New Roman" w:eastAsia="Times New Roman" w:hAnsi="Times New Roman" w:cs="Times New Roman"/>
          <w:sz w:val="24"/>
          <w:szCs w:val="24"/>
        </w:rPr>
        <w:t xml:space="preserve"> </w:t>
      </w:r>
      <w:r w:rsidRPr="00D03B56">
        <w:rPr>
          <w:rFonts w:ascii="Times New Roman" w:eastAsia="Times New Roman" w:hAnsi="Times New Roman" w:cs="Times New Roman"/>
          <w:sz w:val="24"/>
          <w:szCs w:val="24"/>
        </w:rPr>
        <w:t>.11) and lower in craving control (</w:t>
      </w:r>
      <w:r w:rsidRPr="00D03B56">
        <w:rPr>
          <w:rFonts w:ascii="Times New Roman" w:eastAsia="Times New Roman" w:hAnsi="Times New Roman" w:cs="Times New Roman"/>
          <w:i/>
          <w:sz w:val="24"/>
          <w:szCs w:val="24"/>
        </w:rPr>
        <w:t>ŋp</w:t>
      </w:r>
      <w:r w:rsidRPr="00D03B56">
        <w:rPr>
          <w:rFonts w:ascii="Times New Roman" w:eastAsia="Times New Roman" w:hAnsi="Times New Roman" w:cs="Times New Roman"/>
          <w:i/>
          <w:sz w:val="24"/>
          <w:szCs w:val="24"/>
          <w:vertAlign w:val="superscript"/>
        </w:rPr>
        <w:t>2</w:t>
      </w:r>
      <w:r w:rsidR="00AC014F" w:rsidRPr="00D03B56">
        <w:rPr>
          <w:rFonts w:ascii="Times New Roman" w:eastAsia="Times New Roman" w:hAnsi="Times New Roman" w:cs="Times New Roman"/>
          <w:i/>
          <w:sz w:val="24"/>
          <w:szCs w:val="24"/>
          <w:vertAlign w:val="superscript"/>
        </w:rPr>
        <w:t xml:space="preserve"> </w:t>
      </w:r>
      <w:r w:rsidRPr="00D03B56">
        <w:rPr>
          <w:rFonts w:ascii="Times New Roman" w:eastAsia="Times New Roman" w:hAnsi="Times New Roman" w:cs="Times New Roman"/>
          <w:sz w:val="24"/>
          <w:szCs w:val="24"/>
        </w:rPr>
        <w:t>=</w:t>
      </w:r>
      <w:r w:rsidR="00AC014F" w:rsidRPr="00D03B56">
        <w:rPr>
          <w:rFonts w:ascii="Times New Roman" w:eastAsia="Times New Roman" w:hAnsi="Times New Roman" w:cs="Times New Roman"/>
          <w:sz w:val="24"/>
          <w:szCs w:val="24"/>
        </w:rPr>
        <w:t xml:space="preserve"> </w:t>
      </w:r>
      <w:r w:rsidRPr="00D03B56">
        <w:rPr>
          <w:rFonts w:ascii="Times New Roman" w:eastAsia="Times New Roman" w:hAnsi="Times New Roman" w:cs="Times New Roman"/>
          <w:sz w:val="24"/>
          <w:szCs w:val="24"/>
        </w:rPr>
        <w:t>.07) compared to early eaters with medium to large effect size.</w:t>
      </w:r>
      <w:r>
        <w:rPr>
          <w:rFonts w:ascii="Times New Roman" w:eastAsia="Times New Roman" w:hAnsi="Times New Roman" w:cs="Times New Roman"/>
          <w:sz w:val="24"/>
          <w:szCs w:val="24"/>
        </w:rPr>
        <w:t xml:space="preserve"> </w:t>
      </w:r>
    </w:p>
    <w:p w14:paraId="000007F9" w14:textId="77777777" w:rsidR="00CB4215" w:rsidRDefault="00CB4215">
      <w:pPr>
        <w:spacing w:line="240" w:lineRule="auto"/>
        <w:rPr>
          <w:rFonts w:ascii="Times New Roman" w:eastAsia="Times New Roman" w:hAnsi="Times New Roman" w:cs="Times New Roman"/>
        </w:rPr>
      </w:pPr>
    </w:p>
    <w:p w14:paraId="000007FA" w14:textId="5E9F416A"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98" w:name="_heading=h.haapch" w:colFirst="0" w:colLast="0"/>
      <w:bookmarkEnd w:id="98"/>
      <w:r w:rsidRPr="00D03B56">
        <w:rPr>
          <w:rFonts w:ascii="Times New Roman" w:eastAsia="Times New Roman" w:hAnsi="Times New Roman" w:cs="Times New Roman"/>
          <w:i/>
          <w:color w:val="000000"/>
          <w:sz w:val="20"/>
          <w:szCs w:val="20"/>
        </w:rPr>
        <w:t xml:space="preserve">Table 5.4. </w:t>
      </w:r>
      <w:r w:rsidRPr="00D03B56">
        <w:rPr>
          <w:rFonts w:ascii="Times New Roman" w:eastAsia="Times New Roman" w:hAnsi="Times New Roman" w:cs="Times New Roman"/>
          <w:color w:val="000000"/>
          <w:sz w:val="20"/>
          <w:szCs w:val="20"/>
        </w:rPr>
        <w:t xml:space="preserve">Comparison of eating behaviour traits in early </w:t>
      </w:r>
      <w:r w:rsidR="006C356B" w:rsidRPr="00D03B56">
        <w:rPr>
          <w:rFonts w:ascii="Times New Roman" w:eastAsia="Times New Roman" w:hAnsi="Times New Roman" w:cs="Times New Roman"/>
          <w:color w:val="000000"/>
          <w:sz w:val="20"/>
          <w:szCs w:val="20"/>
        </w:rPr>
        <w:t>and</w:t>
      </w:r>
      <w:r w:rsidRPr="00D03B56">
        <w:rPr>
          <w:rFonts w:ascii="Times New Roman" w:eastAsia="Times New Roman" w:hAnsi="Times New Roman" w:cs="Times New Roman"/>
          <w:color w:val="000000"/>
          <w:sz w:val="20"/>
          <w:szCs w:val="20"/>
        </w:rPr>
        <w:t xml:space="preserve"> late eaters.</w:t>
      </w:r>
    </w:p>
    <w:tbl>
      <w:tblPr>
        <w:tblStyle w:val="ae"/>
        <w:tblW w:w="8850" w:type="dxa"/>
        <w:tblLayout w:type="fixed"/>
        <w:tblLook w:val="0600" w:firstRow="0" w:lastRow="0" w:firstColumn="0" w:lastColumn="0" w:noHBand="1" w:noVBand="1"/>
      </w:tblPr>
      <w:tblGrid>
        <w:gridCol w:w="2977"/>
        <w:gridCol w:w="1276"/>
        <w:gridCol w:w="992"/>
        <w:gridCol w:w="1265"/>
        <w:gridCol w:w="1200"/>
        <w:gridCol w:w="1140"/>
      </w:tblGrid>
      <w:tr w:rsidR="00CB4215" w14:paraId="57E45736" w14:textId="77777777" w:rsidTr="004C35B2">
        <w:trPr>
          <w:trHeight w:val="181"/>
        </w:trPr>
        <w:tc>
          <w:tcPr>
            <w:tcW w:w="4253" w:type="dxa"/>
            <w:gridSpan w:val="2"/>
            <w:tcBorders>
              <w:top w:val="single" w:sz="4" w:space="0" w:color="000000"/>
              <w:left w:val="nil"/>
              <w:right w:val="nil"/>
            </w:tcBorders>
            <w:tcMar>
              <w:top w:w="100" w:type="dxa"/>
              <w:left w:w="100" w:type="dxa"/>
              <w:bottom w:w="100" w:type="dxa"/>
              <w:right w:w="100" w:type="dxa"/>
            </w:tcMar>
          </w:tcPr>
          <w:p w14:paraId="000007FB" w14:textId="77777777" w:rsidR="00CB4215" w:rsidRDefault="00CB4215">
            <w:pPr>
              <w:widowControl w:val="0"/>
              <w:spacing w:line="240" w:lineRule="auto"/>
              <w:rPr>
                <w:rFonts w:ascii="Times New Roman" w:eastAsia="Times New Roman" w:hAnsi="Times New Roman" w:cs="Times New Roman"/>
              </w:rPr>
            </w:pPr>
          </w:p>
        </w:tc>
        <w:tc>
          <w:tcPr>
            <w:tcW w:w="2257"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7F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Early eaters (n = 12)</w:t>
            </w:r>
          </w:p>
        </w:tc>
        <w:tc>
          <w:tcPr>
            <w:tcW w:w="234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7F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Late eaters (n = 17)</w:t>
            </w:r>
          </w:p>
        </w:tc>
      </w:tr>
      <w:tr w:rsidR="00CB4215" w14:paraId="6DF289FB" w14:textId="77777777" w:rsidTr="004C35B2">
        <w:trPr>
          <w:trHeight w:val="297"/>
        </w:trPr>
        <w:tc>
          <w:tcPr>
            <w:tcW w:w="2977" w:type="dxa"/>
            <w:tcBorders>
              <w:left w:val="nil"/>
              <w:bottom w:val="single" w:sz="4" w:space="0" w:color="000000"/>
              <w:right w:val="nil"/>
            </w:tcBorders>
            <w:tcMar>
              <w:top w:w="100" w:type="dxa"/>
              <w:left w:w="100" w:type="dxa"/>
              <w:bottom w:w="100" w:type="dxa"/>
              <w:right w:w="100" w:type="dxa"/>
            </w:tcMar>
          </w:tcPr>
          <w:p w14:paraId="0000080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Dependent variable</w:t>
            </w:r>
          </w:p>
        </w:tc>
        <w:tc>
          <w:tcPr>
            <w:tcW w:w="1276" w:type="dxa"/>
            <w:tcBorders>
              <w:left w:val="nil"/>
              <w:bottom w:val="single" w:sz="4" w:space="0" w:color="000000"/>
              <w:right w:val="nil"/>
            </w:tcBorders>
            <w:tcMar>
              <w:top w:w="100" w:type="dxa"/>
              <w:left w:w="100" w:type="dxa"/>
              <w:bottom w:w="100" w:type="dxa"/>
              <w:right w:w="100" w:type="dxa"/>
            </w:tcMar>
          </w:tcPr>
          <w:p w14:paraId="0000080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i/>
                <w:highlight w:val="white"/>
              </w:rPr>
              <w:t>η2</w:t>
            </w:r>
          </w:p>
        </w:tc>
        <w:tc>
          <w:tcPr>
            <w:tcW w:w="992" w:type="dxa"/>
            <w:tcBorders>
              <w:top w:val="single" w:sz="4" w:space="0" w:color="000000"/>
              <w:left w:val="nil"/>
              <w:bottom w:val="single" w:sz="4" w:space="0" w:color="000000"/>
              <w:right w:val="nil"/>
            </w:tcBorders>
            <w:tcMar>
              <w:top w:w="100" w:type="dxa"/>
              <w:left w:w="100" w:type="dxa"/>
              <w:bottom w:w="100" w:type="dxa"/>
              <w:right w:w="100" w:type="dxa"/>
            </w:tcMar>
          </w:tcPr>
          <w:p w14:paraId="0000080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1265" w:type="dxa"/>
            <w:tcBorders>
              <w:top w:val="single" w:sz="4" w:space="0" w:color="000000"/>
              <w:left w:val="nil"/>
              <w:bottom w:val="single" w:sz="4" w:space="0" w:color="000000"/>
              <w:right w:val="nil"/>
            </w:tcBorders>
            <w:tcMar>
              <w:top w:w="100" w:type="dxa"/>
              <w:left w:w="100" w:type="dxa"/>
              <w:bottom w:w="100" w:type="dxa"/>
              <w:right w:w="100" w:type="dxa"/>
            </w:tcMar>
          </w:tcPr>
          <w:p w14:paraId="0000080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c>
          <w:tcPr>
            <w:tcW w:w="1200" w:type="dxa"/>
            <w:tcBorders>
              <w:top w:val="single" w:sz="4" w:space="0" w:color="000000"/>
              <w:left w:val="nil"/>
              <w:bottom w:val="single" w:sz="4" w:space="0" w:color="000000"/>
              <w:right w:val="nil"/>
            </w:tcBorders>
            <w:tcMar>
              <w:top w:w="100" w:type="dxa"/>
              <w:left w:w="100" w:type="dxa"/>
              <w:bottom w:w="100" w:type="dxa"/>
              <w:right w:w="100" w:type="dxa"/>
            </w:tcMar>
          </w:tcPr>
          <w:p w14:paraId="0000080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1140" w:type="dxa"/>
            <w:tcBorders>
              <w:top w:val="single" w:sz="4" w:space="0" w:color="000000"/>
              <w:left w:val="nil"/>
              <w:bottom w:val="single" w:sz="4" w:space="0" w:color="000000"/>
              <w:right w:val="nil"/>
            </w:tcBorders>
            <w:tcMar>
              <w:top w:w="100" w:type="dxa"/>
              <w:left w:w="100" w:type="dxa"/>
              <w:bottom w:w="100" w:type="dxa"/>
              <w:right w:w="100" w:type="dxa"/>
            </w:tcMar>
          </w:tcPr>
          <w:p w14:paraId="0000080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r>
      <w:tr w:rsidR="00CB4215" w14:paraId="0CA45A72" w14:textId="77777777" w:rsidTr="009F5CAE">
        <w:trPr>
          <w:trHeight w:val="440"/>
        </w:trPr>
        <w:tc>
          <w:tcPr>
            <w:tcW w:w="2977" w:type="dxa"/>
            <w:tcBorders>
              <w:top w:val="single" w:sz="4" w:space="0" w:color="000000"/>
            </w:tcBorders>
            <w:tcMar>
              <w:top w:w="100" w:type="dxa"/>
              <w:left w:w="100" w:type="dxa"/>
              <w:bottom w:w="100" w:type="dxa"/>
              <w:right w:w="100" w:type="dxa"/>
            </w:tcMar>
          </w:tcPr>
          <w:p w14:paraId="00000807" w14:textId="7E79605B"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TFEQ-</w:t>
            </w:r>
            <w:r w:rsidR="009F5CAE" w:rsidRPr="009F5CAE">
              <w:rPr>
                <w:rFonts w:ascii="Times New Roman" w:eastAsia="Times New Roman" w:hAnsi="Times New Roman" w:cs="Times New Roman"/>
                <w:sz w:val="20"/>
                <w:szCs w:val="20"/>
                <w:highlight w:val="white"/>
              </w:rPr>
              <w:t xml:space="preserve"> </w:t>
            </w:r>
            <w:r w:rsidR="009F5CAE" w:rsidRPr="009F5CAE">
              <w:rPr>
                <w:rFonts w:ascii="Times New Roman" w:eastAsia="Times New Roman" w:hAnsi="Times New Roman" w:cs="Times New Roman"/>
              </w:rPr>
              <w:t>cognitive restraint</w:t>
            </w:r>
          </w:p>
        </w:tc>
        <w:tc>
          <w:tcPr>
            <w:tcW w:w="1276" w:type="dxa"/>
            <w:tcBorders>
              <w:top w:val="single" w:sz="4" w:space="0" w:color="000000"/>
            </w:tcBorders>
            <w:tcMar>
              <w:top w:w="100" w:type="dxa"/>
              <w:left w:w="100" w:type="dxa"/>
              <w:bottom w:w="100" w:type="dxa"/>
              <w:right w:w="100" w:type="dxa"/>
            </w:tcMar>
          </w:tcPr>
          <w:p w14:paraId="0000080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0.03</w:t>
            </w:r>
          </w:p>
        </w:tc>
        <w:tc>
          <w:tcPr>
            <w:tcW w:w="992" w:type="dxa"/>
            <w:tcBorders>
              <w:top w:val="single" w:sz="4" w:space="0" w:color="000000"/>
            </w:tcBorders>
            <w:tcMar>
              <w:top w:w="100" w:type="dxa"/>
              <w:left w:w="100" w:type="dxa"/>
              <w:bottom w:w="100" w:type="dxa"/>
              <w:right w:w="100" w:type="dxa"/>
            </w:tcMar>
          </w:tcPr>
          <w:p w14:paraId="0000080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2.31</w:t>
            </w:r>
          </w:p>
        </w:tc>
        <w:tc>
          <w:tcPr>
            <w:tcW w:w="1265" w:type="dxa"/>
            <w:tcBorders>
              <w:top w:val="single" w:sz="4" w:space="0" w:color="000000"/>
            </w:tcBorders>
            <w:tcMar>
              <w:top w:w="100" w:type="dxa"/>
              <w:left w:w="100" w:type="dxa"/>
              <w:bottom w:w="100" w:type="dxa"/>
              <w:right w:w="100" w:type="dxa"/>
            </w:tcMar>
          </w:tcPr>
          <w:p w14:paraId="0000080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0.52</w:t>
            </w:r>
          </w:p>
        </w:tc>
        <w:tc>
          <w:tcPr>
            <w:tcW w:w="1200" w:type="dxa"/>
            <w:tcBorders>
              <w:top w:val="single" w:sz="4" w:space="0" w:color="000000"/>
            </w:tcBorders>
            <w:tcMar>
              <w:top w:w="100" w:type="dxa"/>
              <w:left w:w="100" w:type="dxa"/>
              <w:bottom w:w="100" w:type="dxa"/>
              <w:right w:w="100" w:type="dxa"/>
            </w:tcMar>
          </w:tcPr>
          <w:p w14:paraId="0000080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2.12</w:t>
            </w:r>
          </w:p>
        </w:tc>
        <w:tc>
          <w:tcPr>
            <w:tcW w:w="1140" w:type="dxa"/>
            <w:tcBorders>
              <w:top w:val="single" w:sz="4" w:space="0" w:color="000000"/>
            </w:tcBorders>
            <w:tcMar>
              <w:top w:w="100" w:type="dxa"/>
              <w:left w:w="100" w:type="dxa"/>
              <w:bottom w:w="100" w:type="dxa"/>
              <w:right w:w="100" w:type="dxa"/>
            </w:tcMar>
          </w:tcPr>
          <w:p w14:paraId="0000080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0.51</w:t>
            </w:r>
          </w:p>
        </w:tc>
      </w:tr>
      <w:tr w:rsidR="00CB4215" w14:paraId="182E8F6C" w14:textId="77777777" w:rsidTr="009F5CAE">
        <w:trPr>
          <w:trHeight w:val="440"/>
        </w:trPr>
        <w:tc>
          <w:tcPr>
            <w:tcW w:w="2977" w:type="dxa"/>
            <w:tcMar>
              <w:top w:w="100" w:type="dxa"/>
              <w:left w:w="100" w:type="dxa"/>
              <w:bottom w:w="100" w:type="dxa"/>
              <w:right w:w="100" w:type="dxa"/>
            </w:tcMar>
          </w:tcPr>
          <w:p w14:paraId="0000080D" w14:textId="4E84BEAA"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TFEQ-</w:t>
            </w:r>
            <w:r w:rsidR="009F5CAE" w:rsidRPr="009F5CAE">
              <w:rPr>
                <w:rFonts w:ascii="Times New Roman" w:eastAsia="Times New Roman" w:hAnsi="Times New Roman" w:cs="Times New Roman"/>
                <w:sz w:val="20"/>
                <w:szCs w:val="20"/>
                <w:highlight w:val="white"/>
              </w:rPr>
              <w:t xml:space="preserve"> </w:t>
            </w:r>
            <w:r w:rsidR="009F5CAE" w:rsidRPr="009F5CAE">
              <w:rPr>
                <w:rFonts w:ascii="Times New Roman" w:eastAsia="Times New Roman" w:hAnsi="Times New Roman" w:cs="Times New Roman"/>
              </w:rPr>
              <w:t>uncontrolled eating</w:t>
            </w:r>
          </w:p>
        </w:tc>
        <w:tc>
          <w:tcPr>
            <w:tcW w:w="1276" w:type="dxa"/>
            <w:tcMar>
              <w:top w:w="100" w:type="dxa"/>
              <w:left w:w="100" w:type="dxa"/>
              <w:bottom w:w="100" w:type="dxa"/>
              <w:right w:w="100" w:type="dxa"/>
            </w:tcMar>
          </w:tcPr>
          <w:p w14:paraId="0000080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0.11</w:t>
            </w:r>
          </w:p>
        </w:tc>
        <w:tc>
          <w:tcPr>
            <w:tcW w:w="992" w:type="dxa"/>
            <w:tcMar>
              <w:top w:w="100" w:type="dxa"/>
              <w:left w:w="100" w:type="dxa"/>
              <w:bottom w:w="100" w:type="dxa"/>
              <w:right w:w="100" w:type="dxa"/>
            </w:tcMar>
          </w:tcPr>
          <w:p w14:paraId="0000080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2.32</w:t>
            </w:r>
          </w:p>
        </w:tc>
        <w:tc>
          <w:tcPr>
            <w:tcW w:w="1265" w:type="dxa"/>
            <w:tcMar>
              <w:top w:w="100" w:type="dxa"/>
              <w:left w:w="100" w:type="dxa"/>
              <w:bottom w:w="100" w:type="dxa"/>
              <w:right w:w="100" w:type="dxa"/>
            </w:tcMar>
          </w:tcPr>
          <w:p w14:paraId="0000081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0.50</w:t>
            </w:r>
          </w:p>
        </w:tc>
        <w:tc>
          <w:tcPr>
            <w:tcW w:w="1200" w:type="dxa"/>
            <w:tcMar>
              <w:top w:w="100" w:type="dxa"/>
              <w:left w:w="100" w:type="dxa"/>
              <w:bottom w:w="100" w:type="dxa"/>
              <w:right w:w="100" w:type="dxa"/>
            </w:tcMar>
          </w:tcPr>
          <w:p w14:paraId="0000081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2.71</w:t>
            </w:r>
          </w:p>
        </w:tc>
        <w:tc>
          <w:tcPr>
            <w:tcW w:w="1140" w:type="dxa"/>
            <w:tcMar>
              <w:top w:w="100" w:type="dxa"/>
              <w:left w:w="100" w:type="dxa"/>
              <w:bottom w:w="100" w:type="dxa"/>
              <w:right w:w="100" w:type="dxa"/>
            </w:tcMar>
          </w:tcPr>
          <w:p w14:paraId="0000081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0.58</w:t>
            </w:r>
          </w:p>
        </w:tc>
      </w:tr>
      <w:tr w:rsidR="00CB4215" w14:paraId="4D40EB10" w14:textId="77777777" w:rsidTr="009F5CAE">
        <w:trPr>
          <w:trHeight w:val="440"/>
        </w:trPr>
        <w:tc>
          <w:tcPr>
            <w:tcW w:w="2977" w:type="dxa"/>
            <w:tcMar>
              <w:top w:w="100" w:type="dxa"/>
              <w:left w:w="100" w:type="dxa"/>
              <w:bottom w:w="100" w:type="dxa"/>
              <w:right w:w="100" w:type="dxa"/>
            </w:tcMar>
          </w:tcPr>
          <w:p w14:paraId="00000813" w14:textId="1DB115A3"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TFEQ-</w:t>
            </w:r>
            <w:r w:rsidR="009F5CAE" w:rsidRPr="009F5CAE">
              <w:rPr>
                <w:rFonts w:ascii="Times New Roman" w:eastAsia="Times New Roman" w:hAnsi="Times New Roman" w:cs="Times New Roman"/>
                <w:sz w:val="20"/>
                <w:szCs w:val="20"/>
                <w:highlight w:val="white"/>
              </w:rPr>
              <w:t xml:space="preserve"> </w:t>
            </w:r>
            <w:r w:rsidR="009F5CAE" w:rsidRPr="009F5CAE">
              <w:rPr>
                <w:rFonts w:ascii="Times New Roman" w:eastAsia="Times New Roman" w:hAnsi="Times New Roman" w:cs="Times New Roman"/>
              </w:rPr>
              <w:t>emotional eating</w:t>
            </w:r>
          </w:p>
        </w:tc>
        <w:tc>
          <w:tcPr>
            <w:tcW w:w="1276" w:type="dxa"/>
            <w:tcMar>
              <w:top w:w="100" w:type="dxa"/>
              <w:left w:w="100" w:type="dxa"/>
              <w:bottom w:w="100" w:type="dxa"/>
              <w:right w:w="100" w:type="dxa"/>
            </w:tcMar>
          </w:tcPr>
          <w:p w14:paraId="0000081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992" w:type="dxa"/>
            <w:tcMar>
              <w:top w:w="100" w:type="dxa"/>
              <w:left w:w="100" w:type="dxa"/>
              <w:bottom w:w="100" w:type="dxa"/>
              <w:right w:w="100" w:type="dxa"/>
            </w:tcMar>
          </w:tcPr>
          <w:p w14:paraId="0000081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3.11</w:t>
            </w:r>
          </w:p>
        </w:tc>
        <w:tc>
          <w:tcPr>
            <w:tcW w:w="1265" w:type="dxa"/>
            <w:tcMar>
              <w:top w:w="100" w:type="dxa"/>
              <w:left w:w="100" w:type="dxa"/>
              <w:bottom w:w="100" w:type="dxa"/>
              <w:right w:w="100" w:type="dxa"/>
            </w:tcMar>
          </w:tcPr>
          <w:p w14:paraId="0000081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0.48</w:t>
            </w:r>
          </w:p>
        </w:tc>
        <w:tc>
          <w:tcPr>
            <w:tcW w:w="1200" w:type="dxa"/>
            <w:tcMar>
              <w:top w:w="100" w:type="dxa"/>
              <w:left w:w="100" w:type="dxa"/>
              <w:bottom w:w="100" w:type="dxa"/>
              <w:right w:w="100" w:type="dxa"/>
            </w:tcMar>
          </w:tcPr>
          <w:p w14:paraId="0000081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2.92</w:t>
            </w:r>
          </w:p>
        </w:tc>
        <w:tc>
          <w:tcPr>
            <w:tcW w:w="1140" w:type="dxa"/>
            <w:tcMar>
              <w:top w:w="100" w:type="dxa"/>
              <w:left w:w="100" w:type="dxa"/>
              <w:bottom w:w="100" w:type="dxa"/>
              <w:right w:w="100" w:type="dxa"/>
            </w:tcMar>
          </w:tcPr>
          <w:p w14:paraId="0000081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0.72</w:t>
            </w:r>
          </w:p>
        </w:tc>
      </w:tr>
      <w:tr w:rsidR="00CB4215" w14:paraId="4E86B3EE" w14:textId="77777777" w:rsidTr="009F5CAE">
        <w:trPr>
          <w:trHeight w:val="440"/>
        </w:trPr>
        <w:tc>
          <w:tcPr>
            <w:tcW w:w="2977" w:type="dxa"/>
            <w:tcMar>
              <w:top w:w="100" w:type="dxa"/>
              <w:left w:w="100" w:type="dxa"/>
              <w:bottom w:w="100" w:type="dxa"/>
              <w:right w:w="100" w:type="dxa"/>
            </w:tcMar>
          </w:tcPr>
          <w:p w14:paraId="00000819" w14:textId="4DDCB656"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AEBQ-</w:t>
            </w:r>
            <w:r w:rsidR="009F5CAE" w:rsidRPr="009F5CAE">
              <w:rPr>
                <w:rFonts w:ascii="Times New Roman" w:eastAsia="Times New Roman" w:hAnsi="Times New Roman" w:cs="Times New Roman"/>
                <w:sz w:val="20"/>
                <w:szCs w:val="20"/>
                <w:highlight w:val="white"/>
              </w:rPr>
              <w:t xml:space="preserve"> </w:t>
            </w:r>
            <w:r w:rsidR="009F5CAE" w:rsidRPr="009F5CAE">
              <w:rPr>
                <w:rFonts w:ascii="Times New Roman" w:eastAsia="Times New Roman" w:hAnsi="Times New Roman" w:cs="Times New Roman"/>
              </w:rPr>
              <w:t>food responsiveness</w:t>
            </w:r>
          </w:p>
        </w:tc>
        <w:tc>
          <w:tcPr>
            <w:tcW w:w="1276" w:type="dxa"/>
            <w:tcMar>
              <w:top w:w="100" w:type="dxa"/>
              <w:left w:w="100" w:type="dxa"/>
              <w:bottom w:w="100" w:type="dxa"/>
              <w:right w:w="100" w:type="dxa"/>
            </w:tcMar>
          </w:tcPr>
          <w:p w14:paraId="0000081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992" w:type="dxa"/>
            <w:tcMar>
              <w:top w:w="100" w:type="dxa"/>
              <w:left w:w="100" w:type="dxa"/>
              <w:bottom w:w="100" w:type="dxa"/>
              <w:right w:w="100" w:type="dxa"/>
            </w:tcMar>
          </w:tcPr>
          <w:p w14:paraId="0000081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3.44</w:t>
            </w:r>
          </w:p>
        </w:tc>
        <w:tc>
          <w:tcPr>
            <w:tcW w:w="1265" w:type="dxa"/>
            <w:tcMar>
              <w:top w:w="100" w:type="dxa"/>
              <w:left w:w="100" w:type="dxa"/>
              <w:bottom w:w="100" w:type="dxa"/>
              <w:right w:w="100" w:type="dxa"/>
            </w:tcMar>
          </w:tcPr>
          <w:p w14:paraId="0000081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0.66</w:t>
            </w:r>
          </w:p>
        </w:tc>
        <w:tc>
          <w:tcPr>
            <w:tcW w:w="1200" w:type="dxa"/>
            <w:tcMar>
              <w:top w:w="100" w:type="dxa"/>
              <w:left w:w="100" w:type="dxa"/>
              <w:bottom w:w="100" w:type="dxa"/>
              <w:right w:w="100" w:type="dxa"/>
            </w:tcMar>
          </w:tcPr>
          <w:p w14:paraId="0000081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3.66</w:t>
            </w:r>
          </w:p>
        </w:tc>
        <w:tc>
          <w:tcPr>
            <w:tcW w:w="1140" w:type="dxa"/>
            <w:tcMar>
              <w:top w:w="100" w:type="dxa"/>
              <w:left w:w="100" w:type="dxa"/>
              <w:bottom w:w="100" w:type="dxa"/>
              <w:right w:w="100" w:type="dxa"/>
            </w:tcMar>
          </w:tcPr>
          <w:p w14:paraId="0000081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0.89</w:t>
            </w:r>
          </w:p>
        </w:tc>
      </w:tr>
      <w:tr w:rsidR="00CB4215" w14:paraId="20B1999D" w14:textId="77777777" w:rsidTr="009F5CAE">
        <w:trPr>
          <w:trHeight w:val="440"/>
        </w:trPr>
        <w:tc>
          <w:tcPr>
            <w:tcW w:w="2977" w:type="dxa"/>
            <w:tcMar>
              <w:top w:w="100" w:type="dxa"/>
              <w:left w:w="100" w:type="dxa"/>
              <w:bottom w:w="100" w:type="dxa"/>
              <w:right w:w="100" w:type="dxa"/>
            </w:tcMar>
          </w:tcPr>
          <w:p w14:paraId="0000081F" w14:textId="7A2187D2"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AEBQ-</w:t>
            </w:r>
            <w:r w:rsidR="009F5CAE" w:rsidRPr="009F5CAE">
              <w:rPr>
                <w:rFonts w:ascii="Times New Roman" w:eastAsia="Times New Roman" w:hAnsi="Times New Roman" w:cs="Times New Roman"/>
                <w:sz w:val="20"/>
                <w:szCs w:val="20"/>
                <w:highlight w:val="white"/>
              </w:rPr>
              <w:t xml:space="preserve"> </w:t>
            </w:r>
            <w:r w:rsidR="009F5CAE" w:rsidRPr="009F5CAE">
              <w:rPr>
                <w:rFonts w:ascii="Times New Roman" w:eastAsia="Times New Roman" w:hAnsi="Times New Roman" w:cs="Times New Roman"/>
              </w:rPr>
              <w:t>emotional overeating</w:t>
            </w:r>
          </w:p>
        </w:tc>
        <w:tc>
          <w:tcPr>
            <w:tcW w:w="1276" w:type="dxa"/>
            <w:tcMar>
              <w:top w:w="100" w:type="dxa"/>
              <w:left w:w="100" w:type="dxa"/>
              <w:bottom w:w="100" w:type="dxa"/>
              <w:right w:w="100" w:type="dxa"/>
            </w:tcMar>
          </w:tcPr>
          <w:p w14:paraId="0000082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X</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=0.002</w:t>
            </w:r>
            <w:r>
              <w:rPr>
                <w:rFonts w:ascii="Times New Roman" w:eastAsia="Times New Roman" w:hAnsi="Times New Roman" w:cs="Times New Roman"/>
                <w:vertAlign w:val="superscript"/>
              </w:rPr>
              <w:t>a</w:t>
            </w:r>
          </w:p>
        </w:tc>
        <w:tc>
          <w:tcPr>
            <w:tcW w:w="992" w:type="dxa"/>
            <w:tcMar>
              <w:top w:w="100" w:type="dxa"/>
              <w:left w:w="100" w:type="dxa"/>
              <w:bottom w:w="100" w:type="dxa"/>
              <w:right w:w="100" w:type="dxa"/>
            </w:tcMar>
          </w:tcPr>
          <w:p w14:paraId="0000082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3.61</w:t>
            </w:r>
          </w:p>
        </w:tc>
        <w:tc>
          <w:tcPr>
            <w:tcW w:w="1265" w:type="dxa"/>
            <w:tcMar>
              <w:top w:w="100" w:type="dxa"/>
              <w:left w:w="100" w:type="dxa"/>
              <w:bottom w:w="100" w:type="dxa"/>
              <w:right w:w="100" w:type="dxa"/>
            </w:tcMar>
          </w:tcPr>
          <w:p w14:paraId="0000082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0.52</w:t>
            </w:r>
          </w:p>
        </w:tc>
        <w:tc>
          <w:tcPr>
            <w:tcW w:w="1200" w:type="dxa"/>
            <w:tcMar>
              <w:top w:w="100" w:type="dxa"/>
              <w:left w:w="100" w:type="dxa"/>
              <w:bottom w:w="100" w:type="dxa"/>
              <w:right w:w="100" w:type="dxa"/>
            </w:tcMar>
          </w:tcPr>
          <w:p w14:paraId="0000082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3.60</w:t>
            </w:r>
          </w:p>
        </w:tc>
        <w:tc>
          <w:tcPr>
            <w:tcW w:w="1140" w:type="dxa"/>
            <w:tcMar>
              <w:top w:w="100" w:type="dxa"/>
              <w:left w:w="100" w:type="dxa"/>
              <w:bottom w:w="100" w:type="dxa"/>
              <w:right w:w="100" w:type="dxa"/>
            </w:tcMar>
          </w:tcPr>
          <w:p w14:paraId="0000082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0.94</w:t>
            </w:r>
          </w:p>
        </w:tc>
      </w:tr>
      <w:tr w:rsidR="00CB4215" w14:paraId="585EE1F1" w14:textId="77777777" w:rsidTr="009F5CAE">
        <w:trPr>
          <w:trHeight w:val="440"/>
        </w:trPr>
        <w:tc>
          <w:tcPr>
            <w:tcW w:w="2977" w:type="dxa"/>
            <w:tcMar>
              <w:top w:w="100" w:type="dxa"/>
              <w:left w:w="100" w:type="dxa"/>
              <w:bottom w:w="100" w:type="dxa"/>
              <w:right w:w="100" w:type="dxa"/>
            </w:tcMar>
          </w:tcPr>
          <w:p w14:paraId="00000825" w14:textId="06C83C8A"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AEBQ-</w:t>
            </w:r>
            <w:r w:rsidR="009F5CAE" w:rsidRPr="009F5CAE">
              <w:rPr>
                <w:rFonts w:ascii="Times New Roman" w:eastAsia="Times New Roman" w:hAnsi="Times New Roman" w:cs="Times New Roman"/>
                <w:sz w:val="20"/>
                <w:szCs w:val="20"/>
                <w:highlight w:val="white"/>
              </w:rPr>
              <w:t xml:space="preserve"> </w:t>
            </w:r>
            <w:r w:rsidR="009F5CAE" w:rsidRPr="009F5CAE">
              <w:rPr>
                <w:rFonts w:ascii="Times New Roman" w:eastAsia="Times New Roman" w:hAnsi="Times New Roman" w:cs="Times New Roman"/>
              </w:rPr>
              <w:t>emotional undereating</w:t>
            </w:r>
          </w:p>
        </w:tc>
        <w:tc>
          <w:tcPr>
            <w:tcW w:w="1276" w:type="dxa"/>
            <w:tcMar>
              <w:top w:w="100" w:type="dxa"/>
              <w:left w:w="100" w:type="dxa"/>
              <w:bottom w:w="100" w:type="dxa"/>
              <w:right w:w="100" w:type="dxa"/>
            </w:tcMar>
          </w:tcPr>
          <w:p w14:paraId="0000082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&lt;0.01</w:t>
            </w:r>
          </w:p>
        </w:tc>
        <w:tc>
          <w:tcPr>
            <w:tcW w:w="992" w:type="dxa"/>
            <w:tcMar>
              <w:top w:w="100" w:type="dxa"/>
              <w:left w:w="100" w:type="dxa"/>
              <w:bottom w:w="100" w:type="dxa"/>
              <w:right w:w="100" w:type="dxa"/>
            </w:tcMar>
          </w:tcPr>
          <w:p w14:paraId="0000082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2.18</w:t>
            </w:r>
          </w:p>
        </w:tc>
        <w:tc>
          <w:tcPr>
            <w:tcW w:w="1265" w:type="dxa"/>
            <w:tcMar>
              <w:top w:w="100" w:type="dxa"/>
              <w:left w:w="100" w:type="dxa"/>
              <w:bottom w:w="100" w:type="dxa"/>
              <w:right w:w="100" w:type="dxa"/>
            </w:tcMar>
          </w:tcPr>
          <w:p w14:paraId="0000082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0.49</w:t>
            </w:r>
          </w:p>
        </w:tc>
        <w:tc>
          <w:tcPr>
            <w:tcW w:w="1200" w:type="dxa"/>
            <w:tcMar>
              <w:top w:w="100" w:type="dxa"/>
              <w:left w:w="100" w:type="dxa"/>
              <w:bottom w:w="100" w:type="dxa"/>
              <w:right w:w="100" w:type="dxa"/>
            </w:tcMar>
          </w:tcPr>
          <w:p w14:paraId="0000082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2.27</w:t>
            </w:r>
          </w:p>
        </w:tc>
        <w:tc>
          <w:tcPr>
            <w:tcW w:w="1140" w:type="dxa"/>
            <w:tcMar>
              <w:top w:w="100" w:type="dxa"/>
              <w:left w:w="100" w:type="dxa"/>
              <w:bottom w:w="100" w:type="dxa"/>
              <w:right w:w="100" w:type="dxa"/>
            </w:tcMar>
          </w:tcPr>
          <w:p w14:paraId="0000082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1.04</w:t>
            </w:r>
          </w:p>
        </w:tc>
      </w:tr>
      <w:tr w:rsidR="00CB4215" w14:paraId="4B0EC672" w14:textId="77777777" w:rsidTr="009F5CAE">
        <w:trPr>
          <w:trHeight w:val="440"/>
        </w:trPr>
        <w:tc>
          <w:tcPr>
            <w:tcW w:w="2977" w:type="dxa"/>
            <w:tcMar>
              <w:top w:w="100" w:type="dxa"/>
              <w:left w:w="100" w:type="dxa"/>
              <w:bottom w:w="100" w:type="dxa"/>
              <w:right w:w="100" w:type="dxa"/>
            </w:tcMar>
          </w:tcPr>
          <w:p w14:paraId="0000082B" w14:textId="6E7504A5"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AEBQ-</w:t>
            </w:r>
            <w:r w:rsidR="009F5CAE" w:rsidRPr="009F5CAE">
              <w:rPr>
                <w:rFonts w:ascii="Times New Roman" w:eastAsia="Times New Roman" w:hAnsi="Times New Roman" w:cs="Times New Roman"/>
                <w:sz w:val="20"/>
                <w:szCs w:val="20"/>
                <w:highlight w:val="white"/>
              </w:rPr>
              <w:t xml:space="preserve"> </w:t>
            </w:r>
            <w:r w:rsidR="009F5CAE" w:rsidRPr="009F5CAE">
              <w:rPr>
                <w:rFonts w:ascii="Times New Roman" w:eastAsia="Times New Roman" w:hAnsi="Times New Roman" w:cs="Times New Roman"/>
              </w:rPr>
              <w:t>enjoy of food</w:t>
            </w:r>
          </w:p>
        </w:tc>
        <w:tc>
          <w:tcPr>
            <w:tcW w:w="1276" w:type="dxa"/>
            <w:tcMar>
              <w:top w:w="100" w:type="dxa"/>
              <w:left w:w="100" w:type="dxa"/>
              <w:bottom w:w="100" w:type="dxa"/>
              <w:right w:w="100" w:type="dxa"/>
            </w:tcMar>
          </w:tcPr>
          <w:p w14:paraId="0000082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X</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=0.57</w:t>
            </w:r>
            <w:r>
              <w:rPr>
                <w:rFonts w:ascii="Times New Roman" w:eastAsia="Times New Roman" w:hAnsi="Times New Roman" w:cs="Times New Roman"/>
                <w:vertAlign w:val="superscript"/>
              </w:rPr>
              <w:t>a</w:t>
            </w:r>
          </w:p>
        </w:tc>
        <w:tc>
          <w:tcPr>
            <w:tcW w:w="992" w:type="dxa"/>
            <w:tcMar>
              <w:top w:w="100" w:type="dxa"/>
              <w:left w:w="100" w:type="dxa"/>
              <w:bottom w:w="100" w:type="dxa"/>
              <w:right w:w="100" w:type="dxa"/>
            </w:tcMar>
          </w:tcPr>
          <w:p w14:paraId="0000082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4.32</w:t>
            </w:r>
          </w:p>
        </w:tc>
        <w:tc>
          <w:tcPr>
            <w:tcW w:w="1265" w:type="dxa"/>
            <w:tcMar>
              <w:top w:w="100" w:type="dxa"/>
              <w:left w:w="100" w:type="dxa"/>
              <w:bottom w:w="100" w:type="dxa"/>
              <w:right w:w="100" w:type="dxa"/>
            </w:tcMar>
          </w:tcPr>
          <w:p w14:paraId="0000082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0.71</w:t>
            </w:r>
          </w:p>
        </w:tc>
        <w:tc>
          <w:tcPr>
            <w:tcW w:w="1200" w:type="dxa"/>
            <w:tcMar>
              <w:top w:w="100" w:type="dxa"/>
              <w:left w:w="100" w:type="dxa"/>
              <w:bottom w:w="100" w:type="dxa"/>
              <w:right w:w="100" w:type="dxa"/>
            </w:tcMar>
          </w:tcPr>
          <w:p w14:paraId="0000082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4.45</w:t>
            </w:r>
          </w:p>
        </w:tc>
        <w:tc>
          <w:tcPr>
            <w:tcW w:w="1140" w:type="dxa"/>
            <w:tcMar>
              <w:top w:w="100" w:type="dxa"/>
              <w:left w:w="100" w:type="dxa"/>
              <w:bottom w:w="100" w:type="dxa"/>
              <w:right w:w="100" w:type="dxa"/>
            </w:tcMar>
          </w:tcPr>
          <w:p w14:paraId="0000083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0.74</w:t>
            </w:r>
          </w:p>
        </w:tc>
      </w:tr>
      <w:tr w:rsidR="00CB4215" w14:paraId="10DFF2D6" w14:textId="77777777" w:rsidTr="009F5CAE">
        <w:trPr>
          <w:trHeight w:val="440"/>
        </w:trPr>
        <w:tc>
          <w:tcPr>
            <w:tcW w:w="2977" w:type="dxa"/>
            <w:tcMar>
              <w:top w:w="100" w:type="dxa"/>
              <w:left w:w="100" w:type="dxa"/>
              <w:bottom w:w="100" w:type="dxa"/>
              <w:right w:w="100" w:type="dxa"/>
            </w:tcMar>
          </w:tcPr>
          <w:p w14:paraId="00000831" w14:textId="393C79CE"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AEBQ-</w:t>
            </w:r>
            <w:r w:rsidR="009F5CAE" w:rsidRPr="009F5CAE">
              <w:rPr>
                <w:rFonts w:ascii="Times New Roman" w:eastAsia="Times New Roman" w:hAnsi="Times New Roman" w:cs="Times New Roman"/>
                <w:sz w:val="20"/>
                <w:szCs w:val="20"/>
                <w:highlight w:val="white"/>
              </w:rPr>
              <w:t xml:space="preserve"> </w:t>
            </w:r>
            <w:r w:rsidR="009F5CAE" w:rsidRPr="009F5CAE">
              <w:rPr>
                <w:rFonts w:ascii="Times New Roman" w:eastAsia="Times New Roman" w:hAnsi="Times New Roman" w:cs="Times New Roman"/>
              </w:rPr>
              <w:t>satiety responsiveness</w:t>
            </w:r>
          </w:p>
        </w:tc>
        <w:tc>
          <w:tcPr>
            <w:tcW w:w="1276" w:type="dxa"/>
            <w:tcMar>
              <w:top w:w="100" w:type="dxa"/>
              <w:left w:w="100" w:type="dxa"/>
              <w:bottom w:w="100" w:type="dxa"/>
              <w:right w:w="100" w:type="dxa"/>
            </w:tcMar>
          </w:tcPr>
          <w:p w14:paraId="0000083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992" w:type="dxa"/>
            <w:tcMar>
              <w:top w:w="100" w:type="dxa"/>
              <w:left w:w="100" w:type="dxa"/>
              <w:bottom w:w="100" w:type="dxa"/>
              <w:right w:w="100" w:type="dxa"/>
            </w:tcMar>
          </w:tcPr>
          <w:p w14:paraId="0000083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2.46</w:t>
            </w:r>
          </w:p>
        </w:tc>
        <w:tc>
          <w:tcPr>
            <w:tcW w:w="1265" w:type="dxa"/>
            <w:tcMar>
              <w:top w:w="100" w:type="dxa"/>
              <w:left w:w="100" w:type="dxa"/>
              <w:bottom w:w="100" w:type="dxa"/>
              <w:right w:w="100" w:type="dxa"/>
            </w:tcMar>
          </w:tcPr>
          <w:p w14:paraId="0000083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0.77</w:t>
            </w:r>
          </w:p>
        </w:tc>
        <w:tc>
          <w:tcPr>
            <w:tcW w:w="1200" w:type="dxa"/>
            <w:tcMar>
              <w:top w:w="100" w:type="dxa"/>
              <w:left w:w="100" w:type="dxa"/>
              <w:bottom w:w="100" w:type="dxa"/>
              <w:right w:w="100" w:type="dxa"/>
            </w:tcMar>
          </w:tcPr>
          <w:p w14:paraId="0000083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2.65</w:t>
            </w:r>
          </w:p>
        </w:tc>
        <w:tc>
          <w:tcPr>
            <w:tcW w:w="1140" w:type="dxa"/>
            <w:tcMar>
              <w:top w:w="100" w:type="dxa"/>
              <w:left w:w="100" w:type="dxa"/>
              <w:bottom w:w="100" w:type="dxa"/>
              <w:right w:w="100" w:type="dxa"/>
            </w:tcMar>
          </w:tcPr>
          <w:p w14:paraId="0000083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0.71</w:t>
            </w:r>
          </w:p>
        </w:tc>
      </w:tr>
      <w:tr w:rsidR="00CB4215" w14:paraId="7A73B309" w14:textId="77777777" w:rsidTr="009F5CAE">
        <w:trPr>
          <w:trHeight w:val="440"/>
        </w:trPr>
        <w:tc>
          <w:tcPr>
            <w:tcW w:w="2977" w:type="dxa"/>
            <w:tcMar>
              <w:top w:w="100" w:type="dxa"/>
              <w:left w:w="100" w:type="dxa"/>
              <w:bottom w:w="100" w:type="dxa"/>
              <w:right w:w="100" w:type="dxa"/>
            </w:tcMar>
          </w:tcPr>
          <w:p w14:paraId="00000837" w14:textId="71A34938"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AEBQ-</w:t>
            </w:r>
            <w:r w:rsidR="009F5CAE" w:rsidRPr="009F5CAE">
              <w:rPr>
                <w:rFonts w:ascii="Times New Roman" w:eastAsia="Times New Roman" w:hAnsi="Times New Roman" w:cs="Times New Roman"/>
                <w:sz w:val="20"/>
                <w:szCs w:val="20"/>
                <w:highlight w:val="white"/>
              </w:rPr>
              <w:t xml:space="preserve"> </w:t>
            </w:r>
            <w:r w:rsidR="009F5CAE" w:rsidRPr="009F5CAE">
              <w:rPr>
                <w:rFonts w:ascii="Times New Roman" w:eastAsia="Times New Roman" w:hAnsi="Times New Roman" w:cs="Times New Roman"/>
              </w:rPr>
              <w:t>slowness of eating</w:t>
            </w:r>
          </w:p>
        </w:tc>
        <w:tc>
          <w:tcPr>
            <w:tcW w:w="1276" w:type="dxa"/>
            <w:tcMar>
              <w:top w:w="100" w:type="dxa"/>
              <w:left w:w="100" w:type="dxa"/>
              <w:bottom w:w="100" w:type="dxa"/>
              <w:right w:w="100" w:type="dxa"/>
            </w:tcMar>
          </w:tcPr>
          <w:p w14:paraId="0000083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X</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=0.18</w:t>
            </w:r>
            <w:r>
              <w:rPr>
                <w:rFonts w:ascii="Times New Roman" w:eastAsia="Times New Roman" w:hAnsi="Times New Roman" w:cs="Times New Roman"/>
                <w:vertAlign w:val="superscript"/>
              </w:rPr>
              <w:t>a</w:t>
            </w:r>
          </w:p>
        </w:tc>
        <w:tc>
          <w:tcPr>
            <w:tcW w:w="992" w:type="dxa"/>
            <w:tcMar>
              <w:top w:w="100" w:type="dxa"/>
              <w:left w:w="100" w:type="dxa"/>
              <w:bottom w:w="100" w:type="dxa"/>
              <w:right w:w="100" w:type="dxa"/>
            </w:tcMar>
          </w:tcPr>
          <w:p w14:paraId="0000083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2.32</w:t>
            </w:r>
          </w:p>
        </w:tc>
        <w:tc>
          <w:tcPr>
            <w:tcW w:w="1265" w:type="dxa"/>
            <w:tcMar>
              <w:top w:w="100" w:type="dxa"/>
              <w:left w:w="100" w:type="dxa"/>
              <w:bottom w:w="100" w:type="dxa"/>
              <w:right w:w="100" w:type="dxa"/>
            </w:tcMar>
          </w:tcPr>
          <w:p w14:paraId="0000083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1.15</w:t>
            </w:r>
          </w:p>
        </w:tc>
        <w:tc>
          <w:tcPr>
            <w:tcW w:w="1200" w:type="dxa"/>
            <w:tcMar>
              <w:top w:w="100" w:type="dxa"/>
              <w:left w:w="100" w:type="dxa"/>
              <w:bottom w:w="100" w:type="dxa"/>
              <w:right w:w="100" w:type="dxa"/>
            </w:tcMar>
          </w:tcPr>
          <w:p w14:paraId="0000083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2.54</w:t>
            </w:r>
          </w:p>
        </w:tc>
        <w:tc>
          <w:tcPr>
            <w:tcW w:w="1140" w:type="dxa"/>
            <w:tcMar>
              <w:top w:w="100" w:type="dxa"/>
              <w:left w:w="100" w:type="dxa"/>
              <w:bottom w:w="100" w:type="dxa"/>
              <w:right w:w="100" w:type="dxa"/>
            </w:tcMar>
          </w:tcPr>
          <w:p w14:paraId="0000083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1.29</w:t>
            </w:r>
          </w:p>
        </w:tc>
      </w:tr>
      <w:tr w:rsidR="00CB4215" w14:paraId="43A8626C" w14:textId="77777777" w:rsidTr="009F5CAE">
        <w:trPr>
          <w:trHeight w:val="282"/>
        </w:trPr>
        <w:tc>
          <w:tcPr>
            <w:tcW w:w="2977" w:type="dxa"/>
            <w:tcBorders>
              <w:top w:val="nil"/>
              <w:left w:val="nil"/>
              <w:bottom w:val="single" w:sz="4" w:space="0" w:color="000000"/>
              <w:right w:val="nil"/>
            </w:tcBorders>
            <w:tcMar>
              <w:top w:w="100" w:type="dxa"/>
              <w:left w:w="100" w:type="dxa"/>
              <w:bottom w:w="100" w:type="dxa"/>
              <w:right w:w="100" w:type="dxa"/>
            </w:tcMar>
          </w:tcPr>
          <w:p w14:paraId="0000083D" w14:textId="3A492C62"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w:t>
            </w:r>
            <w:r w:rsidR="00577175">
              <w:rPr>
                <w:rFonts w:ascii="Times New Roman" w:eastAsia="Times New Roman" w:hAnsi="Times New Roman" w:cs="Times New Roman"/>
              </w:rPr>
              <w:t>O</w:t>
            </w:r>
            <w:r>
              <w:rPr>
                <w:rFonts w:ascii="Times New Roman" w:eastAsia="Times New Roman" w:hAnsi="Times New Roman" w:cs="Times New Roman"/>
              </w:rPr>
              <w:t>EQ-</w:t>
            </w:r>
            <w:r w:rsidR="009F5CAE" w:rsidRPr="009F5CAE">
              <w:rPr>
                <w:rFonts w:ascii="Times New Roman" w:eastAsia="Times New Roman" w:hAnsi="Times New Roman" w:cs="Times New Roman"/>
                <w:sz w:val="20"/>
                <w:szCs w:val="20"/>
                <w:highlight w:val="white"/>
              </w:rPr>
              <w:t xml:space="preserve"> </w:t>
            </w:r>
            <w:r w:rsidR="009F5CAE" w:rsidRPr="009F5CAE">
              <w:rPr>
                <w:rFonts w:ascii="Times New Roman" w:eastAsia="Times New Roman" w:hAnsi="Times New Roman" w:cs="Times New Roman"/>
              </w:rPr>
              <w:t>craving control</w:t>
            </w:r>
          </w:p>
        </w:tc>
        <w:tc>
          <w:tcPr>
            <w:tcW w:w="1276" w:type="dxa"/>
            <w:tcBorders>
              <w:top w:val="nil"/>
              <w:left w:val="nil"/>
              <w:bottom w:val="single" w:sz="4" w:space="0" w:color="000000"/>
              <w:right w:val="nil"/>
            </w:tcBorders>
            <w:tcMar>
              <w:top w:w="100" w:type="dxa"/>
              <w:left w:w="100" w:type="dxa"/>
              <w:bottom w:w="100" w:type="dxa"/>
              <w:right w:w="100" w:type="dxa"/>
            </w:tcMar>
          </w:tcPr>
          <w:p w14:paraId="0000083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0.07</w:t>
            </w:r>
          </w:p>
        </w:tc>
        <w:tc>
          <w:tcPr>
            <w:tcW w:w="992" w:type="dxa"/>
            <w:tcBorders>
              <w:top w:val="nil"/>
              <w:left w:val="nil"/>
              <w:bottom w:val="single" w:sz="4" w:space="0" w:color="000000"/>
              <w:right w:val="nil"/>
            </w:tcBorders>
            <w:tcMar>
              <w:top w:w="100" w:type="dxa"/>
              <w:left w:w="100" w:type="dxa"/>
              <w:bottom w:w="100" w:type="dxa"/>
              <w:right w:w="100" w:type="dxa"/>
            </w:tcMar>
          </w:tcPr>
          <w:p w14:paraId="0000083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36.82</w:t>
            </w:r>
          </w:p>
        </w:tc>
        <w:tc>
          <w:tcPr>
            <w:tcW w:w="1265" w:type="dxa"/>
            <w:tcBorders>
              <w:top w:val="nil"/>
              <w:left w:val="nil"/>
              <w:bottom w:val="single" w:sz="4" w:space="0" w:color="000000"/>
              <w:right w:val="nil"/>
            </w:tcBorders>
            <w:tcMar>
              <w:top w:w="100" w:type="dxa"/>
              <w:left w:w="100" w:type="dxa"/>
              <w:bottom w:w="100" w:type="dxa"/>
              <w:right w:w="100" w:type="dxa"/>
            </w:tcMar>
          </w:tcPr>
          <w:p w14:paraId="0000084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18.82</w:t>
            </w:r>
          </w:p>
        </w:tc>
        <w:tc>
          <w:tcPr>
            <w:tcW w:w="1200" w:type="dxa"/>
            <w:tcBorders>
              <w:top w:val="nil"/>
              <w:left w:val="nil"/>
              <w:bottom w:val="single" w:sz="4" w:space="0" w:color="000000"/>
              <w:right w:val="nil"/>
            </w:tcBorders>
            <w:tcMar>
              <w:top w:w="100" w:type="dxa"/>
              <w:left w:w="100" w:type="dxa"/>
              <w:bottom w:w="100" w:type="dxa"/>
              <w:right w:w="100" w:type="dxa"/>
            </w:tcMar>
          </w:tcPr>
          <w:p w14:paraId="0000084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27.64</w:t>
            </w:r>
          </w:p>
        </w:tc>
        <w:tc>
          <w:tcPr>
            <w:tcW w:w="1140" w:type="dxa"/>
            <w:tcBorders>
              <w:top w:val="nil"/>
              <w:left w:val="nil"/>
              <w:bottom w:val="single" w:sz="4" w:space="0" w:color="000000"/>
              <w:right w:val="nil"/>
            </w:tcBorders>
            <w:tcMar>
              <w:top w:w="100" w:type="dxa"/>
              <w:left w:w="100" w:type="dxa"/>
              <w:bottom w:w="100" w:type="dxa"/>
              <w:right w:w="100" w:type="dxa"/>
            </w:tcMar>
          </w:tcPr>
          <w:p w14:paraId="0000084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15.81</w:t>
            </w:r>
          </w:p>
        </w:tc>
      </w:tr>
    </w:tbl>
    <w:p w14:paraId="7FD56C27" w14:textId="41DD2412" w:rsidR="006C356B" w:rsidRPr="00D03B56" w:rsidRDefault="006C356B">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i/>
          <w:sz w:val="20"/>
          <w:szCs w:val="20"/>
        </w:rPr>
        <w:t>Note</w:t>
      </w:r>
      <w:r w:rsidRPr="00D03B56">
        <w:rPr>
          <w:rFonts w:ascii="Times New Roman" w:eastAsia="Times New Roman" w:hAnsi="Times New Roman" w:cs="Times New Roman"/>
          <w:sz w:val="20"/>
          <w:szCs w:val="20"/>
        </w:rPr>
        <w:t xml:space="preserve">: All comparisons were controlled for age and gender. </w:t>
      </w:r>
    </w:p>
    <w:p w14:paraId="00000844" w14:textId="77777777" w:rsidR="00CB4215"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rPr>
        <w:t>Data are presented as mean, SD or median rank.</w:t>
      </w:r>
    </w:p>
    <w:p w14:paraId="2222E7B3" w14:textId="369198FE" w:rsidR="009F5CAE" w:rsidRDefault="009F5CAE" w:rsidP="009F5CA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TFEQ = Three Factor Eating Questionnaire revised 18-items (Karlsson et al., 2000); AEBQ = Adult Eating Behaviour Questionnaire (</w:t>
      </w:r>
      <w:proofErr w:type="spellStart"/>
      <w:r>
        <w:rPr>
          <w:rFonts w:ascii="Times New Roman" w:eastAsia="Times New Roman" w:hAnsi="Times New Roman" w:cs="Times New Roman"/>
          <w:sz w:val="20"/>
          <w:szCs w:val="20"/>
        </w:rPr>
        <w:t>Hunot</w:t>
      </w:r>
      <w:proofErr w:type="spellEnd"/>
      <w:r>
        <w:rPr>
          <w:rFonts w:ascii="Times New Roman" w:eastAsia="Times New Roman" w:hAnsi="Times New Roman" w:cs="Times New Roman"/>
          <w:sz w:val="20"/>
          <w:szCs w:val="20"/>
        </w:rPr>
        <w:t xml:space="preserve"> et al., 2016). COEQ = Control of Eating Questionnaire (Dalton et al., 2015). </w:t>
      </w:r>
    </w:p>
    <w:p w14:paraId="0AA71D3F" w14:textId="6CCA2463" w:rsidR="001E7D67" w:rsidRDefault="001E7D67" w:rsidP="009F5CA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rPr>
        <w:t xml:space="preserve"> Kruskal-Wallis H test.</w:t>
      </w:r>
    </w:p>
    <w:p w14:paraId="00000846"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 significant differences are shown in the table.</w:t>
      </w:r>
    </w:p>
    <w:p w14:paraId="00000847" w14:textId="31A483EC" w:rsidR="00CB4215" w:rsidRDefault="00CB4215">
      <w:pPr>
        <w:spacing w:line="240" w:lineRule="auto"/>
        <w:rPr>
          <w:rFonts w:ascii="Times New Roman" w:eastAsia="Times New Roman" w:hAnsi="Times New Roman" w:cs="Times New Roman"/>
          <w:sz w:val="20"/>
          <w:szCs w:val="20"/>
        </w:rPr>
      </w:pPr>
    </w:p>
    <w:p w14:paraId="0F65D518" w14:textId="77777777" w:rsidR="0022448A" w:rsidRDefault="0022448A">
      <w:pPr>
        <w:spacing w:line="240" w:lineRule="auto"/>
        <w:rPr>
          <w:rFonts w:ascii="Times New Roman" w:eastAsia="Times New Roman" w:hAnsi="Times New Roman" w:cs="Times New Roman"/>
          <w:sz w:val="20"/>
          <w:szCs w:val="20"/>
        </w:rPr>
      </w:pPr>
    </w:p>
    <w:p w14:paraId="00000848"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5.4.4 Correlations between meal timing, health behaviours and perceived stress</w:t>
      </w:r>
    </w:p>
    <w:p w14:paraId="00000849" w14:textId="77777777" w:rsidR="00CB4215" w:rsidRDefault="00CB4215"/>
    <w:p w14:paraId="0000084A" w14:textId="7DBFF341" w:rsidR="00CB4215" w:rsidRDefault="000530B4">
      <w:pPr>
        <w:spacing w:line="480" w:lineRule="auto"/>
        <w:rPr>
          <w:rFonts w:ascii="Times New Roman" w:eastAsia="Times New Roman" w:hAnsi="Times New Roman" w:cs="Times New Roman"/>
        </w:rPr>
        <w:sectPr w:rsidR="00CB4215">
          <w:pgSz w:w="11909" w:h="16834"/>
          <w:pgMar w:top="1440" w:right="1440" w:bottom="1440" w:left="1440" w:header="720" w:footer="720" w:gutter="0"/>
          <w:cols w:space="720"/>
        </w:sectPr>
      </w:pPr>
      <w:r>
        <w:rPr>
          <w:rFonts w:ascii="Times New Roman" w:eastAsia="Times New Roman" w:hAnsi="Times New Roman" w:cs="Times New Roman"/>
          <w:sz w:val="24"/>
          <w:szCs w:val="24"/>
        </w:rPr>
        <w:t>Table 5.5 shows the correlations between meal timing, health behaviour and perceived stress. Preliminary results showed that late eating was significantly associated with poorer dietary quality (r</w:t>
      </w:r>
      <w:r w:rsidR="00AC0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AC0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-.44, </w:t>
      </w:r>
      <w:r>
        <w:rPr>
          <w:rFonts w:ascii="Times New Roman" w:eastAsia="Times New Roman" w:hAnsi="Times New Roman" w:cs="Times New Roman"/>
          <w:i/>
          <w:sz w:val="24"/>
          <w:szCs w:val="24"/>
        </w:rPr>
        <w:t>p</w:t>
      </w:r>
      <w:r w:rsidR="00AC014F">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AC0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.02), but was not significantly associated with energy expenditure, MVPA, step count, sleep time, sleep duration, dietary intake (daily energy intake and macronutrient intake), ideal portion size and perceived stress (all </w:t>
      </w:r>
      <w:r>
        <w:rPr>
          <w:rFonts w:ascii="Times New Roman" w:eastAsia="Times New Roman" w:hAnsi="Times New Roman" w:cs="Times New Roman"/>
          <w:i/>
          <w:sz w:val="24"/>
          <w:szCs w:val="24"/>
        </w:rPr>
        <w:t>p</w:t>
      </w:r>
      <w:r w:rsidR="00AC014F">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&gt;</w:t>
      </w:r>
      <w:r w:rsidR="00AC0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.05). </w:t>
      </w:r>
    </w:p>
    <w:p w14:paraId="0000084B"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99" w:name="_heading=h.319y80a" w:colFirst="0" w:colLast="0"/>
      <w:bookmarkEnd w:id="99"/>
      <w:r>
        <w:rPr>
          <w:rFonts w:ascii="Times New Roman" w:eastAsia="Times New Roman" w:hAnsi="Times New Roman" w:cs="Times New Roman"/>
          <w:i/>
          <w:color w:val="000000"/>
          <w:sz w:val="20"/>
          <w:szCs w:val="20"/>
        </w:rPr>
        <w:lastRenderedPageBreak/>
        <w:t xml:space="preserve">Table 5.5. </w:t>
      </w:r>
      <w:r>
        <w:rPr>
          <w:rFonts w:ascii="Times New Roman" w:eastAsia="Times New Roman" w:hAnsi="Times New Roman" w:cs="Times New Roman"/>
          <w:color w:val="000000"/>
          <w:sz w:val="20"/>
          <w:szCs w:val="20"/>
        </w:rPr>
        <w:t>Correlations between BMI, meal timing and health behaviours.</w:t>
      </w:r>
    </w:p>
    <w:tbl>
      <w:tblPr>
        <w:tblStyle w:val="af"/>
        <w:tblW w:w="13935" w:type="dxa"/>
        <w:tblInd w:w="-15" w:type="dxa"/>
        <w:tblBorders>
          <w:insideH w:val="nil"/>
          <w:insideV w:val="nil"/>
        </w:tblBorders>
        <w:tblLayout w:type="fixed"/>
        <w:tblLook w:val="0600" w:firstRow="0" w:lastRow="0" w:firstColumn="0" w:lastColumn="0" w:noHBand="1" w:noVBand="1"/>
      </w:tblPr>
      <w:tblGrid>
        <w:gridCol w:w="3180"/>
        <w:gridCol w:w="900"/>
        <w:gridCol w:w="975"/>
        <w:gridCol w:w="1035"/>
        <w:gridCol w:w="1005"/>
        <w:gridCol w:w="825"/>
        <w:gridCol w:w="1005"/>
        <w:gridCol w:w="825"/>
        <w:gridCol w:w="765"/>
        <w:gridCol w:w="840"/>
        <w:gridCol w:w="660"/>
        <w:gridCol w:w="705"/>
        <w:gridCol w:w="705"/>
        <w:gridCol w:w="510"/>
      </w:tblGrid>
      <w:tr w:rsidR="00CB4215" w14:paraId="2DD49058" w14:textId="77777777">
        <w:trPr>
          <w:trHeight w:val="16"/>
        </w:trPr>
        <w:tc>
          <w:tcPr>
            <w:tcW w:w="3180" w:type="dxa"/>
            <w:tcBorders>
              <w:top w:val="single" w:sz="8" w:space="0" w:color="000000"/>
              <w:left w:val="nil"/>
              <w:bottom w:val="single" w:sz="8" w:space="0" w:color="000000"/>
              <w:right w:val="nil"/>
            </w:tcBorders>
            <w:tcMar>
              <w:top w:w="100" w:type="dxa"/>
              <w:left w:w="100" w:type="dxa"/>
              <w:bottom w:w="100" w:type="dxa"/>
              <w:right w:w="100" w:type="dxa"/>
            </w:tcMar>
          </w:tcPr>
          <w:p w14:paraId="0000084C" w14:textId="77777777" w:rsidR="00CB4215" w:rsidRDefault="00CB4215">
            <w:pPr>
              <w:spacing w:line="240" w:lineRule="auto"/>
              <w:rPr>
                <w:rFonts w:ascii="Times New Roman" w:eastAsia="Times New Roman" w:hAnsi="Times New Roman" w:cs="Times New Roman"/>
              </w:rPr>
            </w:pPr>
          </w:p>
        </w:tc>
        <w:tc>
          <w:tcPr>
            <w:tcW w:w="900" w:type="dxa"/>
            <w:tcBorders>
              <w:top w:val="single" w:sz="8" w:space="0" w:color="000000"/>
              <w:left w:val="nil"/>
              <w:bottom w:val="single" w:sz="8" w:space="0" w:color="000000"/>
              <w:right w:val="nil"/>
            </w:tcBorders>
            <w:tcMar>
              <w:top w:w="100" w:type="dxa"/>
              <w:left w:w="100" w:type="dxa"/>
              <w:bottom w:w="100" w:type="dxa"/>
              <w:right w:w="100" w:type="dxa"/>
            </w:tcMar>
          </w:tcPr>
          <w:p w14:paraId="0000084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975" w:type="dxa"/>
            <w:tcBorders>
              <w:top w:val="single" w:sz="8" w:space="0" w:color="000000"/>
              <w:left w:val="nil"/>
              <w:bottom w:val="single" w:sz="8" w:space="0" w:color="000000"/>
              <w:right w:val="nil"/>
            </w:tcBorders>
            <w:tcMar>
              <w:top w:w="100" w:type="dxa"/>
              <w:left w:w="100" w:type="dxa"/>
              <w:bottom w:w="100" w:type="dxa"/>
              <w:right w:w="100" w:type="dxa"/>
            </w:tcMar>
          </w:tcPr>
          <w:p w14:paraId="0000084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tcPr>
          <w:p w14:paraId="0000084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1005" w:type="dxa"/>
            <w:tcBorders>
              <w:top w:val="single" w:sz="8" w:space="0" w:color="000000"/>
              <w:left w:val="nil"/>
              <w:bottom w:val="single" w:sz="8" w:space="0" w:color="000000"/>
              <w:right w:val="nil"/>
            </w:tcBorders>
            <w:tcMar>
              <w:top w:w="100" w:type="dxa"/>
              <w:left w:w="100" w:type="dxa"/>
              <w:bottom w:w="100" w:type="dxa"/>
              <w:right w:w="100" w:type="dxa"/>
            </w:tcMar>
          </w:tcPr>
          <w:p w14:paraId="0000085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825" w:type="dxa"/>
            <w:tcBorders>
              <w:top w:val="single" w:sz="8" w:space="0" w:color="000000"/>
              <w:left w:val="nil"/>
              <w:bottom w:val="single" w:sz="8" w:space="0" w:color="000000"/>
              <w:right w:val="nil"/>
            </w:tcBorders>
            <w:tcMar>
              <w:top w:w="100" w:type="dxa"/>
              <w:left w:w="100" w:type="dxa"/>
              <w:bottom w:w="100" w:type="dxa"/>
              <w:right w:w="100" w:type="dxa"/>
            </w:tcMar>
          </w:tcPr>
          <w:p w14:paraId="0000085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1005" w:type="dxa"/>
            <w:tcBorders>
              <w:top w:val="single" w:sz="8" w:space="0" w:color="000000"/>
              <w:left w:val="nil"/>
              <w:bottom w:val="single" w:sz="8" w:space="0" w:color="000000"/>
              <w:right w:val="nil"/>
            </w:tcBorders>
            <w:tcMar>
              <w:top w:w="100" w:type="dxa"/>
              <w:left w:w="100" w:type="dxa"/>
              <w:bottom w:w="100" w:type="dxa"/>
              <w:right w:w="100" w:type="dxa"/>
            </w:tcMar>
          </w:tcPr>
          <w:p w14:paraId="0000085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825" w:type="dxa"/>
            <w:tcBorders>
              <w:top w:val="single" w:sz="8" w:space="0" w:color="000000"/>
              <w:left w:val="nil"/>
              <w:bottom w:val="single" w:sz="8" w:space="0" w:color="000000"/>
              <w:right w:val="nil"/>
            </w:tcBorders>
            <w:tcMar>
              <w:top w:w="100" w:type="dxa"/>
              <w:left w:w="100" w:type="dxa"/>
              <w:bottom w:w="100" w:type="dxa"/>
              <w:right w:w="100" w:type="dxa"/>
            </w:tcMar>
          </w:tcPr>
          <w:p w14:paraId="0000085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7</w:t>
            </w:r>
          </w:p>
        </w:tc>
        <w:tc>
          <w:tcPr>
            <w:tcW w:w="765" w:type="dxa"/>
            <w:tcBorders>
              <w:top w:val="single" w:sz="8" w:space="0" w:color="000000"/>
              <w:left w:val="nil"/>
              <w:bottom w:val="single" w:sz="8" w:space="0" w:color="000000"/>
              <w:right w:val="nil"/>
            </w:tcBorders>
            <w:tcMar>
              <w:top w:w="100" w:type="dxa"/>
              <w:left w:w="100" w:type="dxa"/>
              <w:bottom w:w="100" w:type="dxa"/>
              <w:right w:w="100" w:type="dxa"/>
            </w:tcMar>
          </w:tcPr>
          <w:p w14:paraId="0000085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8</w:t>
            </w:r>
          </w:p>
        </w:tc>
        <w:tc>
          <w:tcPr>
            <w:tcW w:w="840" w:type="dxa"/>
            <w:tcBorders>
              <w:top w:val="single" w:sz="8" w:space="0" w:color="000000"/>
              <w:left w:val="nil"/>
              <w:bottom w:val="single" w:sz="8" w:space="0" w:color="000000"/>
              <w:right w:val="nil"/>
            </w:tcBorders>
            <w:tcMar>
              <w:top w:w="100" w:type="dxa"/>
              <w:left w:w="100" w:type="dxa"/>
              <w:bottom w:w="100" w:type="dxa"/>
              <w:right w:w="100" w:type="dxa"/>
            </w:tcMar>
          </w:tcPr>
          <w:p w14:paraId="0000085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9</w:t>
            </w:r>
          </w:p>
        </w:tc>
        <w:tc>
          <w:tcPr>
            <w:tcW w:w="660" w:type="dxa"/>
            <w:tcBorders>
              <w:top w:val="single" w:sz="8" w:space="0" w:color="000000"/>
              <w:left w:val="nil"/>
              <w:bottom w:val="single" w:sz="8" w:space="0" w:color="000000"/>
              <w:right w:val="nil"/>
            </w:tcBorders>
            <w:tcMar>
              <w:top w:w="100" w:type="dxa"/>
              <w:left w:w="100" w:type="dxa"/>
              <w:bottom w:w="100" w:type="dxa"/>
              <w:right w:w="100" w:type="dxa"/>
            </w:tcMar>
          </w:tcPr>
          <w:p w14:paraId="0000085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705" w:type="dxa"/>
            <w:tcBorders>
              <w:top w:val="single" w:sz="8" w:space="0" w:color="000000"/>
              <w:left w:val="nil"/>
              <w:bottom w:val="single" w:sz="8" w:space="0" w:color="000000"/>
              <w:right w:val="nil"/>
            </w:tcBorders>
            <w:tcMar>
              <w:top w:w="100" w:type="dxa"/>
              <w:left w:w="100" w:type="dxa"/>
              <w:bottom w:w="100" w:type="dxa"/>
              <w:right w:w="100" w:type="dxa"/>
            </w:tcMar>
          </w:tcPr>
          <w:p w14:paraId="0000085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11</w:t>
            </w:r>
          </w:p>
        </w:tc>
        <w:tc>
          <w:tcPr>
            <w:tcW w:w="705" w:type="dxa"/>
            <w:tcBorders>
              <w:top w:val="single" w:sz="8" w:space="0" w:color="000000"/>
              <w:left w:val="nil"/>
              <w:bottom w:val="single" w:sz="8" w:space="0" w:color="000000"/>
              <w:right w:val="nil"/>
            </w:tcBorders>
            <w:tcMar>
              <w:top w:w="100" w:type="dxa"/>
              <w:left w:w="100" w:type="dxa"/>
              <w:bottom w:w="100" w:type="dxa"/>
              <w:right w:w="100" w:type="dxa"/>
            </w:tcMar>
          </w:tcPr>
          <w:p w14:paraId="0000085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510" w:type="dxa"/>
            <w:tcBorders>
              <w:top w:val="single" w:sz="8" w:space="0" w:color="000000"/>
              <w:left w:val="nil"/>
              <w:bottom w:val="single" w:sz="8" w:space="0" w:color="000000"/>
              <w:right w:val="nil"/>
            </w:tcBorders>
            <w:tcMar>
              <w:top w:w="100" w:type="dxa"/>
              <w:left w:w="100" w:type="dxa"/>
              <w:bottom w:w="100" w:type="dxa"/>
              <w:right w:w="100" w:type="dxa"/>
            </w:tcMar>
          </w:tcPr>
          <w:p w14:paraId="0000085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13</w:t>
            </w:r>
          </w:p>
        </w:tc>
      </w:tr>
      <w:tr w:rsidR="00CB4215" w14:paraId="4EB241E8" w14:textId="77777777">
        <w:trPr>
          <w:trHeight w:val="288"/>
        </w:trPr>
        <w:tc>
          <w:tcPr>
            <w:tcW w:w="3180" w:type="dxa"/>
            <w:tcBorders>
              <w:top w:val="single" w:sz="8" w:space="0" w:color="000000"/>
              <w:left w:val="nil"/>
              <w:bottom w:val="nil"/>
              <w:right w:val="nil"/>
            </w:tcBorders>
            <w:tcMar>
              <w:top w:w="100" w:type="dxa"/>
              <w:left w:w="100" w:type="dxa"/>
              <w:bottom w:w="100" w:type="dxa"/>
              <w:right w:w="100" w:type="dxa"/>
            </w:tcMar>
          </w:tcPr>
          <w:p w14:paraId="0000085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 Last eating episode time</w:t>
            </w:r>
          </w:p>
        </w:tc>
        <w:tc>
          <w:tcPr>
            <w:tcW w:w="900" w:type="dxa"/>
            <w:tcBorders>
              <w:top w:val="nil"/>
              <w:left w:val="nil"/>
              <w:bottom w:val="nil"/>
              <w:right w:val="nil"/>
            </w:tcBorders>
            <w:tcMar>
              <w:top w:w="100" w:type="dxa"/>
              <w:left w:w="100" w:type="dxa"/>
              <w:bottom w:w="100" w:type="dxa"/>
              <w:right w:w="100" w:type="dxa"/>
            </w:tcMar>
          </w:tcPr>
          <w:p w14:paraId="0000085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975" w:type="dxa"/>
            <w:tcBorders>
              <w:top w:val="nil"/>
              <w:left w:val="nil"/>
              <w:bottom w:val="nil"/>
              <w:right w:val="nil"/>
            </w:tcBorders>
            <w:tcMar>
              <w:top w:w="100" w:type="dxa"/>
              <w:left w:w="100" w:type="dxa"/>
              <w:bottom w:w="100" w:type="dxa"/>
              <w:right w:w="100" w:type="dxa"/>
            </w:tcMar>
          </w:tcPr>
          <w:p w14:paraId="0000085C" w14:textId="77777777" w:rsidR="00CB4215" w:rsidRDefault="00CB4215">
            <w:pPr>
              <w:spacing w:line="240" w:lineRule="auto"/>
              <w:rPr>
                <w:rFonts w:ascii="Times New Roman" w:eastAsia="Times New Roman" w:hAnsi="Times New Roman" w:cs="Times New Roman"/>
              </w:rPr>
            </w:pPr>
          </w:p>
        </w:tc>
        <w:tc>
          <w:tcPr>
            <w:tcW w:w="1035" w:type="dxa"/>
            <w:tcBorders>
              <w:top w:val="nil"/>
              <w:left w:val="nil"/>
              <w:bottom w:val="nil"/>
              <w:right w:val="nil"/>
            </w:tcBorders>
            <w:tcMar>
              <w:top w:w="100" w:type="dxa"/>
              <w:left w:w="100" w:type="dxa"/>
              <w:bottom w:w="100" w:type="dxa"/>
              <w:right w:w="100" w:type="dxa"/>
            </w:tcMar>
          </w:tcPr>
          <w:p w14:paraId="0000085D" w14:textId="77777777" w:rsidR="00CB4215" w:rsidRDefault="00CB4215">
            <w:pPr>
              <w:spacing w:line="240" w:lineRule="auto"/>
              <w:rPr>
                <w:rFonts w:ascii="Times New Roman" w:eastAsia="Times New Roman" w:hAnsi="Times New Roman" w:cs="Times New Roman"/>
              </w:rPr>
            </w:pPr>
          </w:p>
        </w:tc>
        <w:tc>
          <w:tcPr>
            <w:tcW w:w="1005" w:type="dxa"/>
            <w:tcBorders>
              <w:top w:val="nil"/>
              <w:left w:val="nil"/>
              <w:bottom w:val="nil"/>
              <w:right w:val="nil"/>
            </w:tcBorders>
            <w:tcMar>
              <w:top w:w="100" w:type="dxa"/>
              <w:left w:w="100" w:type="dxa"/>
              <w:bottom w:w="100" w:type="dxa"/>
              <w:right w:w="100" w:type="dxa"/>
            </w:tcMar>
          </w:tcPr>
          <w:p w14:paraId="0000085E" w14:textId="77777777" w:rsidR="00CB4215" w:rsidRDefault="00CB4215">
            <w:pPr>
              <w:spacing w:line="240" w:lineRule="auto"/>
              <w:rPr>
                <w:rFonts w:ascii="Times New Roman" w:eastAsia="Times New Roman" w:hAnsi="Times New Roman" w:cs="Times New Roman"/>
              </w:rPr>
            </w:pPr>
          </w:p>
        </w:tc>
        <w:tc>
          <w:tcPr>
            <w:tcW w:w="825" w:type="dxa"/>
            <w:tcBorders>
              <w:top w:val="nil"/>
              <w:left w:val="nil"/>
              <w:bottom w:val="nil"/>
              <w:right w:val="nil"/>
            </w:tcBorders>
            <w:tcMar>
              <w:top w:w="100" w:type="dxa"/>
              <w:left w:w="100" w:type="dxa"/>
              <w:bottom w:w="100" w:type="dxa"/>
              <w:right w:w="100" w:type="dxa"/>
            </w:tcMar>
          </w:tcPr>
          <w:p w14:paraId="0000085F" w14:textId="77777777" w:rsidR="00CB4215" w:rsidRDefault="00CB4215">
            <w:pPr>
              <w:spacing w:line="240" w:lineRule="auto"/>
              <w:rPr>
                <w:rFonts w:ascii="Times New Roman" w:eastAsia="Times New Roman" w:hAnsi="Times New Roman" w:cs="Times New Roman"/>
              </w:rPr>
            </w:pPr>
          </w:p>
        </w:tc>
        <w:tc>
          <w:tcPr>
            <w:tcW w:w="1005" w:type="dxa"/>
            <w:tcBorders>
              <w:top w:val="nil"/>
              <w:left w:val="nil"/>
              <w:bottom w:val="nil"/>
              <w:right w:val="nil"/>
            </w:tcBorders>
            <w:tcMar>
              <w:top w:w="100" w:type="dxa"/>
              <w:left w:w="100" w:type="dxa"/>
              <w:bottom w:w="100" w:type="dxa"/>
              <w:right w:w="100" w:type="dxa"/>
            </w:tcMar>
          </w:tcPr>
          <w:p w14:paraId="00000860" w14:textId="77777777" w:rsidR="00CB4215" w:rsidRDefault="00CB4215">
            <w:pPr>
              <w:spacing w:line="240" w:lineRule="auto"/>
              <w:rPr>
                <w:rFonts w:ascii="Times New Roman" w:eastAsia="Times New Roman" w:hAnsi="Times New Roman" w:cs="Times New Roman"/>
              </w:rPr>
            </w:pPr>
          </w:p>
        </w:tc>
        <w:tc>
          <w:tcPr>
            <w:tcW w:w="825" w:type="dxa"/>
            <w:tcBorders>
              <w:top w:val="nil"/>
              <w:left w:val="nil"/>
              <w:bottom w:val="nil"/>
              <w:right w:val="nil"/>
            </w:tcBorders>
            <w:tcMar>
              <w:top w:w="100" w:type="dxa"/>
              <w:left w:w="100" w:type="dxa"/>
              <w:bottom w:w="100" w:type="dxa"/>
              <w:right w:w="100" w:type="dxa"/>
            </w:tcMar>
          </w:tcPr>
          <w:p w14:paraId="00000861" w14:textId="77777777" w:rsidR="00CB4215" w:rsidRDefault="00CB4215">
            <w:pPr>
              <w:spacing w:line="240" w:lineRule="auto"/>
              <w:rPr>
                <w:rFonts w:ascii="Times New Roman" w:eastAsia="Times New Roman" w:hAnsi="Times New Roman" w:cs="Times New Roman"/>
              </w:rPr>
            </w:pPr>
          </w:p>
        </w:tc>
        <w:tc>
          <w:tcPr>
            <w:tcW w:w="765" w:type="dxa"/>
            <w:tcBorders>
              <w:top w:val="nil"/>
              <w:left w:val="nil"/>
              <w:bottom w:val="nil"/>
              <w:right w:val="nil"/>
            </w:tcBorders>
            <w:tcMar>
              <w:top w:w="100" w:type="dxa"/>
              <w:left w:w="100" w:type="dxa"/>
              <w:bottom w:w="100" w:type="dxa"/>
              <w:right w:w="100" w:type="dxa"/>
            </w:tcMar>
          </w:tcPr>
          <w:p w14:paraId="00000862" w14:textId="77777777" w:rsidR="00CB4215" w:rsidRDefault="00CB4215">
            <w:pPr>
              <w:spacing w:line="240" w:lineRule="auto"/>
              <w:rPr>
                <w:rFonts w:ascii="Times New Roman" w:eastAsia="Times New Roman" w:hAnsi="Times New Roman" w:cs="Times New Roman"/>
              </w:rPr>
            </w:pPr>
          </w:p>
        </w:tc>
        <w:tc>
          <w:tcPr>
            <w:tcW w:w="840" w:type="dxa"/>
            <w:tcBorders>
              <w:top w:val="nil"/>
              <w:left w:val="nil"/>
              <w:bottom w:val="nil"/>
              <w:right w:val="nil"/>
            </w:tcBorders>
            <w:tcMar>
              <w:top w:w="100" w:type="dxa"/>
              <w:left w:w="100" w:type="dxa"/>
              <w:bottom w:w="100" w:type="dxa"/>
              <w:right w:w="100" w:type="dxa"/>
            </w:tcMar>
          </w:tcPr>
          <w:p w14:paraId="00000863" w14:textId="77777777" w:rsidR="00CB4215" w:rsidRDefault="00CB4215">
            <w:pPr>
              <w:spacing w:line="240" w:lineRule="auto"/>
              <w:rPr>
                <w:rFonts w:ascii="Times New Roman" w:eastAsia="Times New Roman" w:hAnsi="Times New Roman" w:cs="Times New Roman"/>
              </w:rPr>
            </w:pPr>
          </w:p>
        </w:tc>
        <w:tc>
          <w:tcPr>
            <w:tcW w:w="660" w:type="dxa"/>
            <w:tcBorders>
              <w:top w:val="nil"/>
              <w:left w:val="nil"/>
              <w:bottom w:val="nil"/>
              <w:right w:val="nil"/>
            </w:tcBorders>
            <w:tcMar>
              <w:top w:w="100" w:type="dxa"/>
              <w:left w:w="100" w:type="dxa"/>
              <w:bottom w:w="100" w:type="dxa"/>
              <w:right w:w="100" w:type="dxa"/>
            </w:tcMar>
          </w:tcPr>
          <w:p w14:paraId="00000864"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65"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66" w14:textId="77777777" w:rsidR="00CB4215" w:rsidRDefault="00CB4215">
            <w:pPr>
              <w:spacing w:line="240" w:lineRule="auto"/>
              <w:rPr>
                <w:rFonts w:ascii="Times New Roman" w:eastAsia="Times New Roman" w:hAnsi="Times New Roman" w:cs="Times New Roman"/>
              </w:rPr>
            </w:pPr>
          </w:p>
        </w:tc>
        <w:tc>
          <w:tcPr>
            <w:tcW w:w="510" w:type="dxa"/>
            <w:tcBorders>
              <w:top w:val="single" w:sz="8" w:space="0" w:color="000000"/>
              <w:left w:val="nil"/>
              <w:bottom w:val="nil"/>
              <w:right w:val="nil"/>
            </w:tcBorders>
            <w:tcMar>
              <w:top w:w="100" w:type="dxa"/>
              <w:left w:w="100" w:type="dxa"/>
              <w:bottom w:w="100" w:type="dxa"/>
              <w:right w:w="100" w:type="dxa"/>
            </w:tcMar>
          </w:tcPr>
          <w:p w14:paraId="00000867" w14:textId="77777777" w:rsidR="00CB4215" w:rsidRDefault="00CB4215">
            <w:pPr>
              <w:spacing w:line="240" w:lineRule="auto"/>
              <w:rPr>
                <w:rFonts w:ascii="Times New Roman" w:eastAsia="Times New Roman" w:hAnsi="Times New Roman" w:cs="Times New Roman"/>
              </w:rPr>
            </w:pPr>
          </w:p>
        </w:tc>
      </w:tr>
      <w:tr w:rsidR="00CB4215" w14:paraId="27973521" w14:textId="77777777">
        <w:trPr>
          <w:trHeight w:val="25"/>
        </w:trPr>
        <w:tc>
          <w:tcPr>
            <w:tcW w:w="3180" w:type="dxa"/>
            <w:tcBorders>
              <w:top w:val="nil"/>
              <w:left w:val="nil"/>
              <w:bottom w:val="nil"/>
              <w:right w:val="nil"/>
            </w:tcBorders>
            <w:tcMar>
              <w:top w:w="100" w:type="dxa"/>
              <w:left w:w="100" w:type="dxa"/>
              <w:bottom w:w="100" w:type="dxa"/>
              <w:right w:w="100" w:type="dxa"/>
            </w:tcMar>
          </w:tcPr>
          <w:p w14:paraId="0000086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 Energy expenditure (kcal/d)</w:t>
            </w:r>
          </w:p>
        </w:tc>
        <w:tc>
          <w:tcPr>
            <w:tcW w:w="900" w:type="dxa"/>
            <w:tcBorders>
              <w:top w:val="nil"/>
              <w:left w:val="nil"/>
              <w:bottom w:val="nil"/>
              <w:right w:val="nil"/>
            </w:tcBorders>
            <w:tcMar>
              <w:top w:w="100" w:type="dxa"/>
              <w:left w:w="100" w:type="dxa"/>
              <w:bottom w:w="100" w:type="dxa"/>
              <w:right w:w="100" w:type="dxa"/>
            </w:tcMar>
          </w:tcPr>
          <w:p w14:paraId="0000086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.09</w:t>
            </w:r>
          </w:p>
        </w:tc>
        <w:tc>
          <w:tcPr>
            <w:tcW w:w="975" w:type="dxa"/>
            <w:tcBorders>
              <w:top w:val="nil"/>
              <w:left w:val="nil"/>
              <w:bottom w:val="nil"/>
              <w:right w:val="nil"/>
            </w:tcBorders>
            <w:tcMar>
              <w:top w:w="100" w:type="dxa"/>
              <w:left w:w="100" w:type="dxa"/>
              <w:bottom w:w="100" w:type="dxa"/>
              <w:right w:w="100" w:type="dxa"/>
            </w:tcMar>
          </w:tcPr>
          <w:p w14:paraId="0000086A" w14:textId="77777777" w:rsidR="00CB4215" w:rsidRDefault="00CB4215">
            <w:pPr>
              <w:spacing w:line="240" w:lineRule="auto"/>
              <w:rPr>
                <w:rFonts w:ascii="Times New Roman" w:eastAsia="Times New Roman" w:hAnsi="Times New Roman" w:cs="Times New Roman"/>
              </w:rPr>
            </w:pPr>
          </w:p>
        </w:tc>
        <w:tc>
          <w:tcPr>
            <w:tcW w:w="1035" w:type="dxa"/>
            <w:tcBorders>
              <w:top w:val="nil"/>
              <w:left w:val="nil"/>
              <w:bottom w:val="nil"/>
              <w:right w:val="nil"/>
            </w:tcBorders>
            <w:tcMar>
              <w:top w:w="100" w:type="dxa"/>
              <w:left w:w="100" w:type="dxa"/>
              <w:bottom w:w="100" w:type="dxa"/>
              <w:right w:w="100" w:type="dxa"/>
            </w:tcMar>
          </w:tcPr>
          <w:p w14:paraId="0000086B" w14:textId="77777777" w:rsidR="00CB4215" w:rsidRDefault="00CB4215">
            <w:pPr>
              <w:spacing w:line="240" w:lineRule="auto"/>
              <w:rPr>
                <w:rFonts w:ascii="Times New Roman" w:eastAsia="Times New Roman" w:hAnsi="Times New Roman" w:cs="Times New Roman"/>
              </w:rPr>
            </w:pPr>
          </w:p>
        </w:tc>
        <w:tc>
          <w:tcPr>
            <w:tcW w:w="1005" w:type="dxa"/>
            <w:tcBorders>
              <w:top w:val="nil"/>
              <w:left w:val="nil"/>
              <w:bottom w:val="nil"/>
              <w:right w:val="nil"/>
            </w:tcBorders>
            <w:tcMar>
              <w:top w:w="100" w:type="dxa"/>
              <w:left w:w="100" w:type="dxa"/>
              <w:bottom w:w="100" w:type="dxa"/>
              <w:right w:w="100" w:type="dxa"/>
            </w:tcMar>
          </w:tcPr>
          <w:p w14:paraId="0000086C" w14:textId="77777777" w:rsidR="00CB4215" w:rsidRDefault="00CB4215">
            <w:pPr>
              <w:spacing w:line="240" w:lineRule="auto"/>
              <w:rPr>
                <w:rFonts w:ascii="Times New Roman" w:eastAsia="Times New Roman" w:hAnsi="Times New Roman" w:cs="Times New Roman"/>
              </w:rPr>
            </w:pPr>
          </w:p>
        </w:tc>
        <w:tc>
          <w:tcPr>
            <w:tcW w:w="825" w:type="dxa"/>
            <w:tcBorders>
              <w:top w:val="nil"/>
              <w:left w:val="nil"/>
              <w:bottom w:val="nil"/>
              <w:right w:val="nil"/>
            </w:tcBorders>
            <w:tcMar>
              <w:top w:w="100" w:type="dxa"/>
              <w:left w:w="100" w:type="dxa"/>
              <w:bottom w:w="100" w:type="dxa"/>
              <w:right w:w="100" w:type="dxa"/>
            </w:tcMar>
          </w:tcPr>
          <w:p w14:paraId="0000086D" w14:textId="77777777" w:rsidR="00CB4215" w:rsidRDefault="00CB4215">
            <w:pPr>
              <w:spacing w:line="240" w:lineRule="auto"/>
              <w:rPr>
                <w:rFonts w:ascii="Times New Roman" w:eastAsia="Times New Roman" w:hAnsi="Times New Roman" w:cs="Times New Roman"/>
              </w:rPr>
            </w:pPr>
          </w:p>
        </w:tc>
        <w:tc>
          <w:tcPr>
            <w:tcW w:w="1005" w:type="dxa"/>
            <w:tcBorders>
              <w:top w:val="nil"/>
              <w:left w:val="nil"/>
              <w:bottom w:val="nil"/>
              <w:right w:val="nil"/>
            </w:tcBorders>
            <w:tcMar>
              <w:top w:w="100" w:type="dxa"/>
              <w:left w:w="100" w:type="dxa"/>
              <w:bottom w:w="100" w:type="dxa"/>
              <w:right w:w="100" w:type="dxa"/>
            </w:tcMar>
          </w:tcPr>
          <w:p w14:paraId="0000086E" w14:textId="77777777" w:rsidR="00CB4215" w:rsidRDefault="00CB4215">
            <w:pPr>
              <w:spacing w:line="240" w:lineRule="auto"/>
              <w:rPr>
                <w:rFonts w:ascii="Times New Roman" w:eastAsia="Times New Roman" w:hAnsi="Times New Roman" w:cs="Times New Roman"/>
              </w:rPr>
            </w:pPr>
          </w:p>
        </w:tc>
        <w:tc>
          <w:tcPr>
            <w:tcW w:w="825" w:type="dxa"/>
            <w:tcBorders>
              <w:top w:val="nil"/>
              <w:left w:val="nil"/>
              <w:bottom w:val="nil"/>
              <w:right w:val="nil"/>
            </w:tcBorders>
            <w:tcMar>
              <w:top w:w="100" w:type="dxa"/>
              <w:left w:w="100" w:type="dxa"/>
              <w:bottom w:w="100" w:type="dxa"/>
              <w:right w:w="100" w:type="dxa"/>
            </w:tcMar>
          </w:tcPr>
          <w:p w14:paraId="0000086F" w14:textId="77777777" w:rsidR="00CB4215" w:rsidRDefault="00CB4215">
            <w:pPr>
              <w:spacing w:line="240" w:lineRule="auto"/>
              <w:rPr>
                <w:rFonts w:ascii="Times New Roman" w:eastAsia="Times New Roman" w:hAnsi="Times New Roman" w:cs="Times New Roman"/>
              </w:rPr>
            </w:pPr>
          </w:p>
        </w:tc>
        <w:tc>
          <w:tcPr>
            <w:tcW w:w="765" w:type="dxa"/>
            <w:tcBorders>
              <w:top w:val="nil"/>
              <w:left w:val="nil"/>
              <w:bottom w:val="nil"/>
              <w:right w:val="nil"/>
            </w:tcBorders>
            <w:tcMar>
              <w:top w:w="100" w:type="dxa"/>
              <w:left w:w="100" w:type="dxa"/>
              <w:bottom w:w="100" w:type="dxa"/>
              <w:right w:w="100" w:type="dxa"/>
            </w:tcMar>
          </w:tcPr>
          <w:p w14:paraId="00000870" w14:textId="77777777" w:rsidR="00CB4215" w:rsidRDefault="00CB4215">
            <w:pPr>
              <w:spacing w:line="240" w:lineRule="auto"/>
              <w:rPr>
                <w:rFonts w:ascii="Times New Roman" w:eastAsia="Times New Roman" w:hAnsi="Times New Roman" w:cs="Times New Roman"/>
              </w:rPr>
            </w:pPr>
          </w:p>
        </w:tc>
        <w:tc>
          <w:tcPr>
            <w:tcW w:w="840" w:type="dxa"/>
            <w:tcBorders>
              <w:top w:val="nil"/>
              <w:left w:val="nil"/>
              <w:bottom w:val="nil"/>
              <w:right w:val="nil"/>
            </w:tcBorders>
            <w:tcMar>
              <w:top w:w="100" w:type="dxa"/>
              <w:left w:w="100" w:type="dxa"/>
              <w:bottom w:w="100" w:type="dxa"/>
              <w:right w:w="100" w:type="dxa"/>
            </w:tcMar>
          </w:tcPr>
          <w:p w14:paraId="00000871" w14:textId="77777777" w:rsidR="00CB4215" w:rsidRDefault="00CB4215">
            <w:pPr>
              <w:spacing w:line="240" w:lineRule="auto"/>
              <w:rPr>
                <w:rFonts w:ascii="Times New Roman" w:eastAsia="Times New Roman" w:hAnsi="Times New Roman" w:cs="Times New Roman"/>
              </w:rPr>
            </w:pPr>
          </w:p>
        </w:tc>
        <w:tc>
          <w:tcPr>
            <w:tcW w:w="660" w:type="dxa"/>
            <w:tcBorders>
              <w:top w:val="nil"/>
              <w:left w:val="nil"/>
              <w:bottom w:val="nil"/>
              <w:right w:val="nil"/>
            </w:tcBorders>
            <w:tcMar>
              <w:top w:w="100" w:type="dxa"/>
              <w:left w:w="100" w:type="dxa"/>
              <w:bottom w:w="100" w:type="dxa"/>
              <w:right w:w="100" w:type="dxa"/>
            </w:tcMar>
          </w:tcPr>
          <w:p w14:paraId="00000872"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73"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74"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875" w14:textId="77777777" w:rsidR="00CB4215" w:rsidRDefault="00CB4215">
            <w:pPr>
              <w:spacing w:line="240" w:lineRule="auto"/>
              <w:rPr>
                <w:rFonts w:ascii="Times New Roman" w:eastAsia="Times New Roman" w:hAnsi="Times New Roman" w:cs="Times New Roman"/>
              </w:rPr>
            </w:pPr>
          </w:p>
        </w:tc>
      </w:tr>
      <w:tr w:rsidR="00CB4215" w14:paraId="6EDDF047" w14:textId="77777777">
        <w:trPr>
          <w:trHeight w:val="25"/>
        </w:trPr>
        <w:tc>
          <w:tcPr>
            <w:tcW w:w="3180" w:type="dxa"/>
            <w:tcBorders>
              <w:top w:val="nil"/>
              <w:left w:val="nil"/>
              <w:bottom w:val="nil"/>
              <w:right w:val="nil"/>
            </w:tcBorders>
            <w:tcMar>
              <w:top w:w="100" w:type="dxa"/>
              <w:left w:w="100" w:type="dxa"/>
              <w:bottom w:w="100" w:type="dxa"/>
              <w:right w:w="100" w:type="dxa"/>
            </w:tcMar>
          </w:tcPr>
          <w:p w14:paraId="0000087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 MVPA (minutes/d)</w:t>
            </w:r>
          </w:p>
        </w:tc>
        <w:tc>
          <w:tcPr>
            <w:tcW w:w="900" w:type="dxa"/>
            <w:tcBorders>
              <w:top w:val="nil"/>
              <w:left w:val="nil"/>
              <w:bottom w:val="nil"/>
              <w:right w:val="nil"/>
            </w:tcBorders>
            <w:tcMar>
              <w:top w:w="100" w:type="dxa"/>
              <w:left w:w="100" w:type="dxa"/>
              <w:bottom w:w="100" w:type="dxa"/>
              <w:right w:w="100" w:type="dxa"/>
            </w:tcMar>
          </w:tcPr>
          <w:p w14:paraId="0000087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.08</w:t>
            </w:r>
          </w:p>
        </w:tc>
        <w:tc>
          <w:tcPr>
            <w:tcW w:w="975" w:type="dxa"/>
            <w:tcBorders>
              <w:top w:val="nil"/>
              <w:left w:val="nil"/>
              <w:bottom w:val="nil"/>
              <w:right w:val="nil"/>
            </w:tcBorders>
            <w:tcMar>
              <w:top w:w="100" w:type="dxa"/>
              <w:left w:w="100" w:type="dxa"/>
              <w:bottom w:w="100" w:type="dxa"/>
              <w:right w:w="100" w:type="dxa"/>
            </w:tcMar>
          </w:tcPr>
          <w:p w14:paraId="0000087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.60</w:t>
            </w:r>
            <w:r>
              <w:rPr>
                <w:rFonts w:ascii="Times New Roman" w:eastAsia="Times New Roman" w:hAnsi="Times New Roman" w:cs="Times New Roman"/>
                <w:vertAlign w:val="superscript"/>
              </w:rPr>
              <w:t>**</w:t>
            </w:r>
          </w:p>
        </w:tc>
        <w:tc>
          <w:tcPr>
            <w:tcW w:w="1035" w:type="dxa"/>
            <w:tcBorders>
              <w:top w:val="nil"/>
              <w:left w:val="nil"/>
              <w:bottom w:val="nil"/>
              <w:right w:val="nil"/>
            </w:tcBorders>
            <w:tcMar>
              <w:top w:w="100" w:type="dxa"/>
              <w:left w:w="100" w:type="dxa"/>
              <w:bottom w:w="100" w:type="dxa"/>
              <w:right w:w="100" w:type="dxa"/>
            </w:tcMar>
          </w:tcPr>
          <w:p w14:paraId="00000879" w14:textId="77777777" w:rsidR="00CB4215" w:rsidRDefault="00CB4215">
            <w:pPr>
              <w:spacing w:line="240" w:lineRule="auto"/>
              <w:rPr>
                <w:rFonts w:ascii="Times New Roman" w:eastAsia="Times New Roman" w:hAnsi="Times New Roman" w:cs="Times New Roman"/>
              </w:rPr>
            </w:pPr>
          </w:p>
        </w:tc>
        <w:tc>
          <w:tcPr>
            <w:tcW w:w="1005" w:type="dxa"/>
            <w:tcBorders>
              <w:top w:val="nil"/>
              <w:left w:val="nil"/>
              <w:bottom w:val="nil"/>
              <w:right w:val="nil"/>
            </w:tcBorders>
            <w:tcMar>
              <w:top w:w="100" w:type="dxa"/>
              <w:left w:w="100" w:type="dxa"/>
              <w:bottom w:w="100" w:type="dxa"/>
              <w:right w:w="100" w:type="dxa"/>
            </w:tcMar>
          </w:tcPr>
          <w:p w14:paraId="0000087A" w14:textId="77777777" w:rsidR="00CB4215" w:rsidRDefault="00CB4215">
            <w:pPr>
              <w:spacing w:line="240" w:lineRule="auto"/>
              <w:rPr>
                <w:rFonts w:ascii="Times New Roman" w:eastAsia="Times New Roman" w:hAnsi="Times New Roman" w:cs="Times New Roman"/>
              </w:rPr>
            </w:pPr>
          </w:p>
        </w:tc>
        <w:tc>
          <w:tcPr>
            <w:tcW w:w="825" w:type="dxa"/>
            <w:tcBorders>
              <w:top w:val="nil"/>
              <w:left w:val="nil"/>
              <w:bottom w:val="nil"/>
              <w:right w:val="nil"/>
            </w:tcBorders>
            <w:tcMar>
              <w:top w:w="100" w:type="dxa"/>
              <w:left w:w="100" w:type="dxa"/>
              <w:bottom w:w="100" w:type="dxa"/>
              <w:right w:w="100" w:type="dxa"/>
            </w:tcMar>
          </w:tcPr>
          <w:p w14:paraId="0000087B" w14:textId="77777777" w:rsidR="00CB4215" w:rsidRDefault="00CB4215">
            <w:pPr>
              <w:spacing w:line="240" w:lineRule="auto"/>
              <w:rPr>
                <w:rFonts w:ascii="Times New Roman" w:eastAsia="Times New Roman" w:hAnsi="Times New Roman" w:cs="Times New Roman"/>
              </w:rPr>
            </w:pPr>
          </w:p>
        </w:tc>
        <w:tc>
          <w:tcPr>
            <w:tcW w:w="1005" w:type="dxa"/>
            <w:tcBorders>
              <w:top w:val="nil"/>
              <w:left w:val="nil"/>
              <w:bottom w:val="nil"/>
              <w:right w:val="nil"/>
            </w:tcBorders>
            <w:tcMar>
              <w:top w:w="100" w:type="dxa"/>
              <w:left w:w="100" w:type="dxa"/>
              <w:bottom w:w="100" w:type="dxa"/>
              <w:right w:w="100" w:type="dxa"/>
            </w:tcMar>
          </w:tcPr>
          <w:p w14:paraId="0000087C" w14:textId="77777777" w:rsidR="00CB4215" w:rsidRDefault="00CB4215">
            <w:pPr>
              <w:spacing w:line="240" w:lineRule="auto"/>
              <w:rPr>
                <w:rFonts w:ascii="Times New Roman" w:eastAsia="Times New Roman" w:hAnsi="Times New Roman" w:cs="Times New Roman"/>
              </w:rPr>
            </w:pPr>
          </w:p>
        </w:tc>
        <w:tc>
          <w:tcPr>
            <w:tcW w:w="825" w:type="dxa"/>
            <w:tcBorders>
              <w:top w:val="nil"/>
              <w:left w:val="nil"/>
              <w:bottom w:val="nil"/>
              <w:right w:val="nil"/>
            </w:tcBorders>
            <w:tcMar>
              <w:top w:w="100" w:type="dxa"/>
              <w:left w:w="100" w:type="dxa"/>
              <w:bottom w:w="100" w:type="dxa"/>
              <w:right w:w="100" w:type="dxa"/>
            </w:tcMar>
          </w:tcPr>
          <w:p w14:paraId="0000087D" w14:textId="77777777" w:rsidR="00CB4215" w:rsidRDefault="00CB4215">
            <w:pPr>
              <w:spacing w:line="240" w:lineRule="auto"/>
              <w:rPr>
                <w:rFonts w:ascii="Times New Roman" w:eastAsia="Times New Roman" w:hAnsi="Times New Roman" w:cs="Times New Roman"/>
              </w:rPr>
            </w:pPr>
          </w:p>
        </w:tc>
        <w:tc>
          <w:tcPr>
            <w:tcW w:w="765" w:type="dxa"/>
            <w:tcBorders>
              <w:top w:val="nil"/>
              <w:left w:val="nil"/>
              <w:bottom w:val="nil"/>
              <w:right w:val="nil"/>
            </w:tcBorders>
            <w:tcMar>
              <w:top w:w="100" w:type="dxa"/>
              <w:left w:w="100" w:type="dxa"/>
              <w:bottom w:w="100" w:type="dxa"/>
              <w:right w:w="100" w:type="dxa"/>
            </w:tcMar>
          </w:tcPr>
          <w:p w14:paraId="0000087E" w14:textId="77777777" w:rsidR="00CB4215" w:rsidRDefault="00CB4215">
            <w:pPr>
              <w:spacing w:line="240" w:lineRule="auto"/>
              <w:rPr>
                <w:rFonts w:ascii="Times New Roman" w:eastAsia="Times New Roman" w:hAnsi="Times New Roman" w:cs="Times New Roman"/>
              </w:rPr>
            </w:pPr>
          </w:p>
        </w:tc>
        <w:tc>
          <w:tcPr>
            <w:tcW w:w="840" w:type="dxa"/>
            <w:tcBorders>
              <w:top w:val="nil"/>
              <w:left w:val="nil"/>
              <w:bottom w:val="nil"/>
              <w:right w:val="nil"/>
            </w:tcBorders>
            <w:tcMar>
              <w:top w:w="100" w:type="dxa"/>
              <w:left w:w="100" w:type="dxa"/>
              <w:bottom w:w="100" w:type="dxa"/>
              <w:right w:w="100" w:type="dxa"/>
            </w:tcMar>
          </w:tcPr>
          <w:p w14:paraId="0000087F" w14:textId="77777777" w:rsidR="00CB4215" w:rsidRDefault="00CB4215">
            <w:pPr>
              <w:spacing w:line="240" w:lineRule="auto"/>
              <w:rPr>
                <w:rFonts w:ascii="Times New Roman" w:eastAsia="Times New Roman" w:hAnsi="Times New Roman" w:cs="Times New Roman"/>
              </w:rPr>
            </w:pPr>
          </w:p>
        </w:tc>
        <w:tc>
          <w:tcPr>
            <w:tcW w:w="660" w:type="dxa"/>
            <w:tcBorders>
              <w:top w:val="nil"/>
              <w:left w:val="nil"/>
              <w:bottom w:val="nil"/>
              <w:right w:val="nil"/>
            </w:tcBorders>
            <w:tcMar>
              <w:top w:w="100" w:type="dxa"/>
              <w:left w:w="100" w:type="dxa"/>
              <w:bottom w:w="100" w:type="dxa"/>
              <w:right w:w="100" w:type="dxa"/>
            </w:tcMar>
          </w:tcPr>
          <w:p w14:paraId="00000880"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81"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82"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883" w14:textId="77777777" w:rsidR="00CB4215" w:rsidRDefault="00CB4215">
            <w:pPr>
              <w:spacing w:line="240" w:lineRule="auto"/>
              <w:rPr>
                <w:rFonts w:ascii="Times New Roman" w:eastAsia="Times New Roman" w:hAnsi="Times New Roman" w:cs="Times New Roman"/>
              </w:rPr>
            </w:pPr>
          </w:p>
        </w:tc>
      </w:tr>
      <w:tr w:rsidR="00CB4215" w14:paraId="5357C3F6" w14:textId="77777777">
        <w:trPr>
          <w:trHeight w:val="25"/>
        </w:trPr>
        <w:tc>
          <w:tcPr>
            <w:tcW w:w="3180" w:type="dxa"/>
            <w:tcBorders>
              <w:top w:val="nil"/>
              <w:left w:val="nil"/>
              <w:bottom w:val="nil"/>
              <w:right w:val="nil"/>
            </w:tcBorders>
            <w:tcMar>
              <w:top w:w="100" w:type="dxa"/>
              <w:left w:w="100" w:type="dxa"/>
              <w:bottom w:w="100" w:type="dxa"/>
              <w:right w:w="100" w:type="dxa"/>
            </w:tcMar>
          </w:tcPr>
          <w:p w14:paraId="0000088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 Step count</w:t>
            </w:r>
          </w:p>
        </w:tc>
        <w:tc>
          <w:tcPr>
            <w:tcW w:w="900" w:type="dxa"/>
            <w:tcBorders>
              <w:top w:val="nil"/>
              <w:left w:val="nil"/>
              <w:bottom w:val="nil"/>
              <w:right w:val="nil"/>
            </w:tcBorders>
            <w:tcMar>
              <w:top w:w="100" w:type="dxa"/>
              <w:left w:w="100" w:type="dxa"/>
              <w:bottom w:w="100" w:type="dxa"/>
              <w:right w:w="100" w:type="dxa"/>
            </w:tcMar>
          </w:tcPr>
          <w:p w14:paraId="0000088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-.02</w:t>
            </w:r>
          </w:p>
        </w:tc>
        <w:tc>
          <w:tcPr>
            <w:tcW w:w="975" w:type="dxa"/>
            <w:tcBorders>
              <w:top w:val="nil"/>
              <w:left w:val="nil"/>
              <w:bottom w:val="nil"/>
              <w:right w:val="nil"/>
            </w:tcBorders>
            <w:tcMar>
              <w:top w:w="100" w:type="dxa"/>
              <w:left w:w="100" w:type="dxa"/>
              <w:bottom w:w="100" w:type="dxa"/>
              <w:right w:w="100" w:type="dxa"/>
            </w:tcMar>
          </w:tcPr>
          <w:p w14:paraId="0000088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-.07</w:t>
            </w:r>
          </w:p>
        </w:tc>
        <w:tc>
          <w:tcPr>
            <w:tcW w:w="1035" w:type="dxa"/>
            <w:tcBorders>
              <w:top w:val="nil"/>
              <w:left w:val="nil"/>
              <w:bottom w:val="nil"/>
              <w:right w:val="nil"/>
            </w:tcBorders>
            <w:tcMar>
              <w:top w:w="100" w:type="dxa"/>
              <w:left w:w="100" w:type="dxa"/>
              <w:bottom w:w="100" w:type="dxa"/>
              <w:right w:w="100" w:type="dxa"/>
            </w:tcMar>
          </w:tcPr>
          <w:p w14:paraId="0000088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.32</w:t>
            </w:r>
          </w:p>
        </w:tc>
        <w:tc>
          <w:tcPr>
            <w:tcW w:w="1005" w:type="dxa"/>
            <w:tcBorders>
              <w:top w:val="nil"/>
              <w:left w:val="nil"/>
              <w:bottom w:val="nil"/>
              <w:right w:val="nil"/>
            </w:tcBorders>
            <w:tcMar>
              <w:top w:w="100" w:type="dxa"/>
              <w:left w:w="100" w:type="dxa"/>
              <w:bottom w:w="100" w:type="dxa"/>
              <w:right w:w="100" w:type="dxa"/>
            </w:tcMar>
          </w:tcPr>
          <w:p w14:paraId="00000888" w14:textId="77777777" w:rsidR="00CB4215" w:rsidRDefault="00CB4215">
            <w:pPr>
              <w:spacing w:line="240" w:lineRule="auto"/>
              <w:rPr>
                <w:rFonts w:ascii="Times New Roman" w:eastAsia="Times New Roman" w:hAnsi="Times New Roman" w:cs="Times New Roman"/>
              </w:rPr>
            </w:pPr>
          </w:p>
        </w:tc>
        <w:tc>
          <w:tcPr>
            <w:tcW w:w="825" w:type="dxa"/>
            <w:tcBorders>
              <w:top w:val="nil"/>
              <w:left w:val="nil"/>
              <w:bottom w:val="nil"/>
              <w:right w:val="nil"/>
            </w:tcBorders>
            <w:tcMar>
              <w:top w:w="100" w:type="dxa"/>
              <w:left w:w="100" w:type="dxa"/>
              <w:bottom w:w="100" w:type="dxa"/>
              <w:right w:w="100" w:type="dxa"/>
            </w:tcMar>
          </w:tcPr>
          <w:p w14:paraId="00000889" w14:textId="77777777" w:rsidR="00CB4215" w:rsidRDefault="00CB4215">
            <w:pPr>
              <w:spacing w:line="240" w:lineRule="auto"/>
              <w:rPr>
                <w:rFonts w:ascii="Times New Roman" w:eastAsia="Times New Roman" w:hAnsi="Times New Roman" w:cs="Times New Roman"/>
              </w:rPr>
            </w:pPr>
          </w:p>
        </w:tc>
        <w:tc>
          <w:tcPr>
            <w:tcW w:w="1005" w:type="dxa"/>
            <w:tcBorders>
              <w:top w:val="nil"/>
              <w:left w:val="nil"/>
              <w:bottom w:val="nil"/>
              <w:right w:val="nil"/>
            </w:tcBorders>
            <w:tcMar>
              <w:top w:w="100" w:type="dxa"/>
              <w:left w:w="100" w:type="dxa"/>
              <w:bottom w:w="100" w:type="dxa"/>
              <w:right w:w="100" w:type="dxa"/>
            </w:tcMar>
          </w:tcPr>
          <w:p w14:paraId="0000088A" w14:textId="77777777" w:rsidR="00CB4215" w:rsidRDefault="00CB4215">
            <w:pPr>
              <w:spacing w:line="240" w:lineRule="auto"/>
              <w:rPr>
                <w:rFonts w:ascii="Times New Roman" w:eastAsia="Times New Roman" w:hAnsi="Times New Roman" w:cs="Times New Roman"/>
              </w:rPr>
            </w:pPr>
          </w:p>
        </w:tc>
        <w:tc>
          <w:tcPr>
            <w:tcW w:w="825" w:type="dxa"/>
            <w:tcBorders>
              <w:top w:val="nil"/>
              <w:left w:val="nil"/>
              <w:bottom w:val="nil"/>
              <w:right w:val="nil"/>
            </w:tcBorders>
            <w:tcMar>
              <w:top w:w="100" w:type="dxa"/>
              <w:left w:w="100" w:type="dxa"/>
              <w:bottom w:w="100" w:type="dxa"/>
              <w:right w:w="100" w:type="dxa"/>
            </w:tcMar>
          </w:tcPr>
          <w:p w14:paraId="0000088B" w14:textId="77777777" w:rsidR="00CB4215" w:rsidRDefault="00CB4215">
            <w:pPr>
              <w:spacing w:line="240" w:lineRule="auto"/>
              <w:rPr>
                <w:rFonts w:ascii="Times New Roman" w:eastAsia="Times New Roman" w:hAnsi="Times New Roman" w:cs="Times New Roman"/>
              </w:rPr>
            </w:pPr>
          </w:p>
        </w:tc>
        <w:tc>
          <w:tcPr>
            <w:tcW w:w="765" w:type="dxa"/>
            <w:tcBorders>
              <w:top w:val="nil"/>
              <w:left w:val="nil"/>
              <w:bottom w:val="nil"/>
              <w:right w:val="nil"/>
            </w:tcBorders>
            <w:tcMar>
              <w:top w:w="100" w:type="dxa"/>
              <w:left w:w="100" w:type="dxa"/>
              <w:bottom w:w="100" w:type="dxa"/>
              <w:right w:w="100" w:type="dxa"/>
            </w:tcMar>
          </w:tcPr>
          <w:p w14:paraId="0000088C" w14:textId="77777777" w:rsidR="00CB4215" w:rsidRDefault="00CB4215">
            <w:pPr>
              <w:spacing w:line="240" w:lineRule="auto"/>
              <w:rPr>
                <w:rFonts w:ascii="Times New Roman" w:eastAsia="Times New Roman" w:hAnsi="Times New Roman" w:cs="Times New Roman"/>
              </w:rPr>
            </w:pPr>
          </w:p>
        </w:tc>
        <w:tc>
          <w:tcPr>
            <w:tcW w:w="840" w:type="dxa"/>
            <w:tcBorders>
              <w:top w:val="nil"/>
              <w:left w:val="nil"/>
              <w:bottom w:val="nil"/>
              <w:right w:val="nil"/>
            </w:tcBorders>
            <w:tcMar>
              <w:top w:w="100" w:type="dxa"/>
              <w:left w:w="100" w:type="dxa"/>
              <w:bottom w:w="100" w:type="dxa"/>
              <w:right w:w="100" w:type="dxa"/>
            </w:tcMar>
          </w:tcPr>
          <w:p w14:paraId="0000088D" w14:textId="77777777" w:rsidR="00CB4215" w:rsidRDefault="00CB4215">
            <w:pPr>
              <w:spacing w:line="240" w:lineRule="auto"/>
              <w:rPr>
                <w:rFonts w:ascii="Times New Roman" w:eastAsia="Times New Roman" w:hAnsi="Times New Roman" w:cs="Times New Roman"/>
              </w:rPr>
            </w:pPr>
          </w:p>
        </w:tc>
        <w:tc>
          <w:tcPr>
            <w:tcW w:w="660" w:type="dxa"/>
            <w:tcBorders>
              <w:top w:val="nil"/>
              <w:left w:val="nil"/>
              <w:bottom w:val="nil"/>
              <w:right w:val="nil"/>
            </w:tcBorders>
            <w:tcMar>
              <w:top w:w="100" w:type="dxa"/>
              <w:left w:w="100" w:type="dxa"/>
              <w:bottom w:w="100" w:type="dxa"/>
              <w:right w:w="100" w:type="dxa"/>
            </w:tcMar>
          </w:tcPr>
          <w:p w14:paraId="0000088E"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8F"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90"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891" w14:textId="77777777" w:rsidR="00CB4215" w:rsidRDefault="00CB4215">
            <w:pPr>
              <w:spacing w:line="240" w:lineRule="auto"/>
              <w:rPr>
                <w:rFonts w:ascii="Times New Roman" w:eastAsia="Times New Roman" w:hAnsi="Times New Roman" w:cs="Times New Roman"/>
              </w:rPr>
            </w:pPr>
          </w:p>
        </w:tc>
      </w:tr>
      <w:tr w:rsidR="00CB4215" w14:paraId="69058B0F" w14:textId="77777777">
        <w:trPr>
          <w:trHeight w:val="25"/>
        </w:trPr>
        <w:tc>
          <w:tcPr>
            <w:tcW w:w="3180" w:type="dxa"/>
            <w:tcBorders>
              <w:top w:val="nil"/>
              <w:left w:val="nil"/>
              <w:bottom w:val="nil"/>
              <w:right w:val="nil"/>
            </w:tcBorders>
            <w:tcMar>
              <w:top w:w="100" w:type="dxa"/>
              <w:left w:w="100" w:type="dxa"/>
              <w:bottom w:w="100" w:type="dxa"/>
              <w:right w:w="100" w:type="dxa"/>
            </w:tcMar>
          </w:tcPr>
          <w:p w14:paraId="0000089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 Energy intake (kcal/d)</w:t>
            </w:r>
          </w:p>
        </w:tc>
        <w:tc>
          <w:tcPr>
            <w:tcW w:w="900" w:type="dxa"/>
            <w:tcBorders>
              <w:top w:val="nil"/>
              <w:left w:val="nil"/>
              <w:bottom w:val="nil"/>
              <w:right w:val="nil"/>
            </w:tcBorders>
            <w:tcMar>
              <w:top w:w="100" w:type="dxa"/>
              <w:left w:w="100" w:type="dxa"/>
              <w:bottom w:w="100" w:type="dxa"/>
              <w:right w:w="100" w:type="dxa"/>
            </w:tcMar>
          </w:tcPr>
          <w:p w14:paraId="0000089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.07</w:t>
            </w:r>
          </w:p>
        </w:tc>
        <w:tc>
          <w:tcPr>
            <w:tcW w:w="975" w:type="dxa"/>
            <w:tcBorders>
              <w:top w:val="nil"/>
              <w:left w:val="nil"/>
              <w:bottom w:val="nil"/>
              <w:right w:val="nil"/>
            </w:tcBorders>
            <w:tcMar>
              <w:top w:w="100" w:type="dxa"/>
              <w:left w:w="100" w:type="dxa"/>
              <w:bottom w:w="100" w:type="dxa"/>
              <w:right w:w="100" w:type="dxa"/>
            </w:tcMar>
          </w:tcPr>
          <w:p w14:paraId="0000089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.17</w:t>
            </w:r>
          </w:p>
        </w:tc>
        <w:tc>
          <w:tcPr>
            <w:tcW w:w="1035" w:type="dxa"/>
            <w:tcBorders>
              <w:top w:val="nil"/>
              <w:left w:val="nil"/>
              <w:bottom w:val="nil"/>
              <w:right w:val="nil"/>
            </w:tcBorders>
            <w:tcMar>
              <w:top w:w="100" w:type="dxa"/>
              <w:left w:w="100" w:type="dxa"/>
              <w:bottom w:w="100" w:type="dxa"/>
              <w:right w:w="100" w:type="dxa"/>
            </w:tcMar>
          </w:tcPr>
          <w:p w14:paraId="0000089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-.03</w:t>
            </w:r>
          </w:p>
        </w:tc>
        <w:tc>
          <w:tcPr>
            <w:tcW w:w="1005" w:type="dxa"/>
            <w:tcBorders>
              <w:top w:val="nil"/>
              <w:left w:val="nil"/>
              <w:bottom w:val="nil"/>
              <w:right w:val="nil"/>
            </w:tcBorders>
            <w:tcMar>
              <w:top w:w="100" w:type="dxa"/>
              <w:left w:w="100" w:type="dxa"/>
              <w:bottom w:w="100" w:type="dxa"/>
              <w:right w:w="100" w:type="dxa"/>
            </w:tcMar>
          </w:tcPr>
          <w:p w14:paraId="0000089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-.26</w:t>
            </w:r>
          </w:p>
        </w:tc>
        <w:tc>
          <w:tcPr>
            <w:tcW w:w="825" w:type="dxa"/>
            <w:tcBorders>
              <w:top w:val="nil"/>
              <w:left w:val="nil"/>
              <w:bottom w:val="nil"/>
              <w:right w:val="nil"/>
            </w:tcBorders>
            <w:tcMar>
              <w:top w:w="100" w:type="dxa"/>
              <w:left w:w="100" w:type="dxa"/>
              <w:bottom w:w="100" w:type="dxa"/>
              <w:right w:w="100" w:type="dxa"/>
            </w:tcMar>
          </w:tcPr>
          <w:p w14:paraId="00000897" w14:textId="77777777" w:rsidR="00CB4215" w:rsidRDefault="00CB4215">
            <w:pPr>
              <w:spacing w:line="240" w:lineRule="auto"/>
              <w:rPr>
                <w:rFonts w:ascii="Times New Roman" w:eastAsia="Times New Roman" w:hAnsi="Times New Roman" w:cs="Times New Roman"/>
              </w:rPr>
            </w:pPr>
          </w:p>
        </w:tc>
        <w:tc>
          <w:tcPr>
            <w:tcW w:w="1005" w:type="dxa"/>
            <w:tcBorders>
              <w:top w:val="nil"/>
              <w:left w:val="nil"/>
              <w:bottom w:val="nil"/>
              <w:right w:val="nil"/>
            </w:tcBorders>
            <w:tcMar>
              <w:top w:w="100" w:type="dxa"/>
              <w:left w:w="100" w:type="dxa"/>
              <w:bottom w:w="100" w:type="dxa"/>
              <w:right w:w="100" w:type="dxa"/>
            </w:tcMar>
          </w:tcPr>
          <w:p w14:paraId="00000898" w14:textId="77777777" w:rsidR="00CB4215" w:rsidRDefault="00CB4215">
            <w:pPr>
              <w:spacing w:line="240" w:lineRule="auto"/>
              <w:rPr>
                <w:rFonts w:ascii="Times New Roman" w:eastAsia="Times New Roman" w:hAnsi="Times New Roman" w:cs="Times New Roman"/>
              </w:rPr>
            </w:pPr>
          </w:p>
        </w:tc>
        <w:tc>
          <w:tcPr>
            <w:tcW w:w="825" w:type="dxa"/>
            <w:tcBorders>
              <w:top w:val="nil"/>
              <w:left w:val="nil"/>
              <w:bottom w:val="nil"/>
              <w:right w:val="nil"/>
            </w:tcBorders>
            <w:tcMar>
              <w:top w:w="100" w:type="dxa"/>
              <w:left w:w="100" w:type="dxa"/>
              <w:bottom w:w="100" w:type="dxa"/>
              <w:right w:w="100" w:type="dxa"/>
            </w:tcMar>
          </w:tcPr>
          <w:p w14:paraId="00000899" w14:textId="77777777" w:rsidR="00CB4215" w:rsidRDefault="00CB4215">
            <w:pPr>
              <w:spacing w:line="240" w:lineRule="auto"/>
              <w:rPr>
                <w:rFonts w:ascii="Times New Roman" w:eastAsia="Times New Roman" w:hAnsi="Times New Roman" w:cs="Times New Roman"/>
              </w:rPr>
            </w:pPr>
          </w:p>
        </w:tc>
        <w:tc>
          <w:tcPr>
            <w:tcW w:w="765" w:type="dxa"/>
            <w:tcBorders>
              <w:top w:val="nil"/>
              <w:left w:val="nil"/>
              <w:bottom w:val="nil"/>
              <w:right w:val="nil"/>
            </w:tcBorders>
            <w:tcMar>
              <w:top w:w="100" w:type="dxa"/>
              <w:left w:w="100" w:type="dxa"/>
              <w:bottom w:w="100" w:type="dxa"/>
              <w:right w:w="100" w:type="dxa"/>
            </w:tcMar>
          </w:tcPr>
          <w:p w14:paraId="0000089A" w14:textId="77777777" w:rsidR="00CB4215" w:rsidRDefault="00CB4215">
            <w:pPr>
              <w:spacing w:line="240" w:lineRule="auto"/>
              <w:rPr>
                <w:rFonts w:ascii="Times New Roman" w:eastAsia="Times New Roman" w:hAnsi="Times New Roman" w:cs="Times New Roman"/>
              </w:rPr>
            </w:pPr>
          </w:p>
        </w:tc>
        <w:tc>
          <w:tcPr>
            <w:tcW w:w="840" w:type="dxa"/>
            <w:tcBorders>
              <w:top w:val="nil"/>
              <w:left w:val="nil"/>
              <w:bottom w:val="nil"/>
              <w:right w:val="nil"/>
            </w:tcBorders>
            <w:tcMar>
              <w:top w:w="100" w:type="dxa"/>
              <w:left w:w="100" w:type="dxa"/>
              <w:bottom w:w="100" w:type="dxa"/>
              <w:right w:w="100" w:type="dxa"/>
            </w:tcMar>
          </w:tcPr>
          <w:p w14:paraId="0000089B" w14:textId="77777777" w:rsidR="00CB4215" w:rsidRDefault="00CB4215">
            <w:pPr>
              <w:spacing w:line="240" w:lineRule="auto"/>
              <w:rPr>
                <w:rFonts w:ascii="Times New Roman" w:eastAsia="Times New Roman" w:hAnsi="Times New Roman" w:cs="Times New Roman"/>
              </w:rPr>
            </w:pPr>
          </w:p>
        </w:tc>
        <w:tc>
          <w:tcPr>
            <w:tcW w:w="660" w:type="dxa"/>
            <w:tcBorders>
              <w:top w:val="nil"/>
              <w:left w:val="nil"/>
              <w:bottom w:val="nil"/>
              <w:right w:val="nil"/>
            </w:tcBorders>
            <w:tcMar>
              <w:top w:w="100" w:type="dxa"/>
              <w:left w:w="100" w:type="dxa"/>
              <w:bottom w:w="100" w:type="dxa"/>
              <w:right w:w="100" w:type="dxa"/>
            </w:tcMar>
          </w:tcPr>
          <w:p w14:paraId="0000089C"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9D"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9E"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89F" w14:textId="77777777" w:rsidR="00CB4215" w:rsidRDefault="00CB4215">
            <w:pPr>
              <w:spacing w:line="240" w:lineRule="auto"/>
              <w:rPr>
                <w:rFonts w:ascii="Times New Roman" w:eastAsia="Times New Roman" w:hAnsi="Times New Roman" w:cs="Times New Roman"/>
              </w:rPr>
            </w:pPr>
          </w:p>
        </w:tc>
      </w:tr>
      <w:tr w:rsidR="00CB4215" w14:paraId="14B49E5C" w14:textId="77777777">
        <w:trPr>
          <w:trHeight w:val="25"/>
        </w:trPr>
        <w:tc>
          <w:tcPr>
            <w:tcW w:w="3180" w:type="dxa"/>
            <w:tcBorders>
              <w:top w:val="nil"/>
              <w:left w:val="nil"/>
              <w:bottom w:val="nil"/>
              <w:right w:val="nil"/>
            </w:tcBorders>
            <w:tcMar>
              <w:top w:w="100" w:type="dxa"/>
              <w:left w:w="100" w:type="dxa"/>
              <w:bottom w:w="100" w:type="dxa"/>
              <w:right w:w="100" w:type="dxa"/>
            </w:tcMar>
          </w:tcPr>
          <w:p w14:paraId="000008A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6. Protein (%)</w:t>
            </w:r>
          </w:p>
        </w:tc>
        <w:tc>
          <w:tcPr>
            <w:tcW w:w="900" w:type="dxa"/>
            <w:tcBorders>
              <w:top w:val="nil"/>
              <w:left w:val="nil"/>
              <w:bottom w:val="nil"/>
              <w:right w:val="nil"/>
            </w:tcBorders>
            <w:tcMar>
              <w:top w:w="100" w:type="dxa"/>
              <w:left w:w="100" w:type="dxa"/>
              <w:bottom w:w="100" w:type="dxa"/>
              <w:right w:w="100" w:type="dxa"/>
            </w:tcMar>
          </w:tcPr>
          <w:p w14:paraId="000008A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-.37</w:t>
            </w:r>
          </w:p>
        </w:tc>
        <w:tc>
          <w:tcPr>
            <w:tcW w:w="975" w:type="dxa"/>
            <w:tcBorders>
              <w:top w:val="nil"/>
              <w:left w:val="nil"/>
              <w:bottom w:val="nil"/>
              <w:right w:val="nil"/>
            </w:tcBorders>
            <w:tcMar>
              <w:top w:w="100" w:type="dxa"/>
              <w:left w:w="100" w:type="dxa"/>
              <w:bottom w:w="100" w:type="dxa"/>
              <w:right w:w="100" w:type="dxa"/>
            </w:tcMar>
          </w:tcPr>
          <w:p w14:paraId="000008A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1035" w:type="dxa"/>
            <w:tcBorders>
              <w:top w:val="nil"/>
              <w:left w:val="nil"/>
              <w:bottom w:val="nil"/>
              <w:right w:val="nil"/>
            </w:tcBorders>
            <w:tcMar>
              <w:top w:w="100" w:type="dxa"/>
              <w:left w:w="100" w:type="dxa"/>
              <w:bottom w:w="100" w:type="dxa"/>
              <w:right w:w="100" w:type="dxa"/>
            </w:tcMar>
          </w:tcPr>
          <w:p w14:paraId="000008A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.01</w:t>
            </w:r>
          </w:p>
        </w:tc>
        <w:tc>
          <w:tcPr>
            <w:tcW w:w="1005" w:type="dxa"/>
            <w:tcBorders>
              <w:top w:val="nil"/>
              <w:left w:val="nil"/>
              <w:bottom w:val="nil"/>
              <w:right w:val="nil"/>
            </w:tcBorders>
            <w:tcMar>
              <w:top w:w="100" w:type="dxa"/>
              <w:left w:w="100" w:type="dxa"/>
              <w:bottom w:w="100" w:type="dxa"/>
              <w:right w:w="100" w:type="dxa"/>
            </w:tcMar>
          </w:tcPr>
          <w:p w14:paraId="000008A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.44</w:t>
            </w:r>
            <w:r>
              <w:rPr>
                <w:rFonts w:ascii="Times New Roman" w:eastAsia="Times New Roman" w:hAnsi="Times New Roman" w:cs="Times New Roman"/>
                <w:vertAlign w:val="superscript"/>
              </w:rPr>
              <w:t>*</w:t>
            </w:r>
          </w:p>
        </w:tc>
        <w:tc>
          <w:tcPr>
            <w:tcW w:w="825" w:type="dxa"/>
            <w:tcBorders>
              <w:top w:val="nil"/>
              <w:left w:val="nil"/>
              <w:bottom w:val="nil"/>
              <w:right w:val="nil"/>
            </w:tcBorders>
            <w:tcMar>
              <w:top w:w="100" w:type="dxa"/>
              <w:left w:w="100" w:type="dxa"/>
              <w:bottom w:w="100" w:type="dxa"/>
              <w:right w:w="100" w:type="dxa"/>
            </w:tcMar>
          </w:tcPr>
          <w:p w14:paraId="000008A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-.31</w:t>
            </w:r>
          </w:p>
        </w:tc>
        <w:tc>
          <w:tcPr>
            <w:tcW w:w="1005" w:type="dxa"/>
            <w:tcBorders>
              <w:top w:val="nil"/>
              <w:left w:val="nil"/>
              <w:bottom w:val="nil"/>
              <w:right w:val="nil"/>
            </w:tcBorders>
            <w:tcMar>
              <w:top w:w="100" w:type="dxa"/>
              <w:left w:w="100" w:type="dxa"/>
              <w:bottom w:w="100" w:type="dxa"/>
              <w:right w:w="100" w:type="dxa"/>
            </w:tcMar>
          </w:tcPr>
          <w:p w14:paraId="000008A6" w14:textId="77777777" w:rsidR="00CB4215" w:rsidRDefault="00CB4215">
            <w:pPr>
              <w:spacing w:line="240" w:lineRule="auto"/>
              <w:rPr>
                <w:rFonts w:ascii="Times New Roman" w:eastAsia="Times New Roman" w:hAnsi="Times New Roman" w:cs="Times New Roman"/>
              </w:rPr>
            </w:pPr>
          </w:p>
        </w:tc>
        <w:tc>
          <w:tcPr>
            <w:tcW w:w="825" w:type="dxa"/>
            <w:tcBorders>
              <w:top w:val="nil"/>
              <w:left w:val="nil"/>
              <w:bottom w:val="nil"/>
              <w:right w:val="nil"/>
            </w:tcBorders>
            <w:tcMar>
              <w:top w:w="100" w:type="dxa"/>
              <w:left w:w="100" w:type="dxa"/>
              <w:bottom w:w="100" w:type="dxa"/>
              <w:right w:w="100" w:type="dxa"/>
            </w:tcMar>
          </w:tcPr>
          <w:p w14:paraId="000008A7" w14:textId="77777777" w:rsidR="00CB4215" w:rsidRDefault="00CB4215">
            <w:pPr>
              <w:spacing w:line="240" w:lineRule="auto"/>
              <w:rPr>
                <w:rFonts w:ascii="Times New Roman" w:eastAsia="Times New Roman" w:hAnsi="Times New Roman" w:cs="Times New Roman"/>
              </w:rPr>
            </w:pPr>
          </w:p>
        </w:tc>
        <w:tc>
          <w:tcPr>
            <w:tcW w:w="765" w:type="dxa"/>
            <w:tcBorders>
              <w:top w:val="nil"/>
              <w:left w:val="nil"/>
              <w:bottom w:val="nil"/>
              <w:right w:val="nil"/>
            </w:tcBorders>
            <w:tcMar>
              <w:top w:w="100" w:type="dxa"/>
              <w:left w:w="100" w:type="dxa"/>
              <w:bottom w:w="100" w:type="dxa"/>
              <w:right w:w="100" w:type="dxa"/>
            </w:tcMar>
          </w:tcPr>
          <w:p w14:paraId="000008A8" w14:textId="77777777" w:rsidR="00CB4215" w:rsidRDefault="00CB4215">
            <w:pPr>
              <w:spacing w:line="240" w:lineRule="auto"/>
              <w:rPr>
                <w:rFonts w:ascii="Times New Roman" w:eastAsia="Times New Roman" w:hAnsi="Times New Roman" w:cs="Times New Roman"/>
              </w:rPr>
            </w:pPr>
          </w:p>
        </w:tc>
        <w:tc>
          <w:tcPr>
            <w:tcW w:w="840" w:type="dxa"/>
            <w:tcBorders>
              <w:top w:val="nil"/>
              <w:left w:val="nil"/>
              <w:bottom w:val="nil"/>
              <w:right w:val="nil"/>
            </w:tcBorders>
            <w:tcMar>
              <w:top w:w="100" w:type="dxa"/>
              <w:left w:w="100" w:type="dxa"/>
              <w:bottom w:w="100" w:type="dxa"/>
              <w:right w:w="100" w:type="dxa"/>
            </w:tcMar>
          </w:tcPr>
          <w:p w14:paraId="000008A9" w14:textId="77777777" w:rsidR="00CB4215" w:rsidRDefault="00CB4215">
            <w:pPr>
              <w:spacing w:line="240" w:lineRule="auto"/>
              <w:rPr>
                <w:rFonts w:ascii="Times New Roman" w:eastAsia="Times New Roman" w:hAnsi="Times New Roman" w:cs="Times New Roman"/>
              </w:rPr>
            </w:pPr>
          </w:p>
        </w:tc>
        <w:tc>
          <w:tcPr>
            <w:tcW w:w="660" w:type="dxa"/>
            <w:tcBorders>
              <w:top w:val="nil"/>
              <w:left w:val="nil"/>
              <w:bottom w:val="nil"/>
              <w:right w:val="nil"/>
            </w:tcBorders>
            <w:tcMar>
              <w:top w:w="100" w:type="dxa"/>
              <w:left w:w="100" w:type="dxa"/>
              <w:bottom w:w="100" w:type="dxa"/>
              <w:right w:w="100" w:type="dxa"/>
            </w:tcMar>
          </w:tcPr>
          <w:p w14:paraId="000008AA"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AB"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AC"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8AD" w14:textId="77777777" w:rsidR="00CB4215" w:rsidRDefault="00CB4215">
            <w:pPr>
              <w:spacing w:line="240" w:lineRule="auto"/>
              <w:rPr>
                <w:rFonts w:ascii="Times New Roman" w:eastAsia="Times New Roman" w:hAnsi="Times New Roman" w:cs="Times New Roman"/>
              </w:rPr>
            </w:pPr>
          </w:p>
        </w:tc>
      </w:tr>
      <w:tr w:rsidR="00CB4215" w14:paraId="702BF614" w14:textId="77777777">
        <w:trPr>
          <w:trHeight w:val="25"/>
        </w:trPr>
        <w:tc>
          <w:tcPr>
            <w:tcW w:w="3180" w:type="dxa"/>
            <w:tcBorders>
              <w:top w:val="nil"/>
              <w:left w:val="nil"/>
              <w:bottom w:val="nil"/>
              <w:right w:val="nil"/>
            </w:tcBorders>
            <w:tcMar>
              <w:top w:w="100" w:type="dxa"/>
              <w:left w:w="100" w:type="dxa"/>
              <w:bottom w:w="100" w:type="dxa"/>
              <w:right w:w="100" w:type="dxa"/>
            </w:tcMar>
          </w:tcPr>
          <w:p w14:paraId="000008A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 xml:space="preserve">7. Carbohydrate (%) </w:t>
            </w:r>
          </w:p>
        </w:tc>
        <w:tc>
          <w:tcPr>
            <w:tcW w:w="900" w:type="dxa"/>
            <w:tcBorders>
              <w:top w:val="nil"/>
              <w:left w:val="nil"/>
              <w:bottom w:val="nil"/>
              <w:right w:val="nil"/>
            </w:tcBorders>
            <w:tcMar>
              <w:top w:w="100" w:type="dxa"/>
              <w:left w:w="100" w:type="dxa"/>
              <w:bottom w:w="100" w:type="dxa"/>
              <w:right w:w="100" w:type="dxa"/>
            </w:tcMar>
          </w:tcPr>
          <w:p w14:paraId="000008A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975" w:type="dxa"/>
            <w:tcBorders>
              <w:top w:val="nil"/>
              <w:left w:val="nil"/>
              <w:bottom w:val="nil"/>
              <w:right w:val="nil"/>
            </w:tcBorders>
            <w:tcMar>
              <w:top w:w="100" w:type="dxa"/>
              <w:left w:w="100" w:type="dxa"/>
              <w:bottom w:w="100" w:type="dxa"/>
              <w:right w:w="100" w:type="dxa"/>
            </w:tcMar>
          </w:tcPr>
          <w:p w14:paraId="000008B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1035" w:type="dxa"/>
            <w:tcBorders>
              <w:top w:val="nil"/>
              <w:left w:val="nil"/>
              <w:bottom w:val="nil"/>
              <w:right w:val="nil"/>
            </w:tcBorders>
            <w:tcMar>
              <w:top w:w="100" w:type="dxa"/>
              <w:left w:w="100" w:type="dxa"/>
              <w:bottom w:w="100" w:type="dxa"/>
              <w:right w:w="100" w:type="dxa"/>
            </w:tcMar>
          </w:tcPr>
          <w:p w14:paraId="000008B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-.33</w:t>
            </w:r>
          </w:p>
        </w:tc>
        <w:tc>
          <w:tcPr>
            <w:tcW w:w="1005" w:type="dxa"/>
            <w:tcBorders>
              <w:top w:val="nil"/>
              <w:left w:val="nil"/>
              <w:bottom w:val="nil"/>
              <w:right w:val="nil"/>
            </w:tcBorders>
            <w:tcMar>
              <w:top w:w="100" w:type="dxa"/>
              <w:left w:w="100" w:type="dxa"/>
              <w:bottom w:w="100" w:type="dxa"/>
              <w:right w:w="100" w:type="dxa"/>
            </w:tcMar>
          </w:tcPr>
          <w:p w14:paraId="000008B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-.50</w:t>
            </w:r>
            <w:r>
              <w:rPr>
                <w:rFonts w:ascii="Times New Roman" w:eastAsia="Times New Roman" w:hAnsi="Times New Roman" w:cs="Times New Roman"/>
                <w:vertAlign w:val="superscript"/>
              </w:rPr>
              <w:t>*</w:t>
            </w:r>
          </w:p>
        </w:tc>
        <w:tc>
          <w:tcPr>
            <w:tcW w:w="825" w:type="dxa"/>
            <w:tcBorders>
              <w:top w:val="nil"/>
              <w:left w:val="nil"/>
              <w:bottom w:val="nil"/>
              <w:right w:val="nil"/>
            </w:tcBorders>
            <w:tcMar>
              <w:top w:w="100" w:type="dxa"/>
              <w:left w:w="100" w:type="dxa"/>
              <w:bottom w:w="100" w:type="dxa"/>
              <w:right w:w="100" w:type="dxa"/>
            </w:tcMar>
          </w:tcPr>
          <w:p w14:paraId="000008B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1005" w:type="dxa"/>
            <w:tcBorders>
              <w:top w:val="nil"/>
              <w:left w:val="nil"/>
              <w:bottom w:val="nil"/>
              <w:right w:val="nil"/>
            </w:tcBorders>
            <w:tcMar>
              <w:top w:w="100" w:type="dxa"/>
              <w:left w:w="100" w:type="dxa"/>
              <w:bottom w:w="100" w:type="dxa"/>
              <w:right w:w="100" w:type="dxa"/>
            </w:tcMar>
          </w:tcPr>
          <w:p w14:paraId="000008B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-.65</w:t>
            </w:r>
            <w:r>
              <w:rPr>
                <w:rFonts w:ascii="Times New Roman" w:eastAsia="Times New Roman" w:hAnsi="Times New Roman" w:cs="Times New Roman"/>
                <w:vertAlign w:val="superscript"/>
              </w:rPr>
              <w:t>**</w:t>
            </w:r>
          </w:p>
        </w:tc>
        <w:tc>
          <w:tcPr>
            <w:tcW w:w="825" w:type="dxa"/>
            <w:tcBorders>
              <w:top w:val="nil"/>
              <w:left w:val="nil"/>
              <w:bottom w:val="nil"/>
              <w:right w:val="nil"/>
            </w:tcBorders>
            <w:tcMar>
              <w:top w:w="100" w:type="dxa"/>
              <w:left w:w="100" w:type="dxa"/>
              <w:bottom w:w="100" w:type="dxa"/>
              <w:right w:w="100" w:type="dxa"/>
            </w:tcMar>
          </w:tcPr>
          <w:p w14:paraId="000008B5" w14:textId="77777777" w:rsidR="00CB4215" w:rsidRDefault="00CB4215">
            <w:pPr>
              <w:spacing w:line="240" w:lineRule="auto"/>
              <w:rPr>
                <w:rFonts w:ascii="Times New Roman" w:eastAsia="Times New Roman" w:hAnsi="Times New Roman" w:cs="Times New Roman"/>
              </w:rPr>
            </w:pPr>
          </w:p>
        </w:tc>
        <w:tc>
          <w:tcPr>
            <w:tcW w:w="765" w:type="dxa"/>
            <w:tcBorders>
              <w:top w:val="nil"/>
              <w:left w:val="nil"/>
              <w:bottom w:val="nil"/>
              <w:right w:val="nil"/>
            </w:tcBorders>
            <w:tcMar>
              <w:top w:w="100" w:type="dxa"/>
              <w:left w:w="100" w:type="dxa"/>
              <w:bottom w:w="100" w:type="dxa"/>
              <w:right w:w="100" w:type="dxa"/>
            </w:tcMar>
          </w:tcPr>
          <w:p w14:paraId="000008B6" w14:textId="77777777" w:rsidR="00CB4215" w:rsidRDefault="00CB4215">
            <w:pPr>
              <w:spacing w:line="240" w:lineRule="auto"/>
              <w:rPr>
                <w:rFonts w:ascii="Times New Roman" w:eastAsia="Times New Roman" w:hAnsi="Times New Roman" w:cs="Times New Roman"/>
              </w:rPr>
            </w:pPr>
          </w:p>
        </w:tc>
        <w:tc>
          <w:tcPr>
            <w:tcW w:w="840" w:type="dxa"/>
            <w:tcBorders>
              <w:top w:val="nil"/>
              <w:left w:val="nil"/>
              <w:bottom w:val="nil"/>
              <w:right w:val="nil"/>
            </w:tcBorders>
            <w:tcMar>
              <w:top w:w="100" w:type="dxa"/>
              <w:left w:w="100" w:type="dxa"/>
              <w:bottom w:w="100" w:type="dxa"/>
              <w:right w:w="100" w:type="dxa"/>
            </w:tcMar>
          </w:tcPr>
          <w:p w14:paraId="000008B7" w14:textId="77777777" w:rsidR="00CB4215" w:rsidRDefault="00CB4215">
            <w:pPr>
              <w:spacing w:line="240" w:lineRule="auto"/>
              <w:rPr>
                <w:rFonts w:ascii="Times New Roman" w:eastAsia="Times New Roman" w:hAnsi="Times New Roman" w:cs="Times New Roman"/>
              </w:rPr>
            </w:pPr>
          </w:p>
        </w:tc>
        <w:tc>
          <w:tcPr>
            <w:tcW w:w="660" w:type="dxa"/>
            <w:tcBorders>
              <w:top w:val="nil"/>
              <w:left w:val="nil"/>
              <w:bottom w:val="nil"/>
              <w:right w:val="nil"/>
            </w:tcBorders>
            <w:tcMar>
              <w:top w:w="100" w:type="dxa"/>
              <w:left w:w="100" w:type="dxa"/>
              <w:bottom w:w="100" w:type="dxa"/>
              <w:right w:w="100" w:type="dxa"/>
            </w:tcMar>
          </w:tcPr>
          <w:p w14:paraId="000008B8"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B9"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BA"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8BB" w14:textId="77777777" w:rsidR="00CB4215" w:rsidRDefault="00CB4215">
            <w:pPr>
              <w:spacing w:line="240" w:lineRule="auto"/>
              <w:rPr>
                <w:rFonts w:ascii="Times New Roman" w:eastAsia="Times New Roman" w:hAnsi="Times New Roman" w:cs="Times New Roman"/>
              </w:rPr>
            </w:pPr>
          </w:p>
        </w:tc>
      </w:tr>
      <w:tr w:rsidR="00CB4215" w14:paraId="618C421E" w14:textId="77777777">
        <w:trPr>
          <w:trHeight w:val="25"/>
        </w:trPr>
        <w:tc>
          <w:tcPr>
            <w:tcW w:w="3180" w:type="dxa"/>
            <w:tcBorders>
              <w:top w:val="nil"/>
              <w:left w:val="nil"/>
              <w:bottom w:val="nil"/>
              <w:right w:val="nil"/>
            </w:tcBorders>
            <w:tcMar>
              <w:top w:w="100" w:type="dxa"/>
              <w:left w:w="100" w:type="dxa"/>
              <w:bottom w:w="100" w:type="dxa"/>
              <w:right w:w="100" w:type="dxa"/>
            </w:tcMar>
          </w:tcPr>
          <w:p w14:paraId="000008B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8. Fat (%)</w:t>
            </w:r>
          </w:p>
        </w:tc>
        <w:tc>
          <w:tcPr>
            <w:tcW w:w="900" w:type="dxa"/>
            <w:tcBorders>
              <w:top w:val="nil"/>
              <w:left w:val="nil"/>
              <w:bottom w:val="nil"/>
              <w:right w:val="nil"/>
            </w:tcBorders>
            <w:tcMar>
              <w:top w:w="100" w:type="dxa"/>
              <w:left w:w="100" w:type="dxa"/>
              <w:bottom w:w="100" w:type="dxa"/>
              <w:right w:w="100" w:type="dxa"/>
            </w:tcMar>
          </w:tcPr>
          <w:p w14:paraId="000008B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975" w:type="dxa"/>
            <w:tcBorders>
              <w:top w:val="nil"/>
              <w:left w:val="nil"/>
              <w:bottom w:val="nil"/>
              <w:right w:val="nil"/>
            </w:tcBorders>
            <w:tcMar>
              <w:top w:w="100" w:type="dxa"/>
              <w:left w:w="100" w:type="dxa"/>
              <w:bottom w:w="100" w:type="dxa"/>
              <w:right w:w="100" w:type="dxa"/>
            </w:tcMar>
          </w:tcPr>
          <w:p w14:paraId="000008B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1035" w:type="dxa"/>
            <w:tcBorders>
              <w:top w:val="nil"/>
              <w:left w:val="nil"/>
              <w:bottom w:val="nil"/>
              <w:right w:val="nil"/>
            </w:tcBorders>
            <w:tcMar>
              <w:top w:w="100" w:type="dxa"/>
              <w:left w:w="100" w:type="dxa"/>
              <w:bottom w:w="100" w:type="dxa"/>
              <w:right w:w="100" w:type="dxa"/>
            </w:tcMar>
          </w:tcPr>
          <w:p w14:paraId="000008B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.32</w:t>
            </w:r>
          </w:p>
        </w:tc>
        <w:tc>
          <w:tcPr>
            <w:tcW w:w="1005" w:type="dxa"/>
            <w:tcBorders>
              <w:top w:val="nil"/>
              <w:left w:val="nil"/>
              <w:bottom w:val="nil"/>
              <w:right w:val="nil"/>
            </w:tcBorders>
            <w:tcMar>
              <w:top w:w="100" w:type="dxa"/>
              <w:left w:w="100" w:type="dxa"/>
              <w:bottom w:w="100" w:type="dxa"/>
              <w:right w:w="100" w:type="dxa"/>
            </w:tcMar>
          </w:tcPr>
          <w:p w14:paraId="000008C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825" w:type="dxa"/>
            <w:tcBorders>
              <w:top w:val="nil"/>
              <w:left w:val="nil"/>
              <w:bottom w:val="nil"/>
              <w:right w:val="nil"/>
            </w:tcBorders>
            <w:tcMar>
              <w:top w:w="100" w:type="dxa"/>
              <w:left w:w="100" w:type="dxa"/>
              <w:bottom w:w="100" w:type="dxa"/>
              <w:right w:w="100" w:type="dxa"/>
            </w:tcMar>
          </w:tcPr>
          <w:p w14:paraId="000008C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.22</w:t>
            </w:r>
          </w:p>
        </w:tc>
        <w:tc>
          <w:tcPr>
            <w:tcW w:w="1005" w:type="dxa"/>
            <w:tcBorders>
              <w:top w:val="nil"/>
              <w:left w:val="nil"/>
              <w:bottom w:val="nil"/>
              <w:right w:val="nil"/>
            </w:tcBorders>
            <w:tcMar>
              <w:top w:w="100" w:type="dxa"/>
              <w:left w:w="100" w:type="dxa"/>
              <w:bottom w:w="100" w:type="dxa"/>
              <w:right w:w="100" w:type="dxa"/>
            </w:tcMar>
          </w:tcPr>
          <w:p w14:paraId="000008C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-.07</w:t>
            </w:r>
          </w:p>
        </w:tc>
        <w:tc>
          <w:tcPr>
            <w:tcW w:w="825" w:type="dxa"/>
            <w:tcBorders>
              <w:top w:val="nil"/>
              <w:left w:val="nil"/>
              <w:bottom w:val="nil"/>
              <w:right w:val="nil"/>
            </w:tcBorders>
            <w:tcMar>
              <w:top w:w="100" w:type="dxa"/>
              <w:left w:w="100" w:type="dxa"/>
              <w:bottom w:w="100" w:type="dxa"/>
              <w:right w:w="100" w:type="dxa"/>
            </w:tcMar>
          </w:tcPr>
          <w:p w14:paraId="000008C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-.56</w:t>
            </w:r>
            <w:r>
              <w:rPr>
                <w:rFonts w:ascii="Times New Roman" w:eastAsia="Times New Roman" w:hAnsi="Times New Roman" w:cs="Times New Roman"/>
                <w:vertAlign w:val="superscript"/>
              </w:rPr>
              <w:t>**</w:t>
            </w:r>
          </w:p>
        </w:tc>
        <w:tc>
          <w:tcPr>
            <w:tcW w:w="765" w:type="dxa"/>
            <w:tcBorders>
              <w:top w:val="nil"/>
              <w:left w:val="nil"/>
              <w:bottom w:val="nil"/>
              <w:right w:val="nil"/>
            </w:tcBorders>
            <w:tcMar>
              <w:top w:w="100" w:type="dxa"/>
              <w:left w:w="100" w:type="dxa"/>
              <w:bottom w:w="100" w:type="dxa"/>
              <w:right w:w="100" w:type="dxa"/>
            </w:tcMar>
          </w:tcPr>
          <w:p w14:paraId="000008C4" w14:textId="77777777" w:rsidR="00CB4215" w:rsidRDefault="00CB4215">
            <w:pPr>
              <w:spacing w:line="240" w:lineRule="auto"/>
              <w:rPr>
                <w:rFonts w:ascii="Times New Roman" w:eastAsia="Times New Roman" w:hAnsi="Times New Roman" w:cs="Times New Roman"/>
              </w:rPr>
            </w:pPr>
          </w:p>
        </w:tc>
        <w:tc>
          <w:tcPr>
            <w:tcW w:w="840" w:type="dxa"/>
            <w:tcBorders>
              <w:top w:val="nil"/>
              <w:left w:val="nil"/>
              <w:bottom w:val="nil"/>
              <w:right w:val="nil"/>
            </w:tcBorders>
            <w:tcMar>
              <w:top w:w="100" w:type="dxa"/>
              <w:left w:w="100" w:type="dxa"/>
              <w:bottom w:w="100" w:type="dxa"/>
              <w:right w:w="100" w:type="dxa"/>
            </w:tcMar>
          </w:tcPr>
          <w:p w14:paraId="000008C5" w14:textId="77777777" w:rsidR="00CB4215" w:rsidRDefault="00CB4215">
            <w:pPr>
              <w:spacing w:line="240" w:lineRule="auto"/>
              <w:rPr>
                <w:rFonts w:ascii="Times New Roman" w:eastAsia="Times New Roman" w:hAnsi="Times New Roman" w:cs="Times New Roman"/>
              </w:rPr>
            </w:pPr>
          </w:p>
        </w:tc>
        <w:tc>
          <w:tcPr>
            <w:tcW w:w="660" w:type="dxa"/>
            <w:tcBorders>
              <w:top w:val="nil"/>
              <w:left w:val="nil"/>
              <w:bottom w:val="nil"/>
              <w:right w:val="nil"/>
            </w:tcBorders>
            <w:tcMar>
              <w:top w:w="100" w:type="dxa"/>
              <w:left w:w="100" w:type="dxa"/>
              <w:bottom w:w="100" w:type="dxa"/>
              <w:right w:w="100" w:type="dxa"/>
            </w:tcMar>
          </w:tcPr>
          <w:p w14:paraId="000008C6"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C7"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C8"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8C9" w14:textId="77777777" w:rsidR="00CB4215" w:rsidRDefault="00CB4215">
            <w:pPr>
              <w:spacing w:line="240" w:lineRule="auto"/>
              <w:rPr>
                <w:rFonts w:ascii="Times New Roman" w:eastAsia="Times New Roman" w:hAnsi="Times New Roman" w:cs="Times New Roman"/>
              </w:rPr>
            </w:pPr>
          </w:p>
        </w:tc>
      </w:tr>
      <w:tr w:rsidR="00CB4215" w14:paraId="5CD1659E" w14:textId="77777777" w:rsidTr="001826B9">
        <w:trPr>
          <w:trHeight w:val="25"/>
        </w:trPr>
        <w:tc>
          <w:tcPr>
            <w:tcW w:w="3180" w:type="dxa"/>
            <w:tcBorders>
              <w:top w:val="nil"/>
              <w:left w:val="nil"/>
              <w:bottom w:val="nil"/>
              <w:right w:val="nil"/>
            </w:tcBorders>
            <w:tcMar>
              <w:top w:w="100" w:type="dxa"/>
              <w:left w:w="100" w:type="dxa"/>
              <w:bottom w:w="100" w:type="dxa"/>
              <w:right w:w="100" w:type="dxa"/>
            </w:tcMar>
          </w:tcPr>
          <w:p w14:paraId="000008C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9. Diet Quality Score</w:t>
            </w:r>
          </w:p>
        </w:tc>
        <w:tc>
          <w:tcPr>
            <w:tcW w:w="900" w:type="dxa"/>
            <w:tcBorders>
              <w:top w:val="nil"/>
              <w:left w:val="nil"/>
              <w:bottom w:val="nil"/>
              <w:right w:val="nil"/>
            </w:tcBorders>
            <w:shd w:val="clear" w:color="auto" w:fill="FFFF00"/>
            <w:tcMar>
              <w:top w:w="100" w:type="dxa"/>
              <w:left w:w="100" w:type="dxa"/>
              <w:bottom w:w="100" w:type="dxa"/>
              <w:right w:w="100" w:type="dxa"/>
            </w:tcMar>
          </w:tcPr>
          <w:p w14:paraId="000008CB" w14:textId="204BB711" w:rsidR="00CB4215" w:rsidRPr="001826B9" w:rsidRDefault="001826B9">
            <w:pPr>
              <w:spacing w:line="240" w:lineRule="auto"/>
              <w:rPr>
                <w:rFonts w:ascii="Times New Roman" w:eastAsia="Times New Roman" w:hAnsi="Times New Roman" w:cs="Times New Roman"/>
                <w:b/>
                <w:bCs/>
                <w:shd w:val="clear" w:color="auto" w:fill="FF9900"/>
              </w:rPr>
            </w:pPr>
            <w:r w:rsidRPr="001826B9">
              <w:rPr>
                <w:rFonts w:ascii="Times New Roman" w:eastAsia="Times New Roman" w:hAnsi="Times New Roman" w:cs="Times New Roman"/>
                <w:b/>
                <w:bCs/>
              </w:rPr>
              <w:t>-.44</w:t>
            </w:r>
            <w:r w:rsidRPr="001826B9">
              <w:rPr>
                <w:rFonts w:ascii="Times New Roman" w:eastAsia="Times New Roman" w:hAnsi="Times New Roman" w:cs="Times New Roman"/>
                <w:b/>
                <w:bCs/>
                <w:vertAlign w:val="superscript"/>
              </w:rPr>
              <w:t>*</w:t>
            </w:r>
          </w:p>
        </w:tc>
        <w:tc>
          <w:tcPr>
            <w:tcW w:w="975" w:type="dxa"/>
            <w:tcBorders>
              <w:top w:val="nil"/>
              <w:left w:val="nil"/>
              <w:bottom w:val="nil"/>
              <w:right w:val="nil"/>
            </w:tcBorders>
            <w:tcMar>
              <w:top w:w="100" w:type="dxa"/>
              <w:left w:w="100" w:type="dxa"/>
              <w:bottom w:w="100" w:type="dxa"/>
              <w:right w:w="100" w:type="dxa"/>
            </w:tcMar>
          </w:tcPr>
          <w:p w14:paraId="000008C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1035" w:type="dxa"/>
            <w:tcBorders>
              <w:top w:val="nil"/>
              <w:left w:val="nil"/>
              <w:bottom w:val="nil"/>
              <w:right w:val="nil"/>
            </w:tcBorders>
            <w:tcMar>
              <w:top w:w="100" w:type="dxa"/>
              <w:left w:w="100" w:type="dxa"/>
              <w:bottom w:w="100" w:type="dxa"/>
              <w:right w:w="100" w:type="dxa"/>
            </w:tcMar>
          </w:tcPr>
          <w:p w14:paraId="000008C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.22</w:t>
            </w:r>
          </w:p>
        </w:tc>
        <w:tc>
          <w:tcPr>
            <w:tcW w:w="1005" w:type="dxa"/>
            <w:tcBorders>
              <w:top w:val="nil"/>
              <w:left w:val="nil"/>
              <w:bottom w:val="nil"/>
              <w:right w:val="nil"/>
            </w:tcBorders>
            <w:tcMar>
              <w:top w:w="100" w:type="dxa"/>
              <w:left w:w="100" w:type="dxa"/>
              <w:bottom w:w="100" w:type="dxa"/>
              <w:right w:w="100" w:type="dxa"/>
            </w:tcMar>
          </w:tcPr>
          <w:p w14:paraId="000008C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825" w:type="dxa"/>
            <w:tcBorders>
              <w:top w:val="nil"/>
              <w:left w:val="nil"/>
              <w:bottom w:val="nil"/>
              <w:right w:val="nil"/>
            </w:tcBorders>
            <w:tcMar>
              <w:top w:w="100" w:type="dxa"/>
              <w:left w:w="100" w:type="dxa"/>
              <w:bottom w:w="100" w:type="dxa"/>
              <w:right w:w="100" w:type="dxa"/>
            </w:tcMar>
          </w:tcPr>
          <w:p w14:paraId="000008C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1005" w:type="dxa"/>
            <w:tcBorders>
              <w:top w:val="nil"/>
              <w:left w:val="nil"/>
              <w:bottom w:val="nil"/>
              <w:right w:val="nil"/>
            </w:tcBorders>
            <w:tcMar>
              <w:top w:w="100" w:type="dxa"/>
              <w:left w:w="100" w:type="dxa"/>
              <w:bottom w:w="100" w:type="dxa"/>
              <w:right w:w="100" w:type="dxa"/>
            </w:tcMar>
          </w:tcPr>
          <w:p w14:paraId="000008D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.48</w:t>
            </w:r>
            <w:r>
              <w:rPr>
                <w:rFonts w:ascii="Times New Roman" w:eastAsia="Times New Roman" w:hAnsi="Times New Roman" w:cs="Times New Roman"/>
                <w:vertAlign w:val="superscript"/>
              </w:rPr>
              <w:t>**</w:t>
            </w:r>
          </w:p>
        </w:tc>
        <w:tc>
          <w:tcPr>
            <w:tcW w:w="825" w:type="dxa"/>
            <w:tcBorders>
              <w:top w:val="nil"/>
              <w:left w:val="nil"/>
              <w:bottom w:val="nil"/>
              <w:right w:val="nil"/>
            </w:tcBorders>
            <w:tcMar>
              <w:top w:w="100" w:type="dxa"/>
              <w:left w:w="100" w:type="dxa"/>
              <w:bottom w:w="100" w:type="dxa"/>
              <w:right w:w="100" w:type="dxa"/>
            </w:tcMar>
          </w:tcPr>
          <w:p w14:paraId="000008D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765" w:type="dxa"/>
            <w:tcBorders>
              <w:top w:val="nil"/>
              <w:left w:val="nil"/>
              <w:bottom w:val="nil"/>
              <w:right w:val="nil"/>
            </w:tcBorders>
            <w:tcMar>
              <w:top w:w="100" w:type="dxa"/>
              <w:left w:w="100" w:type="dxa"/>
              <w:bottom w:w="100" w:type="dxa"/>
              <w:right w:w="100" w:type="dxa"/>
            </w:tcMar>
          </w:tcPr>
          <w:p w14:paraId="000008D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840" w:type="dxa"/>
            <w:tcBorders>
              <w:top w:val="nil"/>
              <w:left w:val="nil"/>
              <w:bottom w:val="nil"/>
              <w:right w:val="nil"/>
            </w:tcBorders>
            <w:tcMar>
              <w:top w:w="100" w:type="dxa"/>
              <w:left w:w="100" w:type="dxa"/>
              <w:bottom w:w="100" w:type="dxa"/>
              <w:right w:w="100" w:type="dxa"/>
            </w:tcMar>
          </w:tcPr>
          <w:p w14:paraId="000008D3" w14:textId="77777777" w:rsidR="00CB4215" w:rsidRDefault="00CB4215">
            <w:pPr>
              <w:spacing w:line="240" w:lineRule="auto"/>
              <w:rPr>
                <w:rFonts w:ascii="Times New Roman" w:eastAsia="Times New Roman" w:hAnsi="Times New Roman" w:cs="Times New Roman"/>
              </w:rPr>
            </w:pPr>
          </w:p>
        </w:tc>
        <w:tc>
          <w:tcPr>
            <w:tcW w:w="660" w:type="dxa"/>
            <w:tcBorders>
              <w:top w:val="nil"/>
              <w:left w:val="nil"/>
              <w:bottom w:val="nil"/>
              <w:right w:val="nil"/>
            </w:tcBorders>
            <w:tcMar>
              <w:top w:w="100" w:type="dxa"/>
              <w:left w:w="100" w:type="dxa"/>
              <w:bottom w:w="100" w:type="dxa"/>
              <w:right w:w="100" w:type="dxa"/>
            </w:tcMar>
          </w:tcPr>
          <w:p w14:paraId="000008D4"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D5"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D6"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8D7" w14:textId="77777777" w:rsidR="00CB4215" w:rsidRDefault="00CB4215">
            <w:pPr>
              <w:spacing w:line="240" w:lineRule="auto"/>
              <w:rPr>
                <w:rFonts w:ascii="Times New Roman" w:eastAsia="Times New Roman" w:hAnsi="Times New Roman" w:cs="Times New Roman"/>
              </w:rPr>
            </w:pPr>
          </w:p>
        </w:tc>
      </w:tr>
      <w:tr w:rsidR="00CB4215" w14:paraId="68344DBD" w14:textId="77777777">
        <w:trPr>
          <w:trHeight w:val="25"/>
        </w:trPr>
        <w:tc>
          <w:tcPr>
            <w:tcW w:w="3180" w:type="dxa"/>
            <w:tcBorders>
              <w:top w:val="nil"/>
              <w:left w:val="nil"/>
              <w:bottom w:val="nil"/>
              <w:right w:val="nil"/>
            </w:tcBorders>
            <w:tcMar>
              <w:top w:w="100" w:type="dxa"/>
              <w:left w:w="100" w:type="dxa"/>
              <w:bottom w:w="100" w:type="dxa"/>
              <w:right w:w="100" w:type="dxa"/>
            </w:tcMar>
          </w:tcPr>
          <w:p w14:paraId="000008D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 Sleep duration (minutes)</w:t>
            </w:r>
          </w:p>
        </w:tc>
        <w:tc>
          <w:tcPr>
            <w:tcW w:w="900" w:type="dxa"/>
            <w:tcBorders>
              <w:top w:val="nil"/>
              <w:left w:val="nil"/>
              <w:bottom w:val="nil"/>
              <w:right w:val="nil"/>
            </w:tcBorders>
            <w:tcMar>
              <w:top w:w="100" w:type="dxa"/>
              <w:left w:w="100" w:type="dxa"/>
              <w:bottom w:w="100" w:type="dxa"/>
              <w:right w:w="100" w:type="dxa"/>
            </w:tcMar>
          </w:tcPr>
          <w:p w14:paraId="000008D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-.06</w:t>
            </w:r>
          </w:p>
        </w:tc>
        <w:tc>
          <w:tcPr>
            <w:tcW w:w="975" w:type="dxa"/>
            <w:tcBorders>
              <w:top w:val="nil"/>
              <w:left w:val="nil"/>
              <w:bottom w:val="nil"/>
              <w:right w:val="nil"/>
            </w:tcBorders>
            <w:tcMar>
              <w:top w:w="100" w:type="dxa"/>
              <w:left w:w="100" w:type="dxa"/>
              <w:bottom w:w="100" w:type="dxa"/>
              <w:right w:w="100" w:type="dxa"/>
            </w:tcMar>
          </w:tcPr>
          <w:p w14:paraId="000008D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-.43</w:t>
            </w:r>
            <w:r>
              <w:rPr>
                <w:rFonts w:ascii="Times New Roman" w:eastAsia="Times New Roman" w:hAnsi="Times New Roman" w:cs="Times New Roman"/>
                <w:vertAlign w:val="superscript"/>
              </w:rPr>
              <w:t>*</w:t>
            </w:r>
          </w:p>
        </w:tc>
        <w:tc>
          <w:tcPr>
            <w:tcW w:w="1035" w:type="dxa"/>
            <w:tcBorders>
              <w:top w:val="nil"/>
              <w:left w:val="nil"/>
              <w:bottom w:val="nil"/>
              <w:right w:val="nil"/>
            </w:tcBorders>
            <w:tcMar>
              <w:top w:w="100" w:type="dxa"/>
              <w:left w:w="100" w:type="dxa"/>
              <w:bottom w:w="100" w:type="dxa"/>
              <w:right w:w="100" w:type="dxa"/>
            </w:tcMar>
          </w:tcPr>
          <w:p w14:paraId="000008D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-.37</w:t>
            </w:r>
          </w:p>
        </w:tc>
        <w:tc>
          <w:tcPr>
            <w:tcW w:w="1005" w:type="dxa"/>
            <w:tcBorders>
              <w:top w:val="nil"/>
              <w:left w:val="nil"/>
              <w:bottom w:val="nil"/>
              <w:right w:val="nil"/>
            </w:tcBorders>
            <w:tcMar>
              <w:top w:w="100" w:type="dxa"/>
              <w:left w:w="100" w:type="dxa"/>
              <w:bottom w:w="100" w:type="dxa"/>
              <w:right w:w="100" w:type="dxa"/>
            </w:tcMar>
          </w:tcPr>
          <w:p w14:paraId="000008D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-.13</w:t>
            </w:r>
          </w:p>
        </w:tc>
        <w:tc>
          <w:tcPr>
            <w:tcW w:w="825" w:type="dxa"/>
            <w:tcBorders>
              <w:top w:val="nil"/>
              <w:left w:val="nil"/>
              <w:bottom w:val="nil"/>
              <w:right w:val="nil"/>
            </w:tcBorders>
            <w:tcMar>
              <w:top w:w="100" w:type="dxa"/>
              <w:left w:w="100" w:type="dxa"/>
              <w:bottom w:w="100" w:type="dxa"/>
              <w:right w:w="100" w:type="dxa"/>
            </w:tcMar>
          </w:tcPr>
          <w:p w14:paraId="000008D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-.06</w:t>
            </w:r>
          </w:p>
        </w:tc>
        <w:tc>
          <w:tcPr>
            <w:tcW w:w="1005" w:type="dxa"/>
            <w:tcBorders>
              <w:top w:val="nil"/>
              <w:left w:val="nil"/>
              <w:bottom w:val="nil"/>
              <w:right w:val="nil"/>
            </w:tcBorders>
            <w:tcMar>
              <w:top w:w="100" w:type="dxa"/>
              <w:left w:w="100" w:type="dxa"/>
              <w:bottom w:w="100" w:type="dxa"/>
              <w:right w:w="100" w:type="dxa"/>
            </w:tcMar>
          </w:tcPr>
          <w:p w14:paraId="000008D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825" w:type="dxa"/>
            <w:tcBorders>
              <w:top w:val="nil"/>
              <w:left w:val="nil"/>
              <w:bottom w:val="nil"/>
              <w:right w:val="nil"/>
            </w:tcBorders>
            <w:tcMar>
              <w:top w:w="100" w:type="dxa"/>
              <w:left w:w="100" w:type="dxa"/>
              <w:bottom w:w="100" w:type="dxa"/>
              <w:right w:w="100" w:type="dxa"/>
            </w:tcMar>
          </w:tcPr>
          <w:p w14:paraId="000008D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-.08</w:t>
            </w:r>
          </w:p>
        </w:tc>
        <w:tc>
          <w:tcPr>
            <w:tcW w:w="765" w:type="dxa"/>
            <w:tcBorders>
              <w:top w:val="nil"/>
              <w:left w:val="nil"/>
              <w:bottom w:val="nil"/>
              <w:right w:val="nil"/>
            </w:tcBorders>
            <w:tcMar>
              <w:top w:w="100" w:type="dxa"/>
              <w:left w:w="100" w:type="dxa"/>
              <w:bottom w:w="100" w:type="dxa"/>
              <w:right w:w="100" w:type="dxa"/>
            </w:tcMar>
          </w:tcPr>
          <w:p w14:paraId="000008E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840" w:type="dxa"/>
            <w:tcBorders>
              <w:top w:val="nil"/>
              <w:left w:val="nil"/>
              <w:bottom w:val="nil"/>
              <w:right w:val="nil"/>
            </w:tcBorders>
            <w:tcMar>
              <w:top w:w="100" w:type="dxa"/>
              <w:left w:w="100" w:type="dxa"/>
              <w:bottom w:w="100" w:type="dxa"/>
              <w:right w:w="100" w:type="dxa"/>
            </w:tcMar>
          </w:tcPr>
          <w:p w14:paraId="000008E1"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-.01</w:t>
            </w:r>
          </w:p>
        </w:tc>
        <w:tc>
          <w:tcPr>
            <w:tcW w:w="660" w:type="dxa"/>
            <w:tcBorders>
              <w:top w:val="nil"/>
              <w:left w:val="nil"/>
              <w:bottom w:val="nil"/>
              <w:right w:val="nil"/>
            </w:tcBorders>
            <w:tcMar>
              <w:top w:w="100" w:type="dxa"/>
              <w:left w:w="100" w:type="dxa"/>
              <w:bottom w:w="100" w:type="dxa"/>
              <w:right w:w="100" w:type="dxa"/>
            </w:tcMar>
          </w:tcPr>
          <w:p w14:paraId="000008E2"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E3"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E4"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8E5" w14:textId="77777777" w:rsidR="00CB4215" w:rsidRDefault="00CB4215">
            <w:pPr>
              <w:spacing w:line="240" w:lineRule="auto"/>
              <w:rPr>
                <w:rFonts w:ascii="Times New Roman" w:eastAsia="Times New Roman" w:hAnsi="Times New Roman" w:cs="Times New Roman"/>
              </w:rPr>
            </w:pPr>
          </w:p>
        </w:tc>
      </w:tr>
      <w:tr w:rsidR="00CB4215" w14:paraId="399748B7" w14:textId="77777777">
        <w:trPr>
          <w:trHeight w:val="25"/>
        </w:trPr>
        <w:tc>
          <w:tcPr>
            <w:tcW w:w="3180" w:type="dxa"/>
            <w:tcBorders>
              <w:top w:val="nil"/>
              <w:left w:val="nil"/>
              <w:bottom w:val="nil"/>
              <w:right w:val="nil"/>
            </w:tcBorders>
            <w:tcMar>
              <w:top w:w="100" w:type="dxa"/>
              <w:left w:w="100" w:type="dxa"/>
              <w:bottom w:w="100" w:type="dxa"/>
              <w:right w:w="100" w:type="dxa"/>
            </w:tcMar>
          </w:tcPr>
          <w:p w14:paraId="000008E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11. Sleep efficiency (%)</w:t>
            </w:r>
          </w:p>
        </w:tc>
        <w:tc>
          <w:tcPr>
            <w:tcW w:w="900" w:type="dxa"/>
            <w:tcBorders>
              <w:top w:val="nil"/>
              <w:left w:val="nil"/>
              <w:bottom w:val="nil"/>
              <w:right w:val="nil"/>
            </w:tcBorders>
            <w:tcMar>
              <w:top w:w="100" w:type="dxa"/>
              <w:left w:w="100" w:type="dxa"/>
              <w:bottom w:w="100" w:type="dxa"/>
              <w:right w:w="100" w:type="dxa"/>
            </w:tcMar>
          </w:tcPr>
          <w:p w14:paraId="000008E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-.08</w:t>
            </w:r>
          </w:p>
        </w:tc>
        <w:tc>
          <w:tcPr>
            <w:tcW w:w="975" w:type="dxa"/>
            <w:tcBorders>
              <w:top w:val="nil"/>
              <w:left w:val="nil"/>
              <w:bottom w:val="nil"/>
              <w:right w:val="nil"/>
            </w:tcBorders>
            <w:tcMar>
              <w:top w:w="100" w:type="dxa"/>
              <w:left w:w="100" w:type="dxa"/>
              <w:bottom w:w="100" w:type="dxa"/>
              <w:right w:w="100" w:type="dxa"/>
            </w:tcMar>
          </w:tcPr>
          <w:p w14:paraId="000008E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.04</w:t>
            </w:r>
          </w:p>
        </w:tc>
        <w:tc>
          <w:tcPr>
            <w:tcW w:w="1035" w:type="dxa"/>
            <w:tcBorders>
              <w:top w:val="nil"/>
              <w:left w:val="nil"/>
              <w:bottom w:val="nil"/>
              <w:right w:val="nil"/>
            </w:tcBorders>
            <w:tcMar>
              <w:top w:w="100" w:type="dxa"/>
              <w:left w:w="100" w:type="dxa"/>
              <w:bottom w:w="100" w:type="dxa"/>
              <w:right w:w="100" w:type="dxa"/>
            </w:tcMar>
          </w:tcPr>
          <w:p w14:paraId="000008E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1005" w:type="dxa"/>
            <w:tcBorders>
              <w:top w:val="nil"/>
              <w:left w:val="nil"/>
              <w:bottom w:val="nil"/>
              <w:right w:val="nil"/>
            </w:tcBorders>
            <w:tcMar>
              <w:top w:w="100" w:type="dxa"/>
              <w:left w:w="100" w:type="dxa"/>
              <w:bottom w:w="100" w:type="dxa"/>
              <w:right w:w="100" w:type="dxa"/>
            </w:tcMar>
          </w:tcPr>
          <w:p w14:paraId="000008E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825" w:type="dxa"/>
            <w:tcBorders>
              <w:top w:val="nil"/>
              <w:left w:val="nil"/>
              <w:bottom w:val="nil"/>
              <w:right w:val="nil"/>
            </w:tcBorders>
            <w:tcMar>
              <w:top w:w="100" w:type="dxa"/>
              <w:left w:w="100" w:type="dxa"/>
              <w:bottom w:w="100" w:type="dxa"/>
              <w:right w:w="100" w:type="dxa"/>
            </w:tcMar>
          </w:tcPr>
          <w:p w14:paraId="000008E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1005" w:type="dxa"/>
            <w:tcBorders>
              <w:top w:val="nil"/>
              <w:left w:val="nil"/>
              <w:bottom w:val="nil"/>
              <w:right w:val="nil"/>
            </w:tcBorders>
            <w:tcMar>
              <w:top w:w="100" w:type="dxa"/>
              <w:left w:w="100" w:type="dxa"/>
              <w:bottom w:w="100" w:type="dxa"/>
              <w:right w:w="100" w:type="dxa"/>
            </w:tcMar>
          </w:tcPr>
          <w:p w14:paraId="000008E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825" w:type="dxa"/>
            <w:tcBorders>
              <w:top w:val="nil"/>
              <w:left w:val="nil"/>
              <w:bottom w:val="nil"/>
              <w:right w:val="nil"/>
            </w:tcBorders>
            <w:tcMar>
              <w:top w:w="100" w:type="dxa"/>
              <w:left w:w="100" w:type="dxa"/>
              <w:bottom w:w="100" w:type="dxa"/>
              <w:right w:w="100" w:type="dxa"/>
            </w:tcMar>
          </w:tcPr>
          <w:p w14:paraId="000008E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.23</w:t>
            </w:r>
          </w:p>
        </w:tc>
        <w:tc>
          <w:tcPr>
            <w:tcW w:w="765" w:type="dxa"/>
            <w:tcBorders>
              <w:top w:val="nil"/>
              <w:left w:val="nil"/>
              <w:bottom w:val="nil"/>
              <w:right w:val="nil"/>
            </w:tcBorders>
            <w:tcMar>
              <w:top w:w="100" w:type="dxa"/>
              <w:left w:w="100" w:type="dxa"/>
              <w:bottom w:w="100" w:type="dxa"/>
              <w:right w:w="100" w:type="dxa"/>
            </w:tcMar>
          </w:tcPr>
          <w:p w14:paraId="000008E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-.42</w:t>
            </w:r>
            <w:r>
              <w:rPr>
                <w:rFonts w:ascii="Times New Roman" w:eastAsia="Times New Roman" w:hAnsi="Times New Roman" w:cs="Times New Roman"/>
                <w:vertAlign w:val="superscript"/>
              </w:rPr>
              <w:t>*</w:t>
            </w:r>
          </w:p>
        </w:tc>
        <w:tc>
          <w:tcPr>
            <w:tcW w:w="840" w:type="dxa"/>
            <w:tcBorders>
              <w:top w:val="nil"/>
              <w:left w:val="nil"/>
              <w:bottom w:val="nil"/>
              <w:right w:val="nil"/>
            </w:tcBorders>
            <w:tcMar>
              <w:top w:w="100" w:type="dxa"/>
              <w:left w:w="100" w:type="dxa"/>
              <w:bottom w:w="100" w:type="dxa"/>
              <w:right w:w="100" w:type="dxa"/>
            </w:tcMar>
          </w:tcPr>
          <w:p w14:paraId="000008E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660" w:type="dxa"/>
            <w:tcBorders>
              <w:top w:val="nil"/>
              <w:left w:val="nil"/>
              <w:bottom w:val="nil"/>
              <w:right w:val="nil"/>
            </w:tcBorders>
            <w:tcMar>
              <w:top w:w="100" w:type="dxa"/>
              <w:left w:w="100" w:type="dxa"/>
              <w:bottom w:w="100" w:type="dxa"/>
              <w:right w:w="100" w:type="dxa"/>
            </w:tcMar>
          </w:tcPr>
          <w:p w14:paraId="000008F0"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.001</w:t>
            </w:r>
          </w:p>
        </w:tc>
        <w:tc>
          <w:tcPr>
            <w:tcW w:w="705" w:type="dxa"/>
            <w:tcBorders>
              <w:top w:val="nil"/>
              <w:left w:val="nil"/>
              <w:bottom w:val="nil"/>
              <w:right w:val="nil"/>
            </w:tcBorders>
            <w:tcMar>
              <w:top w:w="100" w:type="dxa"/>
              <w:left w:w="100" w:type="dxa"/>
              <w:bottom w:w="100" w:type="dxa"/>
              <w:right w:w="100" w:type="dxa"/>
            </w:tcMar>
          </w:tcPr>
          <w:p w14:paraId="000008F1" w14:textId="77777777" w:rsidR="00CB4215" w:rsidRDefault="00CB4215">
            <w:pPr>
              <w:spacing w:line="240" w:lineRule="auto"/>
              <w:rPr>
                <w:rFonts w:ascii="Times New Roman" w:eastAsia="Times New Roman" w:hAnsi="Times New Roman" w:cs="Times New Roman"/>
              </w:rPr>
            </w:pPr>
          </w:p>
        </w:tc>
        <w:tc>
          <w:tcPr>
            <w:tcW w:w="705" w:type="dxa"/>
            <w:tcBorders>
              <w:top w:val="nil"/>
              <w:left w:val="nil"/>
              <w:bottom w:val="nil"/>
              <w:right w:val="nil"/>
            </w:tcBorders>
            <w:tcMar>
              <w:top w:w="100" w:type="dxa"/>
              <w:left w:w="100" w:type="dxa"/>
              <w:bottom w:w="100" w:type="dxa"/>
              <w:right w:w="100" w:type="dxa"/>
            </w:tcMar>
          </w:tcPr>
          <w:p w14:paraId="000008F2"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8F3" w14:textId="77777777" w:rsidR="00CB4215" w:rsidRDefault="00CB4215">
            <w:pPr>
              <w:spacing w:line="240" w:lineRule="auto"/>
              <w:rPr>
                <w:rFonts w:ascii="Times New Roman" w:eastAsia="Times New Roman" w:hAnsi="Times New Roman" w:cs="Times New Roman"/>
              </w:rPr>
            </w:pPr>
          </w:p>
        </w:tc>
      </w:tr>
      <w:tr w:rsidR="00CB4215" w14:paraId="7BCD7463" w14:textId="77777777">
        <w:trPr>
          <w:trHeight w:val="25"/>
        </w:trPr>
        <w:tc>
          <w:tcPr>
            <w:tcW w:w="3180" w:type="dxa"/>
            <w:tcBorders>
              <w:top w:val="nil"/>
              <w:left w:val="nil"/>
              <w:bottom w:val="nil"/>
              <w:right w:val="nil"/>
            </w:tcBorders>
            <w:tcMar>
              <w:top w:w="100" w:type="dxa"/>
              <w:left w:w="100" w:type="dxa"/>
              <w:bottom w:w="100" w:type="dxa"/>
              <w:right w:w="100" w:type="dxa"/>
            </w:tcMar>
          </w:tcPr>
          <w:p w14:paraId="000008F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12. Ideal portion size</w:t>
            </w:r>
          </w:p>
        </w:tc>
        <w:tc>
          <w:tcPr>
            <w:tcW w:w="900" w:type="dxa"/>
            <w:tcBorders>
              <w:top w:val="nil"/>
              <w:left w:val="nil"/>
              <w:bottom w:val="nil"/>
              <w:right w:val="nil"/>
            </w:tcBorders>
            <w:tcMar>
              <w:top w:w="100" w:type="dxa"/>
              <w:left w:w="100" w:type="dxa"/>
              <w:bottom w:w="100" w:type="dxa"/>
              <w:right w:w="100" w:type="dxa"/>
            </w:tcMar>
          </w:tcPr>
          <w:p w14:paraId="000008F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975" w:type="dxa"/>
            <w:tcBorders>
              <w:top w:val="nil"/>
              <w:left w:val="nil"/>
              <w:bottom w:val="nil"/>
              <w:right w:val="nil"/>
            </w:tcBorders>
            <w:tcMar>
              <w:top w:w="100" w:type="dxa"/>
              <w:left w:w="100" w:type="dxa"/>
              <w:bottom w:w="100" w:type="dxa"/>
              <w:right w:w="100" w:type="dxa"/>
            </w:tcMar>
          </w:tcPr>
          <w:p w14:paraId="000008F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1035" w:type="dxa"/>
            <w:tcBorders>
              <w:top w:val="nil"/>
              <w:left w:val="nil"/>
              <w:bottom w:val="nil"/>
              <w:right w:val="nil"/>
            </w:tcBorders>
            <w:tcMar>
              <w:top w:w="100" w:type="dxa"/>
              <w:left w:w="100" w:type="dxa"/>
              <w:bottom w:w="100" w:type="dxa"/>
              <w:right w:w="100" w:type="dxa"/>
            </w:tcMar>
          </w:tcPr>
          <w:p w14:paraId="000008F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-.13</w:t>
            </w:r>
          </w:p>
        </w:tc>
        <w:tc>
          <w:tcPr>
            <w:tcW w:w="1005" w:type="dxa"/>
            <w:tcBorders>
              <w:top w:val="nil"/>
              <w:left w:val="nil"/>
              <w:bottom w:val="nil"/>
              <w:right w:val="nil"/>
            </w:tcBorders>
            <w:tcMar>
              <w:top w:w="100" w:type="dxa"/>
              <w:left w:w="100" w:type="dxa"/>
              <w:bottom w:w="100" w:type="dxa"/>
              <w:right w:w="100" w:type="dxa"/>
            </w:tcMar>
          </w:tcPr>
          <w:p w14:paraId="000008F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825" w:type="dxa"/>
            <w:tcBorders>
              <w:top w:val="nil"/>
              <w:left w:val="nil"/>
              <w:bottom w:val="nil"/>
              <w:right w:val="nil"/>
            </w:tcBorders>
            <w:tcMar>
              <w:top w:w="100" w:type="dxa"/>
              <w:left w:w="100" w:type="dxa"/>
              <w:bottom w:w="100" w:type="dxa"/>
              <w:right w:w="100" w:type="dxa"/>
            </w:tcMar>
          </w:tcPr>
          <w:p w14:paraId="000008F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.33</w:t>
            </w:r>
          </w:p>
        </w:tc>
        <w:tc>
          <w:tcPr>
            <w:tcW w:w="1005" w:type="dxa"/>
            <w:tcBorders>
              <w:top w:val="nil"/>
              <w:left w:val="nil"/>
              <w:bottom w:val="nil"/>
              <w:right w:val="nil"/>
            </w:tcBorders>
            <w:tcMar>
              <w:top w:w="100" w:type="dxa"/>
              <w:left w:w="100" w:type="dxa"/>
              <w:bottom w:w="100" w:type="dxa"/>
              <w:right w:w="100" w:type="dxa"/>
            </w:tcMar>
          </w:tcPr>
          <w:p w14:paraId="000008F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825" w:type="dxa"/>
            <w:tcBorders>
              <w:top w:val="nil"/>
              <w:left w:val="nil"/>
              <w:bottom w:val="nil"/>
              <w:right w:val="nil"/>
            </w:tcBorders>
            <w:tcMar>
              <w:top w:w="100" w:type="dxa"/>
              <w:left w:w="100" w:type="dxa"/>
              <w:bottom w:w="100" w:type="dxa"/>
              <w:right w:w="100" w:type="dxa"/>
            </w:tcMar>
          </w:tcPr>
          <w:p w14:paraId="000008F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.04</w:t>
            </w:r>
          </w:p>
        </w:tc>
        <w:tc>
          <w:tcPr>
            <w:tcW w:w="765" w:type="dxa"/>
            <w:tcBorders>
              <w:top w:val="nil"/>
              <w:left w:val="nil"/>
              <w:bottom w:val="nil"/>
              <w:right w:val="nil"/>
            </w:tcBorders>
            <w:tcMar>
              <w:top w:w="100" w:type="dxa"/>
              <w:left w:w="100" w:type="dxa"/>
              <w:bottom w:w="100" w:type="dxa"/>
              <w:right w:w="100" w:type="dxa"/>
            </w:tcMar>
          </w:tcPr>
          <w:p w14:paraId="000008F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.23</w:t>
            </w:r>
          </w:p>
        </w:tc>
        <w:tc>
          <w:tcPr>
            <w:tcW w:w="840" w:type="dxa"/>
            <w:tcBorders>
              <w:top w:val="nil"/>
              <w:left w:val="nil"/>
              <w:bottom w:val="nil"/>
              <w:right w:val="nil"/>
            </w:tcBorders>
            <w:tcMar>
              <w:top w:w="100" w:type="dxa"/>
              <w:left w:w="100" w:type="dxa"/>
              <w:bottom w:w="100" w:type="dxa"/>
              <w:right w:w="100" w:type="dxa"/>
            </w:tcMar>
          </w:tcPr>
          <w:p w14:paraId="000008F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-.35</w:t>
            </w:r>
          </w:p>
        </w:tc>
        <w:tc>
          <w:tcPr>
            <w:tcW w:w="660" w:type="dxa"/>
            <w:tcBorders>
              <w:top w:val="nil"/>
              <w:left w:val="nil"/>
              <w:bottom w:val="nil"/>
              <w:right w:val="nil"/>
            </w:tcBorders>
            <w:tcMar>
              <w:top w:w="100" w:type="dxa"/>
              <w:left w:w="100" w:type="dxa"/>
              <w:bottom w:w="100" w:type="dxa"/>
              <w:right w:w="100" w:type="dxa"/>
            </w:tcMar>
          </w:tcPr>
          <w:p w14:paraId="000008F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-.09</w:t>
            </w:r>
          </w:p>
        </w:tc>
        <w:tc>
          <w:tcPr>
            <w:tcW w:w="705" w:type="dxa"/>
            <w:tcBorders>
              <w:top w:val="nil"/>
              <w:left w:val="nil"/>
              <w:bottom w:val="nil"/>
              <w:right w:val="nil"/>
            </w:tcBorders>
            <w:tcMar>
              <w:top w:w="100" w:type="dxa"/>
              <w:left w:w="100" w:type="dxa"/>
              <w:bottom w:w="100" w:type="dxa"/>
              <w:right w:w="100" w:type="dxa"/>
            </w:tcMar>
          </w:tcPr>
          <w:p w14:paraId="000008F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-.28</w:t>
            </w:r>
          </w:p>
        </w:tc>
        <w:tc>
          <w:tcPr>
            <w:tcW w:w="705" w:type="dxa"/>
            <w:tcBorders>
              <w:top w:val="nil"/>
              <w:left w:val="nil"/>
              <w:bottom w:val="nil"/>
              <w:right w:val="nil"/>
            </w:tcBorders>
            <w:tcMar>
              <w:top w:w="100" w:type="dxa"/>
              <w:left w:w="100" w:type="dxa"/>
              <w:bottom w:w="100" w:type="dxa"/>
              <w:right w:w="100" w:type="dxa"/>
            </w:tcMar>
          </w:tcPr>
          <w:p w14:paraId="00000900" w14:textId="77777777" w:rsidR="00CB4215" w:rsidRDefault="00CB4215">
            <w:pPr>
              <w:spacing w:line="240" w:lineRule="auto"/>
              <w:rPr>
                <w:rFonts w:ascii="Times New Roman" w:eastAsia="Times New Roman" w:hAnsi="Times New Roman" w:cs="Times New Roman"/>
              </w:rPr>
            </w:pPr>
          </w:p>
        </w:tc>
        <w:tc>
          <w:tcPr>
            <w:tcW w:w="510" w:type="dxa"/>
            <w:tcBorders>
              <w:top w:val="nil"/>
              <w:left w:val="nil"/>
              <w:bottom w:val="nil"/>
              <w:right w:val="nil"/>
            </w:tcBorders>
            <w:tcMar>
              <w:top w:w="100" w:type="dxa"/>
              <w:left w:w="100" w:type="dxa"/>
              <w:bottom w:w="100" w:type="dxa"/>
              <w:right w:w="100" w:type="dxa"/>
            </w:tcMar>
          </w:tcPr>
          <w:p w14:paraId="00000901" w14:textId="77777777" w:rsidR="00CB4215" w:rsidRDefault="00CB4215">
            <w:pPr>
              <w:spacing w:line="240" w:lineRule="auto"/>
              <w:rPr>
                <w:rFonts w:ascii="Times New Roman" w:eastAsia="Times New Roman" w:hAnsi="Times New Roman" w:cs="Times New Roman"/>
              </w:rPr>
            </w:pPr>
          </w:p>
        </w:tc>
      </w:tr>
      <w:tr w:rsidR="00CB4215" w14:paraId="13F6E6FD" w14:textId="77777777">
        <w:trPr>
          <w:trHeight w:val="25"/>
        </w:trPr>
        <w:tc>
          <w:tcPr>
            <w:tcW w:w="3180" w:type="dxa"/>
            <w:tcBorders>
              <w:top w:val="nil"/>
              <w:left w:val="nil"/>
              <w:bottom w:val="single" w:sz="8" w:space="0" w:color="000000"/>
              <w:right w:val="nil"/>
            </w:tcBorders>
            <w:tcMar>
              <w:top w:w="100" w:type="dxa"/>
              <w:left w:w="100" w:type="dxa"/>
              <w:bottom w:w="100" w:type="dxa"/>
              <w:right w:w="100" w:type="dxa"/>
            </w:tcMar>
          </w:tcPr>
          <w:p w14:paraId="00000902"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13. Perceived stress</w:t>
            </w:r>
          </w:p>
        </w:tc>
        <w:tc>
          <w:tcPr>
            <w:tcW w:w="900" w:type="dxa"/>
            <w:tcBorders>
              <w:top w:val="nil"/>
              <w:left w:val="nil"/>
              <w:bottom w:val="single" w:sz="8" w:space="0" w:color="000000"/>
              <w:right w:val="nil"/>
            </w:tcBorders>
            <w:tcMar>
              <w:top w:w="100" w:type="dxa"/>
              <w:left w:w="100" w:type="dxa"/>
              <w:bottom w:w="100" w:type="dxa"/>
              <w:right w:w="100" w:type="dxa"/>
            </w:tcMar>
          </w:tcPr>
          <w:p w14:paraId="00000903"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975" w:type="dxa"/>
            <w:tcBorders>
              <w:top w:val="nil"/>
              <w:left w:val="nil"/>
              <w:bottom w:val="single" w:sz="8" w:space="0" w:color="000000"/>
              <w:right w:val="nil"/>
            </w:tcBorders>
            <w:tcMar>
              <w:top w:w="100" w:type="dxa"/>
              <w:left w:w="100" w:type="dxa"/>
              <w:bottom w:w="100" w:type="dxa"/>
              <w:right w:w="100" w:type="dxa"/>
            </w:tcMar>
          </w:tcPr>
          <w:p w14:paraId="00000904"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.03</w:t>
            </w:r>
          </w:p>
        </w:tc>
        <w:tc>
          <w:tcPr>
            <w:tcW w:w="1035" w:type="dxa"/>
            <w:tcBorders>
              <w:top w:val="nil"/>
              <w:left w:val="nil"/>
              <w:bottom w:val="single" w:sz="8" w:space="0" w:color="000000"/>
              <w:right w:val="nil"/>
            </w:tcBorders>
            <w:tcMar>
              <w:top w:w="100" w:type="dxa"/>
              <w:left w:w="100" w:type="dxa"/>
              <w:bottom w:w="100" w:type="dxa"/>
              <w:right w:w="100" w:type="dxa"/>
            </w:tcMar>
          </w:tcPr>
          <w:p w14:paraId="00000905"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.04</w:t>
            </w:r>
          </w:p>
        </w:tc>
        <w:tc>
          <w:tcPr>
            <w:tcW w:w="1005" w:type="dxa"/>
            <w:tcBorders>
              <w:top w:val="nil"/>
              <w:left w:val="nil"/>
              <w:bottom w:val="single" w:sz="8" w:space="0" w:color="000000"/>
              <w:right w:val="nil"/>
            </w:tcBorders>
            <w:tcMar>
              <w:top w:w="100" w:type="dxa"/>
              <w:left w:w="100" w:type="dxa"/>
              <w:bottom w:w="100" w:type="dxa"/>
              <w:right w:w="100" w:type="dxa"/>
            </w:tcMar>
          </w:tcPr>
          <w:p w14:paraId="00000906"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-.23</w:t>
            </w:r>
          </w:p>
        </w:tc>
        <w:tc>
          <w:tcPr>
            <w:tcW w:w="825" w:type="dxa"/>
            <w:tcBorders>
              <w:top w:val="nil"/>
              <w:left w:val="nil"/>
              <w:bottom w:val="single" w:sz="8" w:space="0" w:color="000000"/>
              <w:right w:val="nil"/>
            </w:tcBorders>
            <w:tcMar>
              <w:top w:w="100" w:type="dxa"/>
              <w:left w:w="100" w:type="dxa"/>
              <w:bottom w:w="100" w:type="dxa"/>
              <w:right w:w="100" w:type="dxa"/>
            </w:tcMar>
          </w:tcPr>
          <w:p w14:paraId="00000907"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1005" w:type="dxa"/>
            <w:tcBorders>
              <w:top w:val="nil"/>
              <w:left w:val="nil"/>
              <w:bottom w:val="single" w:sz="8" w:space="0" w:color="000000"/>
              <w:right w:val="nil"/>
            </w:tcBorders>
            <w:tcMar>
              <w:top w:w="100" w:type="dxa"/>
              <w:left w:w="100" w:type="dxa"/>
              <w:bottom w:w="100" w:type="dxa"/>
              <w:right w:w="100" w:type="dxa"/>
            </w:tcMar>
          </w:tcPr>
          <w:p w14:paraId="00000908"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825" w:type="dxa"/>
            <w:tcBorders>
              <w:top w:val="nil"/>
              <w:left w:val="nil"/>
              <w:bottom w:val="single" w:sz="8" w:space="0" w:color="000000"/>
              <w:right w:val="nil"/>
            </w:tcBorders>
            <w:tcMar>
              <w:top w:w="100" w:type="dxa"/>
              <w:left w:w="100" w:type="dxa"/>
              <w:bottom w:w="100" w:type="dxa"/>
              <w:right w:w="100" w:type="dxa"/>
            </w:tcMar>
          </w:tcPr>
          <w:p w14:paraId="00000909"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-.05</w:t>
            </w:r>
          </w:p>
        </w:tc>
        <w:tc>
          <w:tcPr>
            <w:tcW w:w="765" w:type="dxa"/>
            <w:tcBorders>
              <w:top w:val="nil"/>
              <w:left w:val="nil"/>
              <w:bottom w:val="single" w:sz="8" w:space="0" w:color="000000"/>
              <w:right w:val="nil"/>
            </w:tcBorders>
            <w:tcMar>
              <w:top w:w="100" w:type="dxa"/>
              <w:left w:w="100" w:type="dxa"/>
              <w:bottom w:w="100" w:type="dxa"/>
              <w:right w:w="100" w:type="dxa"/>
            </w:tcMar>
          </w:tcPr>
          <w:p w14:paraId="0000090A"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840" w:type="dxa"/>
            <w:tcBorders>
              <w:top w:val="nil"/>
              <w:left w:val="nil"/>
              <w:bottom w:val="single" w:sz="8" w:space="0" w:color="000000"/>
              <w:right w:val="nil"/>
            </w:tcBorders>
            <w:tcMar>
              <w:top w:w="100" w:type="dxa"/>
              <w:left w:w="100" w:type="dxa"/>
              <w:bottom w:w="100" w:type="dxa"/>
              <w:right w:w="100" w:type="dxa"/>
            </w:tcMar>
          </w:tcPr>
          <w:p w14:paraId="0000090B"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-.46</w:t>
            </w:r>
            <w:r>
              <w:rPr>
                <w:rFonts w:ascii="Times New Roman" w:eastAsia="Times New Roman" w:hAnsi="Times New Roman" w:cs="Times New Roman"/>
                <w:vertAlign w:val="superscript"/>
              </w:rPr>
              <w:t>*</w:t>
            </w:r>
          </w:p>
        </w:tc>
        <w:tc>
          <w:tcPr>
            <w:tcW w:w="660" w:type="dxa"/>
            <w:tcBorders>
              <w:top w:val="nil"/>
              <w:left w:val="nil"/>
              <w:bottom w:val="single" w:sz="8" w:space="0" w:color="000000"/>
              <w:right w:val="nil"/>
            </w:tcBorders>
            <w:tcMar>
              <w:top w:w="100" w:type="dxa"/>
              <w:left w:w="100" w:type="dxa"/>
              <w:bottom w:w="100" w:type="dxa"/>
              <w:right w:w="100" w:type="dxa"/>
            </w:tcMar>
          </w:tcPr>
          <w:p w14:paraId="0000090C"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.24</w:t>
            </w:r>
          </w:p>
        </w:tc>
        <w:tc>
          <w:tcPr>
            <w:tcW w:w="705" w:type="dxa"/>
            <w:tcBorders>
              <w:top w:val="nil"/>
              <w:left w:val="nil"/>
              <w:bottom w:val="single" w:sz="8" w:space="0" w:color="000000"/>
              <w:right w:val="nil"/>
            </w:tcBorders>
            <w:tcMar>
              <w:top w:w="100" w:type="dxa"/>
              <w:left w:w="100" w:type="dxa"/>
              <w:bottom w:w="100" w:type="dxa"/>
              <w:right w:w="100" w:type="dxa"/>
            </w:tcMar>
          </w:tcPr>
          <w:p w14:paraId="0000090D"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.08</w:t>
            </w:r>
          </w:p>
        </w:tc>
        <w:tc>
          <w:tcPr>
            <w:tcW w:w="705" w:type="dxa"/>
            <w:tcBorders>
              <w:top w:val="nil"/>
              <w:left w:val="nil"/>
              <w:bottom w:val="single" w:sz="8" w:space="0" w:color="000000"/>
              <w:right w:val="nil"/>
            </w:tcBorders>
            <w:tcMar>
              <w:top w:w="100" w:type="dxa"/>
              <w:left w:w="100" w:type="dxa"/>
              <w:bottom w:w="100" w:type="dxa"/>
              <w:right w:w="100" w:type="dxa"/>
            </w:tcMar>
          </w:tcPr>
          <w:p w14:paraId="0000090E"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510" w:type="dxa"/>
            <w:tcBorders>
              <w:top w:val="nil"/>
              <w:left w:val="nil"/>
              <w:bottom w:val="single" w:sz="8" w:space="0" w:color="000000"/>
              <w:right w:val="nil"/>
            </w:tcBorders>
            <w:tcMar>
              <w:top w:w="100" w:type="dxa"/>
              <w:left w:w="100" w:type="dxa"/>
              <w:bottom w:w="100" w:type="dxa"/>
              <w:right w:w="100" w:type="dxa"/>
            </w:tcMar>
          </w:tcPr>
          <w:p w14:paraId="0000090F" w14:textId="77777777" w:rsidR="00CB4215" w:rsidRDefault="000530B4">
            <w:pPr>
              <w:spacing w:line="240" w:lineRule="auto"/>
              <w:rPr>
                <w:rFonts w:ascii="Times New Roman" w:eastAsia="Times New Roman" w:hAnsi="Times New Roman" w:cs="Times New Roman"/>
              </w:rPr>
            </w:pPr>
            <w:r>
              <w:rPr>
                <w:rFonts w:ascii="Times New Roman" w:eastAsia="Times New Roman" w:hAnsi="Times New Roman" w:cs="Times New Roman"/>
              </w:rPr>
              <w:t>1</w:t>
            </w:r>
          </w:p>
        </w:tc>
      </w:tr>
    </w:tbl>
    <w:p w14:paraId="00000910"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Note.</w:t>
      </w:r>
      <w:r>
        <w:rPr>
          <w:rFonts w:ascii="Times New Roman" w:eastAsia="Times New Roman" w:hAnsi="Times New Roman" w:cs="Times New Roman"/>
          <w:sz w:val="20"/>
          <w:szCs w:val="20"/>
        </w:rPr>
        <w:t xml:space="preserve"> MVPA: moderate to vigorous physical activity per day.</w:t>
      </w:r>
    </w:p>
    <w:p w14:paraId="00000911"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 associations are in bold and highlighted.</w:t>
      </w:r>
    </w:p>
    <w:p w14:paraId="00000912"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826B9">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 xml:space="preserve"> &lt; .05.</w:t>
      </w:r>
    </w:p>
    <w:p w14:paraId="00000913"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826B9">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 xml:space="preserve"> &lt; .01.</w:t>
      </w:r>
    </w:p>
    <w:p w14:paraId="00000914" w14:textId="77777777" w:rsidR="00CB4215" w:rsidRDefault="000530B4">
      <w:pPr>
        <w:spacing w:line="240" w:lineRule="auto"/>
        <w:rPr>
          <w:rFonts w:ascii="Times New Roman" w:eastAsia="Times New Roman" w:hAnsi="Times New Roman" w:cs="Times New Roman"/>
          <w:sz w:val="20"/>
          <w:szCs w:val="20"/>
        </w:rPr>
        <w:sectPr w:rsidR="00CB4215">
          <w:pgSz w:w="16834" w:h="11909" w:orient="landscape"/>
          <w:pgMar w:top="1440" w:right="1440" w:bottom="1440" w:left="1440" w:header="720" w:footer="720" w:gutter="0"/>
          <w:cols w:space="720"/>
        </w:sectPr>
      </w:pPr>
      <w:r>
        <w:rPr>
          <w:rFonts w:ascii="Times New Roman" w:eastAsia="Times New Roman" w:hAnsi="Times New Roman" w:cs="Times New Roman"/>
          <w:sz w:val="20"/>
          <w:szCs w:val="20"/>
        </w:rPr>
        <w:t>***</w:t>
      </w:r>
      <w:r w:rsidRPr="001826B9">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 xml:space="preserve"> &lt; .001</w:t>
      </w:r>
    </w:p>
    <w:p w14:paraId="00000915"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5.4.5 Comparison of health behaviours between early versus late evening eaters</w:t>
      </w:r>
    </w:p>
    <w:p w14:paraId="00000916" w14:textId="77777777" w:rsidR="00CB4215" w:rsidRDefault="00CB4215"/>
    <w:p w14:paraId="00000917" w14:textId="51B0598B"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5.6 shows the health </w:t>
      </w:r>
      <w:r w:rsidRPr="00D03B56">
        <w:rPr>
          <w:rFonts w:ascii="Times New Roman" w:eastAsia="Times New Roman" w:hAnsi="Times New Roman" w:cs="Times New Roman"/>
          <w:sz w:val="24"/>
          <w:szCs w:val="24"/>
        </w:rPr>
        <w:t>behaviours for early eaters and late eaters. Preliminary results showed that late eaters consumed significantly less %protein (</w:t>
      </w:r>
      <w:r w:rsidRPr="00D03B56">
        <w:rPr>
          <w:rFonts w:ascii="Times New Roman" w:eastAsia="Times New Roman" w:hAnsi="Times New Roman" w:cs="Times New Roman"/>
          <w:i/>
          <w:sz w:val="24"/>
          <w:szCs w:val="24"/>
        </w:rPr>
        <w:t>p</w:t>
      </w:r>
      <w:r w:rsidRPr="00D03B56">
        <w:rPr>
          <w:rFonts w:ascii="Times New Roman" w:eastAsia="Times New Roman" w:hAnsi="Times New Roman" w:cs="Times New Roman"/>
          <w:sz w:val="24"/>
          <w:szCs w:val="24"/>
        </w:rPr>
        <w:t xml:space="preserve"> = .003, </w:t>
      </w:r>
      <w:r w:rsidRPr="00D03B56">
        <w:rPr>
          <w:rFonts w:ascii="Times New Roman" w:eastAsia="Times New Roman" w:hAnsi="Times New Roman" w:cs="Times New Roman"/>
          <w:i/>
          <w:sz w:val="24"/>
          <w:szCs w:val="24"/>
        </w:rPr>
        <w:t>ŋp</w:t>
      </w:r>
      <w:r w:rsidRPr="00D03B56">
        <w:rPr>
          <w:rFonts w:ascii="Times New Roman" w:eastAsia="Times New Roman" w:hAnsi="Times New Roman" w:cs="Times New Roman"/>
          <w:i/>
          <w:sz w:val="24"/>
          <w:szCs w:val="24"/>
          <w:vertAlign w:val="superscript"/>
        </w:rPr>
        <w:t>2</w:t>
      </w:r>
      <w:r w:rsidR="00AC014F" w:rsidRPr="00D03B56">
        <w:rPr>
          <w:rFonts w:ascii="Times New Roman" w:eastAsia="Times New Roman" w:hAnsi="Times New Roman" w:cs="Times New Roman"/>
          <w:i/>
          <w:sz w:val="24"/>
          <w:szCs w:val="24"/>
          <w:vertAlign w:val="superscript"/>
        </w:rPr>
        <w:t xml:space="preserve"> </w:t>
      </w:r>
      <w:r w:rsidRPr="00D03B56">
        <w:rPr>
          <w:rFonts w:ascii="Times New Roman" w:eastAsia="Times New Roman" w:hAnsi="Times New Roman" w:cs="Times New Roman"/>
          <w:sz w:val="24"/>
          <w:szCs w:val="24"/>
        </w:rPr>
        <w:t>=</w:t>
      </w:r>
      <w:r w:rsidR="00AC014F" w:rsidRPr="00D03B56">
        <w:rPr>
          <w:rFonts w:ascii="Times New Roman" w:eastAsia="Times New Roman" w:hAnsi="Times New Roman" w:cs="Times New Roman"/>
          <w:sz w:val="24"/>
          <w:szCs w:val="24"/>
        </w:rPr>
        <w:t xml:space="preserve"> </w:t>
      </w:r>
      <w:r w:rsidRPr="00D03B56">
        <w:rPr>
          <w:rFonts w:ascii="Times New Roman" w:eastAsia="Times New Roman" w:hAnsi="Times New Roman" w:cs="Times New Roman"/>
          <w:sz w:val="24"/>
          <w:szCs w:val="24"/>
        </w:rPr>
        <w:t>.33) intake and reported poorer dietary quality (</w:t>
      </w:r>
      <w:r w:rsidRPr="00D03B56">
        <w:rPr>
          <w:rFonts w:ascii="Times New Roman" w:eastAsia="Times New Roman" w:hAnsi="Times New Roman" w:cs="Times New Roman"/>
          <w:i/>
          <w:sz w:val="24"/>
          <w:szCs w:val="24"/>
        </w:rPr>
        <w:t>p</w:t>
      </w:r>
      <w:r w:rsidRPr="00D03B56">
        <w:rPr>
          <w:rFonts w:ascii="Times New Roman" w:eastAsia="Times New Roman" w:hAnsi="Times New Roman" w:cs="Times New Roman"/>
          <w:sz w:val="24"/>
          <w:szCs w:val="24"/>
        </w:rPr>
        <w:t xml:space="preserve"> = .04, </w:t>
      </w:r>
      <w:r w:rsidRPr="00D03B56">
        <w:rPr>
          <w:rFonts w:ascii="Times New Roman" w:eastAsia="Times New Roman" w:hAnsi="Times New Roman" w:cs="Times New Roman"/>
          <w:i/>
          <w:sz w:val="24"/>
          <w:szCs w:val="24"/>
        </w:rPr>
        <w:t>ŋp</w:t>
      </w:r>
      <w:r w:rsidRPr="00D03B56">
        <w:rPr>
          <w:rFonts w:ascii="Times New Roman" w:eastAsia="Times New Roman" w:hAnsi="Times New Roman" w:cs="Times New Roman"/>
          <w:i/>
          <w:sz w:val="24"/>
          <w:szCs w:val="24"/>
          <w:vertAlign w:val="superscript"/>
        </w:rPr>
        <w:t>2</w:t>
      </w:r>
      <w:r w:rsidR="00AC014F" w:rsidRPr="00D03B56">
        <w:rPr>
          <w:rFonts w:ascii="Times New Roman" w:eastAsia="Times New Roman" w:hAnsi="Times New Roman" w:cs="Times New Roman"/>
          <w:i/>
          <w:sz w:val="24"/>
          <w:szCs w:val="24"/>
          <w:vertAlign w:val="superscript"/>
        </w:rPr>
        <w:t xml:space="preserve"> </w:t>
      </w:r>
      <w:r w:rsidRPr="00D03B56">
        <w:rPr>
          <w:rFonts w:ascii="Times New Roman" w:eastAsia="Times New Roman" w:hAnsi="Times New Roman" w:cs="Times New Roman"/>
          <w:sz w:val="24"/>
          <w:szCs w:val="24"/>
        </w:rPr>
        <w:t>=</w:t>
      </w:r>
      <w:r w:rsidR="00AC014F" w:rsidRPr="00D03B56">
        <w:rPr>
          <w:rFonts w:ascii="Times New Roman" w:eastAsia="Times New Roman" w:hAnsi="Times New Roman" w:cs="Times New Roman"/>
          <w:sz w:val="24"/>
          <w:szCs w:val="24"/>
        </w:rPr>
        <w:t xml:space="preserve"> </w:t>
      </w:r>
      <w:r w:rsidRPr="00D03B56">
        <w:rPr>
          <w:rFonts w:ascii="Times New Roman" w:eastAsia="Times New Roman" w:hAnsi="Times New Roman" w:cs="Times New Roman"/>
          <w:sz w:val="24"/>
          <w:szCs w:val="24"/>
        </w:rPr>
        <w:t>.15) than early eaters. Other health behaviours did not significantly differ between early eaters</w:t>
      </w:r>
      <w:r w:rsidRPr="001E7D67">
        <w:rPr>
          <w:rFonts w:ascii="Times New Roman" w:eastAsia="Times New Roman" w:hAnsi="Times New Roman" w:cs="Times New Roman"/>
          <w:sz w:val="24"/>
          <w:szCs w:val="24"/>
        </w:rPr>
        <w:t xml:space="preserve"> and late eaters, including</w:t>
      </w:r>
      <w:r>
        <w:rPr>
          <w:rFonts w:ascii="Times New Roman" w:eastAsia="Times New Roman" w:hAnsi="Times New Roman" w:cs="Times New Roman"/>
          <w:sz w:val="24"/>
          <w:szCs w:val="24"/>
        </w:rPr>
        <w:t xml:space="preserve"> energy expenditure, MVPA, step count, sleep time, sleep duration, energy intake, ideal portion size and perceived stress (largest </w:t>
      </w:r>
      <w:r>
        <w:rPr>
          <w:rFonts w:ascii="Times New Roman" w:eastAsia="Times New Roman" w:hAnsi="Times New Roman" w:cs="Times New Roman"/>
          <w:i/>
          <w:sz w:val="24"/>
          <w:szCs w:val="24"/>
        </w:rPr>
        <w:t>ŋp</w:t>
      </w:r>
      <w:r>
        <w:rPr>
          <w:rFonts w:ascii="Times New Roman" w:eastAsia="Times New Roman" w:hAnsi="Times New Roman" w:cs="Times New Roman"/>
          <w:sz w:val="24"/>
          <w:szCs w:val="24"/>
          <w:vertAlign w:val="superscript"/>
        </w:rPr>
        <w:t>2</w:t>
      </w:r>
      <w:r w:rsidR="00AC014F">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t>
      </w:r>
      <w:r w:rsidR="00AC01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.06).</w:t>
      </w:r>
    </w:p>
    <w:p w14:paraId="00000918" w14:textId="77777777" w:rsidR="00CB4215" w:rsidRDefault="00CB4215">
      <w:pPr>
        <w:spacing w:line="480" w:lineRule="auto"/>
        <w:rPr>
          <w:rFonts w:ascii="Times New Roman" w:eastAsia="Times New Roman" w:hAnsi="Times New Roman" w:cs="Times New Roman"/>
          <w:sz w:val="24"/>
          <w:szCs w:val="24"/>
        </w:rPr>
      </w:pPr>
    </w:p>
    <w:p w14:paraId="00000919" w14:textId="43B4C1B2"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100" w:name="_heading=h.1gf8i83" w:colFirst="0" w:colLast="0"/>
      <w:bookmarkEnd w:id="100"/>
      <w:r>
        <w:rPr>
          <w:rFonts w:ascii="Times New Roman" w:eastAsia="Times New Roman" w:hAnsi="Times New Roman" w:cs="Times New Roman"/>
          <w:i/>
          <w:color w:val="000000"/>
          <w:sz w:val="20"/>
          <w:szCs w:val="20"/>
        </w:rPr>
        <w:t xml:space="preserve">Table 5.6. </w:t>
      </w:r>
      <w:r>
        <w:rPr>
          <w:rFonts w:ascii="Times New Roman" w:eastAsia="Times New Roman" w:hAnsi="Times New Roman" w:cs="Times New Roman"/>
          <w:color w:val="000000"/>
          <w:sz w:val="20"/>
          <w:szCs w:val="20"/>
        </w:rPr>
        <w:t xml:space="preserve">Comparison of BMI and eating behaviour traits in early </w:t>
      </w:r>
      <w:r w:rsidR="001E7D67">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z w:val="20"/>
          <w:szCs w:val="20"/>
        </w:rPr>
        <w:t xml:space="preserve"> late eaters.</w:t>
      </w:r>
    </w:p>
    <w:tbl>
      <w:tblPr>
        <w:tblStyle w:val="af0"/>
        <w:tblW w:w="8937" w:type="dxa"/>
        <w:tblLayout w:type="fixed"/>
        <w:tblLook w:val="0600" w:firstRow="0" w:lastRow="0" w:firstColumn="0" w:lastColumn="0" w:noHBand="1" w:noVBand="1"/>
      </w:tblPr>
      <w:tblGrid>
        <w:gridCol w:w="2835"/>
        <w:gridCol w:w="1276"/>
        <w:gridCol w:w="1134"/>
        <w:gridCol w:w="1276"/>
        <w:gridCol w:w="1276"/>
        <w:gridCol w:w="1140"/>
      </w:tblGrid>
      <w:tr w:rsidR="00CB4215" w14:paraId="0208367B" w14:textId="77777777" w:rsidTr="00C37F60">
        <w:trPr>
          <w:trHeight w:val="190"/>
        </w:trPr>
        <w:tc>
          <w:tcPr>
            <w:tcW w:w="4111" w:type="dxa"/>
            <w:gridSpan w:val="2"/>
            <w:tcBorders>
              <w:top w:val="single" w:sz="4" w:space="0" w:color="000000"/>
              <w:left w:val="nil"/>
              <w:right w:val="nil"/>
            </w:tcBorders>
            <w:tcMar>
              <w:top w:w="100" w:type="dxa"/>
              <w:left w:w="100" w:type="dxa"/>
              <w:bottom w:w="100" w:type="dxa"/>
              <w:right w:w="100" w:type="dxa"/>
            </w:tcMar>
          </w:tcPr>
          <w:p w14:paraId="0000091A" w14:textId="77777777" w:rsidR="00CB4215" w:rsidRDefault="00CB4215">
            <w:pPr>
              <w:widowControl w:val="0"/>
              <w:spacing w:line="240" w:lineRule="auto"/>
              <w:rPr>
                <w:rFonts w:ascii="Times New Roman" w:eastAsia="Times New Roman" w:hAnsi="Times New Roman" w:cs="Times New Roman"/>
              </w:rPr>
            </w:pPr>
          </w:p>
        </w:tc>
        <w:tc>
          <w:tcPr>
            <w:tcW w:w="241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91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Early eater (n = 12)</w:t>
            </w:r>
          </w:p>
        </w:tc>
        <w:tc>
          <w:tcPr>
            <w:tcW w:w="2416"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091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Late eater (n = 17)</w:t>
            </w:r>
          </w:p>
        </w:tc>
      </w:tr>
      <w:tr w:rsidR="00CB4215" w14:paraId="101EB380" w14:textId="77777777" w:rsidTr="00C37F60">
        <w:trPr>
          <w:trHeight w:val="181"/>
        </w:trPr>
        <w:tc>
          <w:tcPr>
            <w:tcW w:w="2835" w:type="dxa"/>
            <w:tcBorders>
              <w:left w:val="nil"/>
              <w:bottom w:val="single" w:sz="4" w:space="0" w:color="000000"/>
              <w:right w:val="nil"/>
            </w:tcBorders>
            <w:tcMar>
              <w:top w:w="100" w:type="dxa"/>
              <w:left w:w="100" w:type="dxa"/>
              <w:bottom w:w="100" w:type="dxa"/>
              <w:right w:w="100" w:type="dxa"/>
            </w:tcMar>
          </w:tcPr>
          <w:p w14:paraId="0000092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Dependent variable</w:t>
            </w:r>
          </w:p>
        </w:tc>
        <w:tc>
          <w:tcPr>
            <w:tcW w:w="1276" w:type="dxa"/>
            <w:tcBorders>
              <w:left w:val="nil"/>
              <w:bottom w:val="single" w:sz="4" w:space="0" w:color="000000"/>
              <w:right w:val="nil"/>
            </w:tcBorders>
            <w:tcMar>
              <w:top w:w="100" w:type="dxa"/>
              <w:left w:w="100" w:type="dxa"/>
              <w:bottom w:w="100" w:type="dxa"/>
              <w:right w:w="100" w:type="dxa"/>
            </w:tcMar>
          </w:tcPr>
          <w:p w14:paraId="0000092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i/>
                <w:highlight w:val="white"/>
              </w:rPr>
              <w:t>η2</w:t>
            </w:r>
          </w:p>
        </w:tc>
        <w:tc>
          <w:tcPr>
            <w:tcW w:w="1134" w:type="dxa"/>
            <w:tcBorders>
              <w:top w:val="single" w:sz="4" w:space="0" w:color="000000"/>
              <w:left w:val="nil"/>
              <w:bottom w:val="single" w:sz="4" w:space="0" w:color="000000"/>
              <w:right w:val="nil"/>
            </w:tcBorders>
            <w:tcMar>
              <w:top w:w="100" w:type="dxa"/>
              <w:left w:w="100" w:type="dxa"/>
              <w:bottom w:w="100" w:type="dxa"/>
              <w:right w:w="100" w:type="dxa"/>
            </w:tcMar>
          </w:tcPr>
          <w:p w14:paraId="0000092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1276" w:type="dxa"/>
            <w:tcBorders>
              <w:top w:val="single" w:sz="4" w:space="0" w:color="000000"/>
              <w:left w:val="nil"/>
              <w:bottom w:val="single" w:sz="4" w:space="0" w:color="000000"/>
              <w:right w:val="nil"/>
            </w:tcBorders>
            <w:tcMar>
              <w:top w:w="100" w:type="dxa"/>
              <w:left w:w="100" w:type="dxa"/>
              <w:bottom w:w="100" w:type="dxa"/>
              <w:right w:w="100" w:type="dxa"/>
            </w:tcMar>
          </w:tcPr>
          <w:p w14:paraId="0000092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c>
          <w:tcPr>
            <w:tcW w:w="1276" w:type="dxa"/>
            <w:tcBorders>
              <w:top w:val="single" w:sz="4" w:space="0" w:color="000000"/>
              <w:left w:val="nil"/>
              <w:bottom w:val="single" w:sz="4" w:space="0" w:color="000000"/>
              <w:right w:val="nil"/>
            </w:tcBorders>
            <w:tcMar>
              <w:top w:w="100" w:type="dxa"/>
              <w:left w:w="100" w:type="dxa"/>
              <w:bottom w:w="100" w:type="dxa"/>
              <w:right w:w="100" w:type="dxa"/>
            </w:tcMar>
          </w:tcPr>
          <w:p w14:paraId="0000092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1140" w:type="dxa"/>
            <w:tcBorders>
              <w:top w:val="single" w:sz="4" w:space="0" w:color="000000"/>
              <w:left w:val="nil"/>
              <w:bottom w:val="single" w:sz="4" w:space="0" w:color="000000"/>
              <w:right w:val="nil"/>
            </w:tcBorders>
            <w:tcMar>
              <w:top w:w="100" w:type="dxa"/>
              <w:left w:w="100" w:type="dxa"/>
              <w:bottom w:w="100" w:type="dxa"/>
              <w:right w:w="100" w:type="dxa"/>
            </w:tcMar>
          </w:tcPr>
          <w:p w14:paraId="0000092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SD</w:t>
            </w:r>
          </w:p>
        </w:tc>
      </w:tr>
      <w:tr w:rsidR="00CB4215" w14:paraId="04D8EC6E" w14:textId="77777777">
        <w:trPr>
          <w:trHeight w:val="217"/>
        </w:trPr>
        <w:tc>
          <w:tcPr>
            <w:tcW w:w="2835" w:type="dxa"/>
            <w:tcBorders>
              <w:top w:val="single" w:sz="4" w:space="0" w:color="000000"/>
            </w:tcBorders>
            <w:tcMar>
              <w:top w:w="100" w:type="dxa"/>
              <w:left w:w="100" w:type="dxa"/>
              <w:bottom w:w="100" w:type="dxa"/>
              <w:right w:w="100" w:type="dxa"/>
            </w:tcMar>
          </w:tcPr>
          <w:p w14:paraId="00000926" w14:textId="77777777" w:rsidR="00CB4215" w:rsidRDefault="000530B4">
            <w:pPr>
              <w:widowControl w:val="0"/>
              <w:spacing w:line="240" w:lineRule="auto"/>
              <w:rPr>
                <w:rFonts w:ascii="Times New Roman" w:eastAsia="Times New Roman" w:hAnsi="Times New Roman" w:cs="Times New Roman"/>
                <w:vertAlign w:val="superscript"/>
              </w:rPr>
            </w:pPr>
            <w:r>
              <w:rPr>
                <w:rFonts w:ascii="Times New Roman" w:eastAsia="Times New Roman" w:hAnsi="Times New Roman" w:cs="Times New Roman"/>
              </w:rPr>
              <w:t>Energy expenditure (kcal/d)</w:t>
            </w:r>
            <w:r>
              <w:rPr>
                <w:rFonts w:ascii="Times New Roman" w:eastAsia="Times New Roman" w:hAnsi="Times New Roman" w:cs="Times New Roman"/>
                <w:vertAlign w:val="superscript"/>
              </w:rPr>
              <w:t>1</w:t>
            </w:r>
          </w:p>
        </w:tc>
        <w:tc>
          <w:tcPr>
            <w:tcW w:w="1276" w:type="dxa"/>
            <w:tcBorders>
              <w:top w:val="single" w:sz="4" w:space="0" w:color="000000"/>
            </w:tcBorders>
            <w:tcMar>
              <w:top w:w="100" w:type="dxa"/>
              <w:left w:w="100" w:type="dxa"/>
              <w:bottom w:w="100" w:type="dxa"/>
              <w:right w:w="100" w:type="dxa"/>
            </w:tcMar>
          </w:tcPr>
          <w:p w14:paraId="0000092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0.003</w:t>
            </w:r>
          </w:p>
        </w:tc>
        <w:tc>
          <w:tcPr>
            <w:tcW w:w="1134" w:type="dxa"/>
            <w:tcBorders>
              <w:top w:val="single" w:sz="4" w:space="0" w:color="000000"/>
            </w:tcBorders>
            <w:tcMar>
              <w:top w:w="100" w:type="dxa"/>
              <w:left w:w="100" w:type="dxa"/>
              <w:bottom w:w="100" w:type="dxa"/>
              <w:right w:w="100" w:type="dxa"/>
            </w:tcMar>
          </w:tcPr>
          <w:p w14:paraId="0000092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2445.64</w:t>
            </w:r>
          </w:p>
        </w:tc>
        <w:tc>
          <w:tcPr>
            <w:tcW w:w="1276" w:type="dxa"/>
            <w:tcBorders>
              <w:top w:val="single" w:sz="4" w:space="0" w:color="000000"/>
            </w:tcBorders>
            <w:tcMar>
              <w:top w:w="100" w:type="dxa"/>
              <w:left w:w="100" w:type="dxa"/>
              <w:bottom w:w="100" w:type="dxa"/>
              <w:right w:w="100" w:type="dxa"/>
            </w:tcMar>
          </w:tcPr>
          <w:p w14:paraId="0000092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656.69</w:t>
            </w:r>
          </w:p>
        </w:tc>
        <w:tc>
          <w:tcPr>
            <w:tcW w:w="1276" w:type="dxa"/>
            <w:tcBorders>
              <w:top w:val="single" w:sz="4" w:space="0" w:color="000000"/>
            </w:tcBorders>
            <w:tcMar>
              <w:top w:w="100" w:type="dxa"/>
              <w:left w:w="100" w:type="dxa"/>
              <w:bottom w:w="100" w:type="dxa"/>
              <w:right w:w="100" w:type="dxa"/>
            </w:tcMar>
          </w:tcPr>
          <w:p w14:paraId="0000092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2499.95</w:t>
            </w:r>
          </w:p>
        </w:tc>
        <w:tc>
          <w:tcPr>
            <w:tcW w:w="1140" w:type="dxa"/>
            <w:tcBorders>
              <w:top w:val="single" w:sz="4" w:space="0" w:color="000000"/>
            </w:tcBorders>
            <w:tcMar>
              <w:top w:w="100" w:type="dxa"/>
              <w:left w:w="100" w:type="dxa"/>
              <w:bottom w:w="100" w:type="dxa"/>
              <w:right w:w="100" w:type="dxa"/>
            </w:tcMar>
          </w:tcPr>
          <w:p w14:paraId="0000092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453.01 </w:t>
            </w:r>
          </w:p>
        </w:tc>
      </w:tr>
      <w:tr w:rsidR="00CB4215" w14:paraId="10F2E18D" w14:textId="77777777">
        <w:trPr>
          <w:trHeight w:val="205"/>
        </w:trPr>
        <w:tc>
          <w:tcPr>
            <w:tcW w:w="2835" w:type="dxa"/>
            <w:tcMar>
              <w:top w:w="100" w:type="dxa"/>
              <w:left w:w="100" w:type="dxa"/>
              <w:bottom w:w="100" w:type="dxa"/>
              <w:right w:w="100" w:type="dxa"/>
            </w:tcMar>
          </w:tcPr>
          <w:p w14:paraId="0000092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MVPA (minutes/d)</w:t>
            </w:r>
            <w:r>
              <w:rPr>
                <w:rFonts w:ascii="Times New Roman" w:eastAsia="Times New Roman" w:hAnsi="Times New Roman" w:cs="Times New Roman"/>
                <w:vertAlign w:val="superscript"/>
              </w:rPr>
              <w:t>1</w:t>
            </w:r>
          </w:p>
        </w:tc>
        <w:tc>
          <w:tcPr>
            <w:tcW w:w="1276" w:type="dxa"/>
            <w:tcMar>
              <w:top w:w="100" w:type="dxa"/>
              <w:left w:w="100" w:type="dxa"/>
              <w:bottom w:w="100" w:type="dxa"/>
              <w:right w:w="100" w:type="dxa"/>
            </w:tcMar>
          </w:tcPr>
          <w:p w14:paraId="0000092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0.01</w:t>
            </w:r>
          </w:p>
        </w:tc>
        <w:tc>
          <w:tcPr>
            <w:tcW w:w="1134" w:type="dxa"/>
            <w:tcMar>
              <w:top w:w="100" w:type="dxa"/>
              <w:left w:w="100" w:type="dxa"/>
              <w:bottom w:w="100" w:type="dxa"/>
              <w:right w:w="100" w:type="dxa"/>
            </w:tcMar>
          </w:tcPr>
          <w:p w14:paraId="0000092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135.28</w:t>
            </w:r>
          </w:p>
        </w:tc>
        <w:tc>
          <w:tcPr>
            <w:tcW w:w="1276" w:type="dxa"/>
            <w:tcMar>
              <w:top w:w="100" w:type="dxa"/>
              <w:left w:w="100" w:type="dxa"/>
              <w:bottom w:w="100" w:type="dxa"/>
              <w:right w:w="100" w:type="dxa"/>
            </w:tcMar>
          </w:tcPr>
          <w:p w14:paraId="0000092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40.87</w:t>
            </w:r>
          </w:p>
        </w:tc>
        <w:tc>
          <w:tcPr>
            <w:tcW w:w="1276" w:type="dxa"/>
            <w:tcMar>
              <w:top w:w="100" w:type="dxa"/>
              <w:left w:w="100" w:type="dxa"/>
              <w:bottom w:w="100" w:type="dxa"/>
              <w:right w:w="100" w:type="dxa"/>
            </w:tcMar>
          </w:tcPr>
          <w:p w14:paraId="0000093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144.43</w:t>
            </w:r>
          </w:p>
        </w:tc>
        <w:tc>
          <w:tcPr>
            <w:tcW w:w="1140" w:type="dxa"/>
            <w:tcMar>
              <w:top w:w="100" w:type="dxa"/>
              <w:left w:w="100" w:type="dxa"/>
              <w:bottom w:w="100" w:type="dxa"/>
              <w:right w:w="100" w:type="dxa"/>
            </w:tcMar>
          </w:tcPr>
          <w:p w14:paraId="0000093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50.41</w:t>
            </w:r>
          </w:p>
        </w:tc>
      </w:tr>
      <w:tr w:rsidR="00CB4215" w14:paraId="50C38A6E" w14:textId="77777777">
        <w:trPr>
          <w:trHeight w:val="170"/>
        </w:trPr>
        <w:tc>
          <w:tcPr>
            <w:tcW w:w="2835" w:type="dxa"/>
            <w:tcMar>
              <w:top w:w="100" w:type="dxa"/>
              <w:left w:w="100" w:type="dxa"/>
              <w:bottom w:w="100" w:type="dxa"/>
              <w:right w:w="100" w:type="dxa"/>
            </w:tcMar>
          </w:tcPr>
          <w:p w14:paraId="0000093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Step count</w:t>
            </w:r>
            <w:r>
              <w:rPr>
                <w:rFonts w:ascii="Times New Roman" w:eastAsia="Times New Roman" w:hAnsi="Times New Roman" w:cs="Times New Roman"/>
                <w:vertAlign w:val="superscript"/>
              </w:rPr>
              <w:t>1</w:t>
            </w:r>
          </w:p>
        </w:tc>
        <w:tc>
          <w:tcPr>
            <w:tcW w:w="1276" w:type="dxa"/>
            <w:tcMar>
              <w:top w:w="100" w:type="dxa"/>
              <w:left w:w="100" w:type="dxa"/>
              <w:bottom w:w="100" w:type="dxa"/>
              <w:right w:w="100" w:type="dxa"/>
            </w:tcMar>
          </w:tcPr>
          <w:p w14:paraId="0000093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0.06</w:t>
            </w:r>
          </w:p>
        </w:tc>
        <w:tc>
          <w:tcPr>
            <w:tcW w:w="1134" w:type="dxa"/>
            <w:tcMar>
              <w:top w:w="100" w:type="dxa"/>
              <w:left w:w="100" w:type="dxa"/>
              <w:bottom w:w="100" w:type="dxa"/>
              <w:right w:w="100" w:type="dxa"/>
            </w:tcMar>
          </w:tcPr>
          <w:p w14:paraId="0000093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6272.25</w:t>
            </w:r>
          </w:p>
        </w:tc>
        <w:tc>
          <w:tcPr>
            <w:tcW w:w="1276" w:type="dxa"/>
            <w:tcMar>
              <w:top w:w="100" w:type="dxa"/>
              <w:left w:w="100" w:type="dxa"/>
              <w:bottom w:w="100" w:type="dxa"/>
              <w:right w:w="100" w:type="dxa"/>
            </w:tcMar>
          </w:tcPr>
          <w:p w14:paraId="0000093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2215.55</w:t>
            </w:r>
          </w:p>
        </w:tc>
        <w:tc>
          <w:tcPr>
            <w:tcW w:w="1276" w:type="dxa"/>
            <w:tcMar>
              <w:top w:w="100" w:type="dxa"/>
              <w:left w:w="100" w:type="dxa"/>
              <w:bottom w:w="100" w:type="dxa"/>
              <w:right w:w="100" w:type="dxa"/>
            </w:tcMar>
          </w:tcPr>
          <w:p w14:paraId="0000093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5256.46</w:t>
            </w:r>
          </w:p>
        </w:tc>
        <w:tc>
          <w:tcPr>
            <w:tcW w:w="1140" w:type="dxa"/>
            <w:tcMar>
              <w:top w:w="100" w:type="dxa"/>
              <w:left w:w="100" w:type="dxa"/>
              <w:bottom w:w="100" w:type="dxa"/>
              <w:right w:w="100" w:type="dxa"/>
            </w:tcMar>
          </w:tcPr>
          <w:p w14:paraId="0000093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2104.87</w:t>
            </w:r>
          </w:p>
        </w:tc>
      </w:tr>
      <w:tr w:rsidR="00CB4215" w14:paraId="78A27E3E" w14:textId="77777777">
        <w:trPr>
          <w:trHeight w:val="292"/>
        </w:trPr>
        <w:tc>
          <w:tcPr>
            <w:tcW w:w="2835" w:type="dxa"/>
            <w:tcMar>
              <w:top w:w="100" w:type="dxa"/>
              <w:left w:w="100" w:type="dxa"/>
              <w:bottom w:w="100" w:type="dxa"/>
              <w:right w:w="100" w:type="dxa"/>
            </w:tcMar>
          </w:tcPr>
          <w:p w14:paraId="0000093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Energy intake (kcal/d)</w:t>
            </w:r>
            <w:r>
              <w:rPr>
                <w:rFonts w:ascii="Times New Roman" w:eastAsia="Times New Roman" w:hAnsi="Times New Roman" w:cs="Times New Roman"/>
                <w:vertAlign w:val="superscript"/>
              </w:rPr>
              <w:t>2</w:t>
            </w:r>
          </w:p>
        </w:tc>
        <w:tc>
          <w:tcPr>
            <w:tcW w:w="1276" w:type="dxa"/>
            <w:tcMar>
              <w:top w:w="100" w:type="dxa"/>
              <w:left w:w="100" w:type="dxa"/>
              <w:bottom w:w="100" w:type="dxa"/>
              <w:right w:w="100" w:type="dxa"/>
            </w:tcMar>
          </w:tcPr>
          <w:p w14:paraId="0000093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0.001 </w:t>
            </w:r>
          </w:p>
        </w:tc>
        <w:tc>
          <w:tcPr>
            <w:tcW w:w="1134" w:type="dxa"/>
            <w:tcMar>
              <w:top w:w="100" w:type="dxa"/>
              <w:left w:w="100" w:type="dxa"/>
              <w:bottom w:w="100" w:type="dxa"/>
              <w:right w:w="100" w:type="dxa"/>
            </w:tcMar>
          </w:tcPr>
          <w:p w14:paraId="0000093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1899.59</w:t>
            </w:r>
          </w:p>
        </w:tc>
        <w:tc>
          <w:tcPr>
            <w:tcW w:w="1276" w:type="dxa"/>
            <w:tcMar>
              <w:top w:w="100" w:type="dxa"/>
              <w:left w:w="100" w:type="dxa"/>
              <w:bottom w:w="100" w:type="dxa"/>
              <w:right w:w="100" w:type="dxa"/>
            </w:tcMar>
          </w:tcPr>
          <w:p w14:paraId="0000093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396.90 </w:t>
            </w:r>
          </w:p>
        </w:tc>
        <w:tc>
          <w:tcPr>
            <w:tcW w:w="1276" w:type="dxa"/>
            <w:tcMar>
              <w:top w:w="100" w:type="dxa"/>
              <w:left w:w="100" w:type="dxa"/>
              <w:bottom w:w="100" w:type="dxa"/>
              <w:right w:w="100" w:type="dxa"/>
            </w:tcMar>
          </w:tcPr>
          <w:p w14:paraId="0000093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1925.45</w:t>
            </w:r>
          </w:p>
        </w:tc>
        <w:tc>
          <w:tcPr>
            <w:tcW w:w="1140" w:type="dxa"/>
            <w:tcMar>
              <w:top w:w="100" w:type="dxa"/>
              <w:left w:w="100" w:type="dxa"/>
              <w:bottom w:w="100" w:type="dxa"/>
              <w:right w:w="100" w:type="dxa"/>
            </w:tcMar>
          </w:tcPr>
          <w:p w14:paraId="0000093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553.66 </w:t>
            </w:r>
          </w:p>
        </w:tc>
      </w:tr>
      <w:tr w:rsidR="00B64CA5" w14:paraId="3A839DC4" w14:textId="77777777" w:rsidTr="00B64CA5">
        <w:trPr>
          <w:trHeight w:val="292"/>
        </w:trPr>
        <w:tc>
          <w:tcPr>
            <w:tcW w:w="2835" w:type="dxa"/>
            <w:shd w:val="clear" w:color="auto" w:fill="FFFF00"/>
            <w:tcMar>
              <w:top w:w="100" w:type="dxa"/>
              <w:left w:w="100" w:type="dxa"/>
              <w:bottom w:w="100" w:type="dxa"/>
              <w:right w:w="100" w:type="dxa"/>
            </w:tcMar>
          </w:tcPr>
          <w:p w14:paraId="653FABE2" w14:textId="2F0760E8" w:rsidR="00B64CA5" w:rsidRDefault="00B64CA5">
            <w:pPr>
              <w:widowControl w:val="0"/>
              <w:spacing w:line="240" w:lineRule="auto"/>
              <w:rPr>
                <w:rFonts w:ascii="Times New Roman" w:eastAsia="Times New Roman" w:hAnsi="Times New Roman" w:cs="Times New Roman"/>
              </w:rPr>
            </w:pPr>
            <w:r w:rsidRPr="00B64CA5">
              <w:rPr>
                <w:rFonts w:ascii="Times New Roman" w:eastAsia="Times New Roman" w:hAnsi="Times New Roman" w:cs="Times New Roman"/>
                <w:b/>
              </w:rPr>
              <w:t>Pro (%)</w:t>
            </w:r>
          </w:p>
        </w:tc>
        <w:tc>
          <w:tcPr>
            <w:tcW w:w="1276" w:type="dxa"/>
            <w:shd w:val="clear" w:color="auto" w:fill="FFFF00"/>
            <w:tcMar>
              <w:top w:w="100" w:type="dxa"/>
              <w:left w:w="100" w:type="dxa"/>
              <w:bottom w:w="100" w:type="dxa"/>
              <w:right w:w="100" w:type="dxa"/>
            </w:tcMar>
          </w:tcPr>
          <w:p w14:paraId="56B1D8BD" w14:textId="36F8B605" w:rsidR="00B64CA5" w:rsidRDefault="00B64CA5">
            <w:pPr>
              <w:widowControl w:val="0"/>
              <w:spacing w:line="240" w:lineRule="auto"/>
              <w:rPr>
                <w:rFonts w:ascii="Times New Roman" w:eastAsia="Times New Roman" w:hAnsi="Times New Roman" w:cs="Times New Roman"/>
              </w:rPr>
            </w:pPr>
            <w:r w:rsidRPr="00B64CA5">
              <w:rPr>
                <w:rFonts w:ascii="Times New Roman" w:eastAsia="Times New Roman" w:hAnsi="Times New Roman" w:cs="Times New Roman"/>
                <w:b/>
              </w:rPr>
              <w:t>0.33</w:t>
            </w:r>
          </w:p>
        </w:tc>
        <w:tc>
          <w:tcPr>
            <w:tcW w:w="1134" w:type="dxa"/>
            <w:shd w:val="clear" w:color="auto" w:fill="FFFF00"/>
            <w:tcMar>
              <w:top w:w="100" w:type="dxa"/>
              <w:left w:w="100" w:type="dxa"/>
              <w:bottom w:w="100" w:type="dxa"/>
              <w:right w:w="100" w:type="dxa"/>
            </w:tcMar>
          </w:tcPr>
          <w:p w14:paraId="7FD4AA1D" w14:textId="084EDC01" w:rsidR="00B64CA5" w:rsidRDefault="00B64CA5">
            <w:pPr>
              <w:widowControl w:val="0"/>
              <w:spacing w:line="240" w:lineRule="auto"/>
              <w:rPr>
                <w:rFonts w:ascii="Times New Roman" w:eastAsia="Times New Roman" w:hAnsi="Times New Roman" w:cs="Times New Roman"/>
              </w:rPr>
            </w:pPr>
            <w:r w:rsidRPr="00B64CA5">
              <w:rPr>
                <w:rFonts w:ascii="Times New Roman" w:eastAsia="Times New Roman" w:hAnsi="Times New Roman" w:cs="Times New Roman"/>
                <w:b/>
              </w:rPr>
              <w:t>19.55</w:t>
            </w:r>
          </w:p>
        </w:tc>
        <w:tc>
          <w:tcPr>
            <w:tcW w:w="1276" w:type="dxa"/>
            <w:shd w:val="clear" w:color="auto" w:fill="FFFF00"/>
            <w:tcMar>
              <w:top w:w="100" w:type="dxa"/>
              <w:left w:w="100" w:type="dxa"/>
              <w:bottom w:w="100" w:type="dxa"/>
              <w:right w:w="100" w:type="dxa"/>
            </w:tcMar>
          </w:tcPr>
          <w:p w14:paraId="1C8F2A7A" w14:textId="67C61F4D" w:rsidR="00B64CA5" w:rsidRDefault="00B64CA5">
            <w:pPr>
              <w:widowControl w:val="0"/>
              <w:spacing w:line="240" w:lineRule="auto"/>
              <w:rPr>
                <w:rFonts w:ascii="Times New Roman" w:eastAsia="Times New Roman" w:hAnsi="Times New Roman" w:cs="Times New Roman"/>
              </w:rPr>
            </w:pPr>
            <w:r w:rsidRPr="00B64CA5">
              <w:rPr>
                <w:rFonts w:ascii="Times New Roman" w:eastAsia="Times New Roman" w:hAnsi="Times New Roman" w:cs="Times New Roman"/>
                <w:b/>
              </w:rPr>
              <w:t>6.87</w:t>
            </w:r>
          </w:p>
        </w:tc>
        <w:tc>
          <w:tcPr>
            <w:tcW w:w="1276" w:type="dxa"/>
            <w:shd w:val="clear" w:color="auto" w:fill="FFFF00"/>
            <w:tcMar>
              <w:top w:w="100" w:type="dxa"/>
              <w:left w:w="100" w:type="dxa"/>
              <w:bottom w:w="100" w:type="dxa"/>
              <w:right w:w="100" w:type="dxa"/>
            </w:tcMar>
          </w:tcPr>
          <w:p w14:paraId="3B5D3B40" w14:textId="1DC5C49A" w:rsidR="00B64CA5" w:rsidRDefault="00B64CA5">
            <w:pPr>
              <w:widowControl w:val="0"/>
              <w:spacing w:line="240" w:lineRule="auto"/>
              <w:rPr>
                <w:rFonts w:ascii="Times New Roman" w:eastAsia="Times New Roman" w:hAnsi="Times New Roman" w:cs="Times New Roman"/>
              </w:rPr>
            </w:pPr>
            <w:r w:rsidRPr="00B64CA5">
              <w:rPr>
                <w:rFonts w:ascii="Times New Roman" w:eastAsia="Times New Roman" w:hAnsi="Times New Roman" w:cs="Times New Roman"/>
                <w:b/>
              </w:rPr>
              <w:t>13.81</w:t>
            </w:r>
          </w:p>
        </w:tc>
        <w:tc>
          <w:tcPr>
            <w:tcW w:w="1140" w:type="dxa"/>
            <w:shd w:val="clear" w:color="auto" w:fill="FFFF00"/>
            <w:tcMar>
              <w:top w:w="100" w:type="dxa"/>
              <w:left w:w="100" w:type="dxa"/>
              <w:bottom w:w="100" w:type="dxa"/>
              <w:right w:w="100" w:type="dxa"/>
            </w:tcMar>
          </w:tcPr>
          <w:p w14:paraId="02B6D12F" w14:textId="29401DC0" w:rsidR="00B64CA5" w:rsidRDefault="00B64CA5">
            <w:pPr>
              <w:widowControl w:val="0"/>
              <w:spacing w:line="240" w:lineRule="auto"/>
              <w:rPr>
                <w:rFonts w:ascii="Times New Roman" w:eastAsia="Times New Roman" w:hAnsi="Times New Roman" w:cs="Times New Roman"/>
              </w:rPr>
            </w:pPr>
            <w:r w:rsidRPr="00B64CA5">
              <w:rPr>
                <w:rFonts w:ascii="Times New Roman" w:eastAsia="Times New Roman" w:hAnsi="Times New Roman" w:cs="Times New Roman"/>
                <w:b/>
              </w:rPr>
              <w:t>3.04</w:t>
            </w:r>
          </w:p>
        </w:tc>
      </w:tr>
      <w:tr w:rsidR="00CB4215" w14:paraId="6E71886D" w14:textId="77777777">
        <w:trPr>
          <w:trHeight w:val="190"/>
        </w:trPr>
        <w:tc>
          <w:tcPr>
            <w:tcW w:w="2835" w:type="dxa"/>
            <w:tcMar>
              <w:top w:w="100" w:type="dxa"/>
              <w:left w:w="100" w:type="dxa"/>
              <w:bottom w:w="100" w:type="dxa"/>
              <w:right w:w="100" w:type="dxa"/>
            </w:tcMar>
          </w:tcPr>
          <w:p w14:paraId="0000094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CHO (%)</w:t>
            </w:r>
          </w:p>
        </w:tc>
        <w:tc>
          <w:tcPr>
            <w:tcW w:w="1276" w:type="dxa"/>
            <w:tcMar>
              <w:top w:w="100" w:type="dxa"/>
              <w:left w:w="100" w:type="dxa"/>
              <w:bottom w:w="100" w:type="dxa"/>
              <w:right w:w="100" w:type="dxa"/>
            </w:tcMar>
          </w:tcPr>
          <w:p w14:paraId="0000094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0.04</w:t>
            </w:r>
          </w:p>
        </w:tc>
        <w:tc>
          <w:tcPr>
            <w:tcW w:w="1134" w:type="dxa"/>
            <w:tcMar>
              <w:top w:w="100" w:type="dxa"/>
              <w:left w:w="100" w:type="dxa"/>
              <w:bottom w:w="100" w:type="dxa"/>
              <w:right w:w="100" w:type="dxa"/>
            </w:tcMar>
          </w:tcPr>
          <w:p w14:paraId="0000094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46.09</w:t>
            </w:r>
          </w:p>
        </w:tc>
        <w:tc>
          <w:tcPr>
            <w:tcW w:w="1276" w:type="dxa"/>
            <w:tcMar>
              <w:top w:w="100" w:type="dxa"/>
              <w:left w:w="100" w:type="dxa"/>
              <w:bottom w:w="100" w:type="dxa"/>
              <w:right w:w="100" w:type="dxa"/>
            </w:tcMar>
          </w:tcPr>
          <w:p w14:paraId="0000094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9.31</w:t>
            </w:r>
          </w:p>
        </w:tc>
        <w:tc>
          <w:tcPr>
            <w:tcW w:w="1276" w:type="dxa"/>
            <w:tcMar>
              <w:top w:w="100" w:type="dxa"/>
              <w:left w:w="100" w:type="dxa"/>
              <w:bottom w:w="100" w:type="dxa"/>
              <w:right w:w="100" w:type="dxa"/>
            </w:tcMar>
          </w:tcPr>
          <w:p w14:paraId="0000094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49.13</w:t>
            </w:r>
          </w:p>
        </w:tc>
        <w:tc>
          <w:tcPr>
            <w:tcW w:w="1140" w:type="dxa"/>
            <w:tcMar>
              <w:top w:w="100" w:type="dxa"/>
              <w:left w:w="100" w:type="dxa"/>
              <w:bottom w:w="100" w:type="dxa"/>
              <w:right w:w="100" w:type="dxa"/>
            </w:tcMar>
          </w:tcPr>
          <w:p w14:paraId="0000094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5.52</w:t>
            </w:r>
          </w:p>
        </w:tc>
      </w:tr>
      <w:tr w:rsidR="00CB4215" w14:paraId="148BAC0C" w14:textId="77777777">
        <w:trPr>
          <w:trHeight w:val="168"/>
        </w:trPr>
        <w:tc>
          <w:tcPr>
            <w:tcW w:w="2835" w:type="dxa"/>
            <w:tcMar>
              <w:top w:w="100" w:type="dxa"/>
              <w:left w:w="100" w:type="dxa"/>
              <w:bottom w:w="100" w:type="dxa"/>
              <w:right w:w="100" w:type="dxa"/>
            </w:tcMar>
          </w:tcPr>
          <w:p w14:paraId="0000094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Fat (%)</w:t>
            </w:r>
          </w:p>
        </w:tc>
        <w:tc>
          <w:tcPr>
            <w:tcW w:w="1276" w:type="dxa"/>
            <w:tcMar>
              <w:top w:w="100" w:type="dxa"/>
              <w:left w:w="100" w:type="dxa"/>
              <w:bottom w:w="100" w:type="dxa"/>
              <w:right w:w="100" w:type="dxa"/>
            </w:tcMar>
          </w:tcPr>
          <w:p w14:paraId="0000094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1134" w:type="dxa"/>
            <w:tcMar>
              <w:top w:w="100" w:type="dxa"/>
              <w:left w:w="100" w:type="dxa"/>
              <w:bottom w:w="100" w:type="dxa"/>
              <w:right w:w="100" w:type="dxa"/>
            </w:tcMar>
          </w:tcPr>
          <w:p w14:paraId="0000094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33.82</w:t>
            </w:r>
          </w:p>
        </w:tc>
        <w:tc>
          <w:tcPr>
            <w:tcW w:w="1276" w:type="dxa"/>
            <w:tcMar>
              <w:top w:w="100" w:type="dxa"/>
              <w:left w:w="100" w:type="dxa"/>
              <w:bottom w:w="100" w:type="dxa"/>
              <w:right w:w="100" w:type="dxa"/>
            </w:tcMar>
          </w:tcPr>
          <w:p w14:paraId="0000094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5.85</w:t>
            </w:r>
          </w:p>
        </w:tc>
        <w:tc>
          <w:tcPr>
            <w:tcW w:w="1276" w:type="dxa"/>
            <w:tcMar>
              <w:top w:w="100" w:type="dxa"/>
              <w:left w:w="100" w:type="dxa"/>
              <w:bottom w:w="100" w:type="dxa"/>
              <w:right w:w="100" w:type="dxa"/>
            </w:tcMar>
          </w:tcPr>
          <w:p w14:paraId="0000094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35.44</w:t>
            </w:r>
          </w:p>
        </w:tc>
        <w:tc>
          <w:tcPr>
            <w:tcW w:w="1140" w:type="dxa"/>
            <w:tcMar>
              <w:top w:w="100" w:type="dxa"/>
              <w:left w:w="100" w:type="dxa"/>
              <w:bottom w:w="100" w:type="dxa"/>
              <w:right w:w="100" w:type="dxa"/>
            </w:tcMar>
          </w:tcPr>
          <w:p w14:paraId="0000094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5.52</w:t>
            </w:r>
          </w:p>
        </w:tc>
      </w:tr>
      <w:tr w:rsidR="00CB4215" w:rsidRPr="00BE68C2" w14:paraId="4D53F1F2" w14:textId="77777777" w:rsidTr="00BE68C2">
        <w:trPr>
          <w:trHeight w:val="132"/>
        </w:trPr>
        <w:tc>
          <w:tcPr>
            <w:tcW w:w="2835" w:type="dxa"/>
            <w:shd w:val="clear" w:color="auto" w:fill="FFFF00"/>
            <w:tcMar>
              <w:top w:w="100" w:type="dxa"/>
              <w:left w:w="100" w:type="dxa"/>
              <w:bottom w:w="100" w:type="dxa"/>
              <w:right w:w="100" w:type="dxa"/>
            </w:tcMar>
          </w:tcPr>
          <w:p w14:paraId="00000950" w14:textId="0D7F8CEC" w:rsidR="00CB4215" w:rsidRPr="00D82D2D" w:rsidRDefault="00D82D2D">
            <w:pPr>
              <w:widowControl w:val="0"/>
              <w:spacing w:line="240" w:lineRule="auto"/>
              <w:rPr>
                <w:rFonts w:ascii="Times New Roman" w:eastAsia="Times New Roman" w:hAnsi="Times New Roman" w:cs="Times New Roman"/>
                <w:b/>
                <w:bCs/>
                <w:shd w:val="clear" w:color="auto" w:fill="FF9900"/>
                <w:vertAlign w:val="superscript"/>
              </w:rPr>
            </w:pPr>
            <w:r w:rsidRPr="00D82D2D">
              <w:rPr>
                <w:rFonts w:ascii="Times New Roman" w:eastAsia="Times New Roman" w:hAnsi="Times New Roman" w:cs="Times New Roman"/>
                <w:b/>
                <w:bCs/>
              </w:rPr>
              <w:t>Dietary quality score</w:t>
            </w:r>
            <w:r w:rsidRPr="00D82D2D">
              <w:rPr>
                <w:rFonts w:ascii="Times New Roman" w:eastAsia="Times New Roman" w:hAnsi="Times New Roman" w:cs="Times New Roman"/>
                <w:b/>
                <w:bCs/>
                <w:vertAlign w:val="superscript"/>
              </w:rPr>
              <w:t>3</w:t>
            </w:r>
          </w:p>
        </w:tc>
        <w:tc>
          <w:tcPr>
            <w:tcW w:w="1276" w:type="dxa"/>
            <w:shd w:val="clear" w:color="auto" w:fill="FFFF00"/>
            <w:tcMar>
              <w:top w:w="100" w:type="dxa"/>
              <w:left w:w="100" w:type="dxa"/>
              <w:bottom w:w="100" w:type="dxa"/>
              <w:right w:w="100" w:type="dxa"/>
            </w:tcMar>
          </w:tcPr>
          <w:p w14:paraId="00000951" w14:textId="1B4C13F0" w:rsidR="00CB4215" w:rsidRPr="00BE68C2" w:rsidRDefault="00BE68C2">
            <w:pPr>
              <w:widowControl w:val="0"/>
              <w:spacing w:line="240" w:lineRule="auto"/>
              <w:rPr>
                <w:rFonts w:ascii="Times New Roman" w:eastAsia="Times New Roman" w:hAnsi="Times New Roman" w:cs="Times New Roman"/>
                <w:b/>
                <w:shd w:val="clear" w:color="auto" w:fill="FF9900"/>
              </w:rPr>
            </w:pPr>
            <w:r w:rsidRPr="00BE68C2">
              <w:rPr>
                <w:rFonts w:ascii="Times New Roman" w:eastAsia="Times New Roman" w:hAnsi="Times New Roman" w:cs="Times New Roman"/>
                <w:b/>
              </w:rPr>
              <w:t>0.15</w:t>
            </w:r>
          </w:p>
        </w:tc>
        <w:tc>
          <w:tcPr>
            <w:tcW w:w="1134" w:type="dxa"/>
            <w:shd w:val="clear" w:color="auto" w:fill="FFFF00"/>
            <w:tcMar>
              <w:top w:w="100" w:type="dxa"/>
              <w:left w:w="100" w:type="dxa"/>
              <w:bottom w:w="100" w:type="dxa"/>
              <w:right w:w="100" w:type="dxa"/>
            </w:tcMar>
          </w:tcPr>
          <w:p w14:paraId="00000952" w14:textId="0AB072CE" w:rsidR="00CB4215" w:rsidRPr="00BE68C2" w:rsidRDefault="00BE68C2">
            <w:pPr>
              <w:widowControl w:val="0"/>
              <w:spacing w:line="240" w:lineRule="auto"/>
              <w:rPr>
                <w:rFonts w:ascii="Times New Roman" w:eastAsia="Times New Roman" w:hAnsi="Times New Roman" w:cs="Times New Roman"/>
                <w:b/>
                <w:shd w:val="clear" w:color="auto" w:fill="FF9900"/>
              </w:rPr>
            </w:pPr>
            <w:r w:rsidRPr="00BE68C2">
              <w:rPr>
                <w:rFonts w:ascii="Times New Roman" w:eastAsia="Times New Roman" w:hAnsi="Times New Roman" w:cs="Times New Roman"/>
                <w:b/>
              </w:rPr>
              <w:t>10.42</w:t>
            </w:r>
          </w:p>
        </w:tc>
        <w:tc>
          <w:tcPr>
            <w:tcW w:w="1276" w:type="dxa"/>
            <w:shd w:val="clear" w:color="auto" w:fill="FFFF00"/>
            <w:tcMar>
              <w:top w:w="100" w:type="dxa"/>
              <w:left w:w="100" w:type="dxa"/>
              <w:bottom w:w="100" w:type="dxa"/>
              <w:right w:w="100" w:type="dxa"/>
            </w:tcMar>
          </w:tcPr>
          <w:p w14:paraId="00000953" w14:textId="326A9CC7" w:rsidR="00CB4215" w:rsidRPr="00BE68C2" w:rsidRDefault="00BE68C2">
            <w:pPr>
              <w:widowControl w:val="0"/>
              <w:spacing w:line="240" w:lineRule="auto"/>
              <w:rPr>
                <w:rFonts w:ascii="Times New Roman" w:eastAsia="Times New Roman" w:hAnsi="Times New Roman" w:cs="Times New Roman"/>
                <w:b/>
                <w:shd w:val="clear" w:color="auto" w:fill="FF9900"/>
              </w:rPr>
            </w:pPr>
            <w:r w:rsidRPr="00BE68C2">
              <w:rPr>
                <w:rFonts w:ascii="Times New Roman" w:eastAsia="Times New Roman" w:hAnsi="Times New Roman" w:cs="Times New Roman"/>
                <w:b/>
              </w:rPr>
              <w:t>1.78</w:t>
            </w:r>
          </w:p>
        </w:tc>
        <w:tc>
          <w:tcPr>
            <w:tcW w:w="1276" w:type="dxa"/>
            <w:shd w:val="clear" w:color="auto" w:fill="FFFF00"/>
            <w:tcMar>
              <w:top w:w="100" w:type="dxa"/>
              <w:left w:w="100" w:type="dxa"/>
              <w:bottom w:w="100" w:type="dxa"/>
              <w:right w:w="100" w:type="dxa"/>
            </w:tcMar>
          </w:tcPr>
          <w:p w14:paraId="00000954" w14:textId="5D5B5D9A" w:rsidR="00CB4215" w:rsidRPr="00BE68C2" w:rsidRDefault="00BE68C2">
            <w:pPr>
              <w:widowControl w:val="0"/>
              <w:spacing w:line="240" w:lineRule="auto"/>
              <w:rPr>
                <w:rFonts w:ascii="Times New Roman" w:eastAsia="Times New Roman" w:hAnsi="Times New Roman" w:cs="Times New Roman"/>
                <w:b/>
                <w:shd w:val="clear" w:color="auto" w:fill="FF9900"/>
              </w:rPr>
            </w:pPr>
            <w:r w:rsidRPr="00BE68C2">
              <w:rPr>
                <w:rFonts w:ascii="Times New Roman" w:eastAsia="Times New Roman" w:hAnsi="Times New Roman" w:cs="Times New Roman"/>
                <w:b/>
              </w:rPr>
              <w:t>8.76</w:t>
            </w:r>
          </w:p>
        </w:tc>
        <w:tc>
          <w:tcPr>
            <w:tcW w:w="1140" w:type="dxa"/>
            <w:shd w:val="clear" w:color="auto" w:fill="FFFF00"/>
            <w:tcMar>
              <w:top w:w="100" w:type="dxa"/>
              <w:left w:w="100" w:type="dxa"/>
              <w:bottom w:w="100" w:type="dxa"/>
              <w:right w:w="100" w:type="dxa"/>
            </w:tcMar>
          </w:tcPr>
          <w:p w14:paraId="00000955" w14:textId="7CC6BEB5" w:rsidR="00CB4215" w:rsidRPr="00BE68C2" w:rsidRDefault="00BE68C2">
            <w:pPr>
              <w:widowControl w:val="0"/>
              <w:spacing w:line="240" w:lineRule="auto"/>
              <w:rPr>
                <w:rFonts w:ascii="Times New Roman" w:eastAsia="Times New Roman" w:hAnsi="Times New Roman" w:cs="Times New Roman"/>
                <w:b/>
                <w:shd w:val="clear" w:color="auto" w:fill="FF9900"/>
              </w:rPr>
            </w:pPr>
            <w:r w:rsidRPr="00BE68C2">
              <w:rPr>
                <w:rFonts w:ascii="Times New Roman" w:eastAsia="Times New Roman" w:hAnsi="Times New Roman" w:cs="Times New Roman"/>
                <w:b/>
              </w:rPr>
              <w:t>1.95</w:t>
            </w:r>
          </w:p>
        </w:tc>
      </w:tr>
      <w:tr w:rsidR="00CB4215" w14:paraId="2875A37D" w14:textId="77777777">
        <w:trPr>
          <w:trHeight w:val="110"/>
        </w:trPr>
        <w:tc>
          <w:tcPr>
            <w:tcW w:w="2835" w:type="dxa"/>
            <w:tcMar>
              <w:top w:w="100" w:type="dxa"/>
              <w:left w:w="100" w:type="dxa"/>
              <w:bottom w:w="100" w:type="dxa"/>
              <w:right w:w="100" w:type="dxa"/>
            </w:tcMar>
          </w:tcPr>
          <w:p w14:paraId="0000095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Sleep efficiency (%)</w:t>
            </w:r>
            <w:r>
              <w:rPr>
                <w:rFonts w:ascii="Times New Roman" w:eastAsia="Times New Roman" w:hAnsi="Times New Roman" w:cs="Times New Roman"/>
                <w:vertAlign w:val="superscript"/>
              </w:rPr>
              <w:t>1</w:t>
            </w:r>
          </w:p>
        </w:tc>
        <w:tc>
          <w:tcPr>
            <w:tcW w:w="1276" w:type="dxa"/>
            <w:tcMar>
              <w:top w:w="100" w:type="dxa"/>
              <w:left w:w="100" w:type="dxa"/>
              <w:bottom w:w="100" w:type="dxa"/>
              <w:right w:w="100" w:type="dxa"/>
            </w:tcMar>
          </w:tcPr>
          <w:p w14:paraId="0000095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1134" w:type="dxa"/>
            <w:tcMar>
              <w:top w:w="100" w:type="dxa"/>
              <w:left w:w="100" w:type="dxa"/>
              <w:bottom w:w="100" w:type="dxa"/>
              <w:right w:w="100" w:type="dxa"/>
            </w:tcMar>
          </w:tcPr>
          <w:p w14:paraId="0000095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91.08</w:t>
            </w:r>
          </w:p>
        </w:tc>
        <w:tc>
          <w:tcPr>
            <w:tcW w:w="1276" w:type="dxa"/>
            <w:tcMar>
              <w:top w:w="100" w:type="dxa"/>
              <w:left w:w="100" w:type="dxa"/>
              <w:bottom w:w="100" w:type="dxa"/>
              <w:right w:w="100" w:type="dxa"/>
            </w:tcMar>
          </w:tcPr>
          <w:p w14:paraId="0000095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2.39</w:t>
            </w:r>
          </w:p>
        </w:tc>
        <w:tc>
          <w:tcPr>
            <w:tcW w:w="1276" w:type="dxa"/>
            <w:tcMar>
              <w:top w:w="100" w:type="dxa"/>
              <w:left w:w="100" w:type="dxa"/>
              <w:bottom w:w="100" w:type="dxa"/>
              <w:right w:w="100" w:type="dxa"/>
            </w:tcMar>
          </w:tcPr>
          <w:p w14:paraId="0000095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90.27</w:t>
            </w:r>
          </w:p>
        </w:tc>
        <w:tc>
          <w:tcPr>
            <w:tcW w:w="1140" w:type="dxa"/>
            <w:tcMar>
              <w:top w:w="100" w:type="dxa"/>
              <w:left w:w="100" w:type="dxa"/>
              <w:bottom w:w="100" w:type="dxa"/>
              <w:right w:w="100" w:type="dxa"/>
            </w:tcMar>
          </w:tcPr>
          <w:p w14:paraId="0000095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2.93 </w:t>
            </w:r>
          </w:p>
        </w:tc>
      </w:tr>
      <w:tr w:rsidR="00CB4215" w14:paraId="440DAC54" w14:textId="77777777">
        <w:trPr>
          <w:trHeight w:val="231"/>
        </w:trPr>
        <w:tc>
          <w:tcPr>
            <w:tcW w:w="2835" w:type="dxa"/>
            <w:tcMar>
              <w:top w:w="100" w:type="dxa"/>
              <w:left w:w="100" w:type="dxa"/>
              <w:bottom w:w="100" w:type="dxa"/>
              <w:right w:w="100" w:type="dxa"/>
            </w:tcMar>
          </w:tcPr>
          <w:p w14:paraId="0000095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Sleep duration (minutes)</w:t>
            </w:r>
            <w:r>
              <w:rPr>
                <w:rFonts w:ascii="Times New Roman" w:eastAsia="Times New Roman" w:hAnsi="Times New Roman" w:cs="Times New Roman"/>
                <w:vertAlign w:val="superscript"/>
              </w:rPr>
              <w:t>1</w:t>
            </w:r>
          </w:p>
        </w:tc>
        <w:tc>
          <w:tcPr>
            <w:tcW w:w="1276" w:type="dxa"/>
            <w:tcMar>
              <w:top w:w="100" w:type="dxa"/>
              <w:left w:w="100" w:type="dxa"/>
              <w:bottom w:w="100" w:type="dxa"/>
              <w:right w:w="100" w:type="dxa"/>
            </w:tcMar>
          </w:tcPr>
          <w:p w14:paraId="0000095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0.04</w:t>
            </w:r>
          </w:p>
        </w:tc>
        <w:tc>
          <w:tcPr>
            <w:tcW w:w="1134" w:type="dxa"/>
            <w:tcMar>
              <w:top w:w="100" w:type="dxa"/>
              <w:left w:w="100" w:type="dxa"/>
              <w:bottom w:w="100" w:type="dxa"/>
              <w:right w:w="100" w:type="dxa"/>
            </w:tcMar>
          </w:tcPr>
          <w:p w14:paraId="0000095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408.65</w:t>
            </w:r>
          </w:p>
        </w:tc>
        <w:tc>
          <w:tcPr>
            <w:tcW w:w="1276" w:type="dxa"/>
            <w:tcMar>
              <w:top w:w="100" w:type="dxa"/>
              <w:left w:w="100" w:type="dxa"/>
              <w:bottom w:w="100" w:type="dxa"/>
              <w:right w:w="100" w:type="dxa"/>
            </w:tcMar>
          </w:tcPr>
          <w:p w14:paraId="0000095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66.32</w:t>
            </w:r>
          </w:p>
        </w:tc>
        <w:tc>
          <w:tcPr>
            <w:tcW w:w="1276" w:type="dxa"/>
            <w:tcMar>
              <w:top w:w="100" w:type="dxa"/>
              <w:left w:w="100" w:type="dxa"/>
              <w:bottom w:w="100" w:type="dxa"/>
              <w:right w:w="100" w:type="dxa"/>
            </w:tcMar>
          </w:tcPr>
          <w:p w14:paraId="0000096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383.27</w:t>
            </w:r>
          </w:p>
        </w:tc>
        <w:tc>
          <w:tcPr>
            <w:tcW w:w="1140" w:type="dxa"/>
            <w:tcMar>
              <w:top w:w="100" w:type="dxa"/>
              <w:left w:w="100" w:type="dxa"/>
              <w:bottom w:w="100" w:type="dxa"/>
              <w:right w:w="100" w:type="dxa"/>
            </w:tcMar>
          </w:tcPr>
          <w:p w14:paraId="0000096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61.81</w:t>
            </w:r>
          </w:p>
        </w:tc>
      </w:tr>
      <w:tr w:rsidR="00CB4215" w14:paraId="5B98FC03" w14:textId="77777777">
        <w:trPr>
          <w:trHeight w:val="51"/>
        </w:trPr>
        <w:tc>
          <w:tcPr>
            <w:tcW w:w="2835" w:type="dxa"/>
            <w:tcMar>
              <w:top w:w="100" w:type="dxa"/>
              <w:left w:w="100" w:type="dxa"/>
              <w:bottom w:w="100" w:type="dxa"/>
              <w:right w:w="100" w:type="dxa"/>
            </w:tcMar>
          </w:tcPr>
          <w:p w14:paraId="0000096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Perceived stress</w:t>
            </w:r>
            <w:r>
              <w:rPr>
                <w:rFonts w:ascii="Times New Roman" w:eastAsia="Times New Roman" w:hAnsi="Times New Roman" w:cs="Times New Roman"/>
                <w:vertAlign w:val="superscript"/>
              </w:rPr>
              <w:t>4</w:t>
            </w:r>
          </w:p>
        </w:tc>
        <w:tc>
          <w:tcPr>
            <w:tcW w:w="1276" w:type="dxa"/>
            <w:tcMar>
              <w:top w:w="100" w:type="dxa"/>
              <w:left w:w="100" w:type="dxa"/>
              <w:bottom w:w="100" w:type="dxa"/>
              <w:right w:w="100" w:type="dxa"/>
            </w:tcMar>
          </w:tcPr>
          <w:p w14:paraId="0000096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0.05</w:t>
            </w:r>
          </w:p>
        </w:tc>
        <w:tc>
          <w:tcPr>
            <w:tcW w:w="1134" w:type="dxa"/>
            <w:tcMar>
              <w:top w:w="100" w:type="dxa"/>
              <w:left w:w="100" w:type="dxa"/>
              <w:bottom w:w="100" w:type="dxa"/>
              <w:right w:w="100" w:type="dxa"/>
            </w:tcMar>
          </w:tcPr>
          <w:p w14:paraId="0000096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6.15</w:t>
            </w:r>
          </w:p>
        </w:tc>
        <w:tc>
          <w:tcPr>
            <w:tcW w:w="1276" w:type="dxa"/>
            <w:tcMar>
              <w:top w:w="100" w:type="dxa"/>
              <w:left w:w="100" w:type="dxa"/>
              <w:bottom w:w="100" w:type="dxa"/>
              <w:right w:w="100" w:type="dxa"/>
            </w:tcMar>
          </w:tcPr>
          <w:p w14:paraId="0000096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2.81</w:t>
            </w:r>
          </w:p>
        </w:tc>
        <w:tc>
          <w:tcPr>
            <w:tcW w:w="1276" w:type="dxa"/>
            <w:tcMar>
              <w:top w:w="100" w:type="dxa"/>
              <w:left w:w="100" w:type="dxa"/>
              <w:bottom w:w="100" w:type="dxa"/>
              <w:right w:w="100" w:type="dxa"/>
            </w:tcMar>
          </w:tcPr>
          <w:p w14:paraId="0000096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7.26</w:t>
            </w:r>
          </w:p>
        </w:tc>
        <w:tc>
          <w:tcPr>
            <w:tcW w:w="1140" w:type="dxa"/>
            <w:tcMar>
              <w:top w:w="100" w:type="dxa"/>
              <w:left w:w="100" w:type="dxa"/>
              <w:bottom w:w="100" w:type="dxa"/>
              <w:right w:w="100" w:type="dxa"/>
            </w:tcMar>
          </w:tcPr>
          <w:p w14:paraId="0000096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2.36</w:t>
            </w:r>
          </w:p>
        </w:tc>
      </w:tr>
      <w:tr w:rsidR="00CB4215" w14:paraId="1708F5B4" w14:textId="77777777">
        <w:trPr>
          <w:trHeight w:val="158"/>
        </w:trPr>
        <w:tc>
          <w:tcPr>
            <w:tcW w:w="2835" w:type="dxa"/>
            <w:tcBorders>
              <w:top w:val="nil"/>
              <w:left w:val="nil"/>
              <w:bottom w:val="single" w:sz="4" w:space="0" w:color="000000"/>
              <w:right w:val="nil"/>
            </w:tcBorders>
            <w:tcMar>
              <w:top w:w="100" w:type="dxa"/>
              <w:left w:w="100" w:type="dxa"/>
              <w:bottom w:w="100" w:type="dxa"/>
              <w:right w:w="100" w:type="dxa"/>
            </w:tcMar>
          </w:tcPr>
          <w:p w14:paraId="0000096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Ideal portion size</w:t>
            </w:r>
            <w:r>
              <w:rPr>
                <w:rFonts w:ascii="Times New Roman" w:eastAsia="Times New Roman" w:hAnsi="Times New Roman" w:cs="Times New Roman"/>
                <w:vertAlign w:val="superscript"/>
              </w:rPr>
              <w:t>4 a</w:t>
            </w:r>
          </w:p>
        </w:tc>
        <w:tc>
          <w:tcPr>
            <w:tcW w:w="1276" w:type="dxa"/>
            <w:tcBorders>
              <w:top w:val="nil"/>
              <w:left w:val="nil"/>
              <w:bottom w:val="single" w:sz="4" w:space="0" w:color="000000"/>
              <w:right w:val="nil"/>
            </w:tcBorders>
            <w:tcMar>
              <w:top w:w="100" w:type="dxa"/>
              <w:left w:w="100" w:type="dxa"/>
              <w:bottom w:w="100" w:type="dxa"/>
              <w:right w:w="100" w:type="dxa"/>
            </w:tcMar>
          </w:tcPr>
          <w:p w14:paraId="0000096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X</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 1.288</w:t>
            </w:r>
          </w:p>
        </w:tc>
        <w:tc>
          <w:tcPr>
            <w:tcW w:w="1134" w:type="dxa"/>
            <w:tcBorders>
              <w:top w:val="nil"/>
              <w:left w:val="nil"/>
              <w:bottom w:val="single" w:sz="4" w:space="0" w:color="000000"/>
              <w:right w:val="nil"/>
            </w:tcBorders>
            <w:tcMar>
              <w:top w:w="100" w:type="dxa"/>
              <w:left w:w="100" w:type="dxa"/>
              <w:bottom w:w="100" w:type="dxa"/>
              <w:right w:w="100" w:type="dxa"/>
            </w:tcMar>
          </w:tcPr>
          <w:p w14:paraId="0000096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310.52</w:t>
            </w:r>
          </w:p>
        </w:tc>
        <w:tc>
          <w:tcPr>
            <w:tcW w:w="1276" w:type="dxa"/>
            <w:tcBorders>
              <w:top w:val="nil"/>
              <w:left w:val="nil"/>
              <w:bottom w:val="single" w:sz="4" w:space="0" w:color="000000"/>
              <w:right w:val="nil"/>
            </w:tcBorders>
            <w:tcMar>
              <w:top w:w="100" w:type="dxa"/>
              <w:left w:w="100" w:type="dxa"/>
              <w:bottom w:w="100" w:type="dxa"/>
              <w:right w:w="100" w:type="dxa"/>
            </w:tcMar>
          </w:tcPr>
          <w:p w14:paraId="0000096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323.09</w:t>
            </w:r>
          </w:p>
        </w:tc>
        <w:tc>
          <w:tcPr>
            <w:tcW w:w="1276" w:type="dxa"/>
            <w:tcBorders>
              <w:top w:val="nil"/>
              <w:left w:val="nil"/>
              <w:bottom w:val="single" w:sz="4" w:space="0" w:color="000000"/>
              <w:right w:val="nil"/>
            </w:tcBorders>
            <w:tcMar>
              <w:top w:w="100" w:type="dxa"/>
              <w:left w:w="100" w:type="dxa"/>
              <w:bottom w:w="100" w:type="dxa"/>
              <w:right w:w="100" w:type="dxa"/>
            </w:tcMar>
          </w:tcPr>
          <w:p w14:paraId="0000096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256.81</w:t>
            </w:r>
          </w:p>
        </w:tc>
        <w:tc>
          <w:tcPr>
            <w:tcW w:w="1140" w:type="dxa"/>
            <w:tcBorders>
              <w:top w:val="nil"/>
              <w:left w:val="nil"/>
              <w:bottom w:val="single" w:sz="4" w:space="0" w:color="000000"/>
              <w:right w:val="nil"/>
            </w:tcBorders>
            <w:tcMar>
              <w:top w:w="100" w:type="dxa"/>
              <w:left w:w="100" w:type="dxa"/>
              <w:bottom w:w="100" w:type="dxa"/>
              <w:right w:w="100" w:type="dxa"/>
            </w:tcMar>
          </w:tcPr>
          <w:p w14:paraId="0000096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196.75</w:t>
            </w:r>
          </w:p>
        </w:tc>
      </w:tr>
    </w:tbl>
    <w:p w14:paraId="7FB15DE8" w14:textId="77777777" w:rsidR="001E7D67" w:rsidRPr="00D03B56" w:rsidRDefault="001E7D67" w:rsidP="001E7D67">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i/>
          <w:sz w:val="20"/>
          <w:szCs w:val="20"/>
        </w:rPr>
        <w:t>Note</w:t>
      </w:r>
      <w:r w:rsidRPr="00D03B56">
        <w:rPr>
          <w:rFonts w:ascii="Times New Roman" w:eastAsia="Times New Roman" w:hAnsi="Times New Roman" w:cs="Times New Roman"/>
          <w:sz w:val="20"/>
          <w:szCs w:val="20"/>
        </w:rPr>
        <w:t xml:space="preserve">: All comparisons were controlled for age and gender. </w:t>
      </w:r>
    </w:p>
    <w:p w14:paraId="568677DE" w14:textId="550DD2CC" w:rsidR="001E7D67" w:rsidRDefault="001E7D67">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rPr>
        <w:t>Data are presented as mean, SD or median rank.</w:t>
      </w:r>
    </w:p>
    <w:p w14:paraId="0E5CAFA8" w14:textId="7A52F416" w:rsidR="001E7D67" w:rsidRPr="001E7D67" w:rsidRDefault="001E7D67">
      <w:pPr>
        <w:spacing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MVPA: moderate to vigorous physical activity per day, Pro: protein intake per day, CHO: carbohydrate intake per day, Fat: fat intake per day.</w:t>
      </w:r>
    </w:p>
    <w:p w14:paraId="0000096E" w14:textId="257D6488"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rPr>
        <w:t xml:space="preserve"> Kruskal-Wallis H test</w:t>
      </w:r>
    </w:p>
    <w:p w14:paraId="0000096F"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early eaters (n = 12), late eaters (n = 15), 2: early eaters (n = 11), late eaters (n = 16)</w:t>
      </w:r>
    </w:p>
    <w:p w14:paraId="00000970" w14:textId="77777777" w:rsidR="00CB4215" w:rsidRDefault="000530B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early eaters (n = 12), late eaters (n = 17), 4: early eaters (n = 12), late eaters (n = 16)</w:t>
      </w:r>
    </w:p>
    <w:p w14:paraId="00000972" w14:textId="77777777" w:rsidR="00CB4215" w:rsidRDefault="000530B4">
      <w:pPr>
        <w:spacing w:line="240" w:lineRule="auto"/>
        <w:rPr>
          <w:rFonts w:ascii="Times New Roman" w:eastAsia="Times New Roman" w:hAnsi="Times New Roman" w:cs="Times New Roman"/>
          <w:sz w:val="20"/>
          <w:szCs w:val="20"/>
        </w:rPr>
      </w:pPr>
      <w:bookmarkStart w:id="101" w:name="_heading=h.40ew0vw" w:colFirst="0" w:colLast="0"/>
      <w:bookmarkEnd w:id="101"/>
      <w:r>
        <w:rPr>
          <w:rFonts w:ascii="Times New Roman" w:eastAsia="Times New Roman" w:hAnsi="Times New Roman" w:cs="Times New Roman"/>
          <w:sz w:val="20"/>
          <w:szCs w:val="20"/>
        </w:rPr>
        <w:t>Significant differences are shown in bold and highlighted.</w:t>
      </w:r>
    </w:p>
    <w:p w14:paraId="00000973" w14:textId="77777777" w:rsidR="00CB4215" w:rsidRDefault="00CB4215">
      <w:pPr>
        <w:spacing w:line="480" w:lineRule="auto"/>
        <w:rPr>
          <w:rFonts w:ascii="Times New Roman" w:eastAsia="Times New Roman" w:hAnsi="Times New Roman" w:cs="Times New Roman"/>
          <w:sz w:val="24"/>
          <w:szCs w:val="24"/>
        </w:rPr>
      </w:pPr>
    </w:p>
    <w:p w14:paraId="00000974" w14:textId="77777777" w:rsidR="00CB4215" w:rsidRDefault="000530B4">
      <w:pPr>
        <w:pStyle w:val="Heading3"/>
        <w:rPr>
          <w:rFonts w:ascii="Times New Roman" w:eastAsia="Times New Roman" w:hAnsi="Times New Roman" w:cs="Times New Roman"/>
          <w:b/>
          <w:color w:val="000000"/>
        </w:rPr>
      </w:pPr>
      <w:bookmarkStart w:id="102" w:name="_Toc172984813"/>
      <w:r>
        <w:rPr>
          <w:rFonts w:ascii="Times New Roman" w:eastAsia="Times New Roman" w:hAnsi="Times New Roman" w:cs="Times New Roman"/>
          <w:b/>
          <w:color w:val="000000"/>
        </w:rPr>
        <w:lastRenderedPageBreak/>
        <w:t>5.5 Discussion</w:t>
      </w:r>
      <w:bookmarkEnd w:id="102"/>
    </w:p>
    <w:p w14:paraId="00000975" w14:textId="77777777" w:rsidR="00CB4215" w:rsidRDefault="00CB4215"/>
    <w:p w14:paraId="0000097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aimed to assess the correlations between meal timing, eating behaviour traits and health behaviours in adults living with obesity. The study also aimed to compare the difference in eating behaviour traits and health behaviours between early eaters and late eaters. In relation to the first aim, preliminary results showed later eating was significantly associated with higher uncontrolled eating, but not significantly associated with other eating behaviour traits. Secondly (aim 2), compared with early eaters, late eaters consumed significantly less %protein and reported poorer dietary quality. No other eating behaviour traits and health behaviours significantly differ between early versus late eaters. </w:t>
      </w:r>
    </w:p>
    <w:p w14:paraId="00000977" w14:textId="77777777" w:rsidR="00CB4215" w:rsidRDefault="00CB4215">
      <w:pPr>
        <w:spacing w:line="480" w:lineRule="auto"/>
        <w:rPr>
          <w:rFonts w:ascii="Times New Roman" w:eastAsia="Times New Roman" w:hAnsi="Times New Roman" w:cs="Times New Roman"/>
          <w:sz w:val="24"/>
          <w:szCs w:val="24"/>
        </w:rPr>
      </w:pPr>
    </w:p>
    <w:p w14:paraId="00000978" w14:textId="55D31D71"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association between late eating and higher uncontrolled eating is consistent with previous research showing that evening snack consumption was linked with higher disinhibition in premenopausal women with overweight </w:t>
      </w:r>
      <w:hyperlink r:id="rId597">
        <w:r>
          <w:rPr>
            <w:rFonts w:ascii="Times New Roman" w:eastAsia="Times New Roman" w:hAnsi="Times New Roman" w:cs="Times New Roman"/>
            <w:color w:val="000000"/>
            <w:sz w:val="24"/>
            <w:szCs w:val="24"/>
          </w:rPr>
          <w:t>(Leblanc et al., 2012)</w:t>
        </w:r>
      </w:hyperlink>
      <w:r>
        <w:rPr>
          <w:rFonts w:ascii="Times New Roman" w:eastAsia="Times New Roman" w:hAnsi="Times New Roman" w:cs="Times New Roman"/>
          <w:sz w:val="24"/>
          <w:szCs w:val="24"/>
        </w:rPr>
        <w:t xml:space="preserve">. In addition, Jacob and colleagues (2023) found late eating was significantly associated with traits, such as disinhibition and susceptibility to hunger in participants with overweight and obesity. More broadly, chronotype refers to the physiologic preference for </w:t>
      </w:r>
      <w:proofErr w:type="spellStart"/>
      <w:r>
        <w:rPr>
          <w:rFonts w:ascii="Times New Roman" w:eastAsia="Times New Roman" w:hAnsi="Times New Roman" w:cs="Times New Roman"/>
          <w:sz w:val="24"/>
          <w:szCs w:val="24"/>
        </w:rPr>
        <w:t>morningness</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eveningness</w:t>
      </w:r>
      <w:proofErr w:type="spellEnd"/>
      <w:r>
        <w:rPr>
          <w:rFonts w:ascii="Times New Roman" w:eastAsia="Times New Roman" w:hAnsi="Times New Roman" w:cs="Times New Roman"/>
          <w:sz w:val="24"/>
          <w:szCs w:val="24"/>
        </w:rPr>
        <w:t xml:space="preserve"> </w:t>
      </w:r>
      <w:hyperlink r:id="rId598">
        <w:r>
          <w:rPr>
            <w:rFonts w:ascii="Times New Roman" w:eastAsia="Times New Roman" w:hAnsi="Times New Roman" w:cs="Times New Roman"/>
            <w:color w:val="000000"/>
            <w:sz w:val="24"/>
            <w:szCs w:val="24"/>
          </w:rPr>
          <w:t>(Taylor and Hasler</w:t>
        </w:r>
        <w:r w:rsidR="00BB740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2018)</w:t>
        </w:r>
      </w:hyperlink>
      <w:r>
        <w:rPr>
          <w:rFonts w:ascii="Times New Roman" w:eastAsia="Times New Roman" w:hAnsi="Times New Roman" w:cs="Times New Roman"/>
          <w:sz w:val="24"/>
          <w:szCs w:val="24"/>
        </w:rPr>
        <w:t xml:space="preserve">. Early reports indicated that individuals with later chronotypes eat later meals than early chronotypes </w:t>
      </w:r>
      <w:hyperlink r:id="rId599">
        <w:r>
          <w:rPr>
            <w:rFonts w:ascii="Times New Roman" w:eastAsia="Times New Roman" w:hAnsi="Times New Roman" w:cs="Times New Roman"/>
            <w:color w:val="000000"/>
            <w:sz w:val="24"/>
            <w:szCs w:val="24"/>
          </w:rPr>
          <w:t>(Lucassen et al., 2013)</w:t>
        </w:r>
      </w:hyperlink>
      <w:r>
        <w:rPr>
          <w:rFonts w:ascii="Times New Roman" w:eastAsia="Times New Roman" w:hAnsi="Times New Roman" w:cs="Times New Roman"/>
          <w:sz w:val="24"/>
          <w:szCs w:val="24"/>
        </w:rPr>
        <w:t xml:space="preserve">. Similarly, a recent systematic review found that late chronotype has been associated with unhealthy eating habits, e.g., eating late in the evening and eating more energy density foods </w:t>
      </w:r>
      <w:hyperlink r:id="rId600">
        <w:r>
          <w:rPr>
            <w:rFonts w:ascii="Times New Roman" w:eastAsia="Times New Roman" w:hAnsi="Times New Roman" w:cs="Times New Roman"/>
            <w:color w:val="000000"/>
            <w:sz w:val="24"/>
            <w:szCs w:val="24"/>
          </w:rPr>
          <w:t>(Teixeira et al., 2022)</w:t>
        </w:r>
      </w:hyperlink>
      <w:r>
        <w:rPr>
          <w:rFonts w:ascii="Times New Roman" w:eastAsia="Times New Roman" w:hAnsi="Times New Roman" w:cs="Times New Roman"/>
          <w:sz w:val="24"/>
          <w:szCs w:val="24"/>
        </w:rPr>
        <w:t xml:space="preserve">. Indeed, multiple studies have shown that individuals with evening chronotype are more likely to have higher uncontrolled eating and susceptibility to hunger </w:t>
      </w:r>
      <w:hyperlink r:id="rId601">
        <w:r>
          <w:rPr>
            <w:rFonts w:ascii="Times New Roman" w:eastAsia="Times New Roman" w:hAnsi="Times New Roman" w:cs="Times New Roman"/>
            <w:color w:val="000000"/>
            <w:sz w:val="24"/>
            <w:szCs w:val="24"/>
          </w:rPr>
          <w:t xml:space="preserve">(Schubert and </w:t>
        </w:r>
        <w:proofErr w:type="spellStart"/>
        <w:r>
          <w:rPr>
            <w:rFonts w:ascii="Times New Roman" w:eastAsia="Times New Roman" w:hAnsi="Times New Roman" w:cs="Times New Roman"/>
            <w:color w:val="000000"/>
            <w:sz w:val="24"/>
            <w:szCs w:val="24"/>
          </w:rPr>
          <w:t>Randler</w:t>
        </w:r>
        <w:proofErr w:type="spellEnd"/>
        <w:r w:rsidR="00D54CC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2008; Walker et al., 2015)</w:t>
        </w:r>
      </w:hyperlink>
      <w:r>
        <w:rPr>
          <w:rFonts w:ascii="Times New Roman" w:eastAsia="Times New Roman" w:hAnsi="Times New Roman" w:cs="Times New Roman"/>
          <w:sz w:val="24"/>
          <w:szCs w:val="24"/>
        </w:rPr>
        <w:t xml:space="preserve">. There are some potential homeostatic and hedonic mechanisms to explain increased uncontrolled eating in the evening. Levels of hunger, and appetite for specific foods (e.g., sweets, salty and starchy foods) has been shown to be higher in the </w:t>
      </w:r>
      <w:r>
        <w:rPr>
          <w:rFonts w:ascii="Times New Roman" w:eastAsia="Times New Roman" w:hAnsi="Times New Roman" w:cs="Times New Roman"/>
          <w:sz w:val="24"/>
          <w:szCs w:val="24"/>
        </w:rPr>
        <w:lastRenderedPageBreak/>
        <w:t xml:space="preserve">evening compared to the morning </w:t>
      </w:r>
      <w:hyperlink r:id="rId602">
        <w:r>
          <w:rPr>
            <w:rFonts w:ascii="Times New Roman" w:eastAsia="Times New Roman" w:hAnsi="Times New Roman" w:cs="Times New Roman"/>
            <w:color w:val="000000"/>
            <w:sz w:val="24"/>
            <w:szCs w:val="24"/>
          </w:rPr>
          <w:t>(Scheer et al., 2013; Qian et al., 2019)</w:t>
        </w:r>
      </w:hyperlink>
      <w:r>
        <w:rPr>
          <w:rFonts w:ascii="Times New Roman" w:eastAsia="Times New Roman" w:hAnsi="Times New Roman" w:cs="Times New Roman"/>
          <w:sz w:val="24"/>
          <w:szCs w:val="24"/>
        </w:rPr>
        <w:t xml:space="preserve">. In addition, there was an increase in desire to eat, liking and wanting for high-fat foods and a decrease in post-meal fullness in later eating conditions </w:t>
      </w:r>
      <w:hyperlink r:id="rId603">
        <w:r>
          <w:rPr>
            <w:rFonts w:ascii="Times New Roman" w:eastAsia="Times New Roman" w:hAnsi="Times New Roman" w:cs="Times New Roman"/>
            <w:color w:val="000000"/>
            <w:sz w:val="24"/>
            <w:szCs w:val="24"/>
          </w:rPr>
          <w:t>(Beaulieu et al., 2020)</w:t>
        </w:r>
      </w:hyperlink>
      <w:r>
        <w:rPr>
          <w:rFonts w:ascii="Times New Roman" w:eastAsia="Times New Roman" w:hAnsi="Times New Roman" w:cs="Times New Roman"/>
          <w:sz w:val="24"/>
          <w:szCs w:val="24"/>
        </w:rPr>
        <w:t xml:space="preserve">. Moreover, increased susceptibility to overconsumption is also more likely to occur during the evening as a result of lower self-regulation capacity </w:t>
      </w:r>
      <w:hyperlink r:id="rId604">
        <w:r>
          <w:rPr>
            <w:rFonts w:ascii="Times New Roman" w:eastAsia="Times New Roman" w:hAnsi="Times New Roman" w:cs="Times New Roman"/>
            <w:color w:val="000000"/>
            <w:sz w:val="24"/>
            <w:szCs w:val="24"/>
          </w:rPr>
          <w:t>(Millar 2017)</w:t>
        </w:r>
      </w:hyperlink>
      <w:r>
        <w:rPr>
          <w:rFonts w:ascii="Times New Roman" w:eastAsia="Times New Roman" w:hAnsi="Times New Roman" w:cs="Times New Roman"/>
          <w:sz w:val="24"/>
          <w:szCs w:val="24"/>
        </w:rPr>
        <w:t xml:space="preserve">, increased fatigue </w:t>
      </w:r>
      <w:hyperlink r:id="rId605">
        <w:r>
          <w:rPr>
            <w:rFonts w:ascii="Times New Roman" w:eastAsia="Times New Roman" w:hAnsi="Times New Roman" w:cs="Times New Roman"/>
            <w:color w:val="000000"/>
            <w:sz w:val="24"/>
            <w:szCs w:val="24"/>
          </w:rPr>
          <w:t>(Zimmerman et al., 2011)</w:t>
        </w:r>
      </w:hyperlink>
      <w:r>
        <w:rPr>
          <w:rFonts w:ascii="Times New Roman" w:eastAsia="Times New Roman" w:hAnsi="Times New Roman" w:cs="Times New Roman"/>
          <w:sz w:val="24"/>
          <w:szCs w:val="24"/>
        </w:rPr>
        <w:t xml:space="preserve">, higher daily stress levels </w:t>
      </w:r>
      <w:hyperlink r:id="rId606">
        <w:r>
          <w:rPr>
            <w:rFonts w:ascii="Times New Roman" w:eastAsia="Times New Roman" w:hAnsi="Times New Roman" w:cs="Times New Roman"/>
            <w:color w:val="000000"/>
            <w:sz w:val="24"/>
            <w:szCs w:val="24"/>
          </w:rPr>
          <w:t>(Woods et al., 2010)</w:t>
        </w:r>
      </w:hyperlink>
      <w:r>
        <w:rPr>
          <w:rFonts w:ascii="Times New Roman" w:eastAsia="Times New Roman" w:hAnsi="Times New Roman" w:cs="Times New Roman"/>
          <w:sz w:val="24"/>
          <w:szCs w:val="24"/>
        </w:rPr>
        <w:t xml:space="preserve"> and eating in front of the television </w:t>
      </w:r>
      <w:hyperlink r:id="rId607">
        <w:r>
          <w:rPr>
            <w:rFonts w:ascii="Times New Roman" w:eastAsia="Times New Roman" w:hAnsi="Times New Roman" w:cs="Times New Roman"/>
            <w:color w:val="000000"/>
            <w:sz w:val="24"/>
            <w:szCs w:val="24"/>
          </w:rPr>
          <w:t>(Goldschmidt et al., 2017)</w:t>
        </w:r>
      </w:hyperlink>
      <w:r>
        <w:rPr>
          <w:rFonts w:ascii="Times New Roman" w:eastAsia="Times New Roman" w:hAnsi="Times New Roman" w:cs="Times New Roman"/>
          <w:sz w:val="24"/>
          <w:szCs w:val="24"/>
        </w:rPr>
        <w:t xml:space="preserve">. </w:t>
      </w:r>
    </w:p>
    <w:p w14:paraId="00000979" w14:textId="77777777" w:rsidR="00CB4215" w:rsidRDefault="00CB4215">
      <w:pPr>
        <w:spacing w:line="480" w:lineRule="auto"/>
        <w:rPr>
          <w:rFonts w:ascii="Times New Roman" w:eastAsia="Times New Roman" w:hAnsi="Times New Roman" w:cs="Times New Roman"/>
          <w:sz w:val="24"/>
          <w:szCs w:val="24"/>
        </w:rPr>
      </w:pPr>
    </w:p>
    <w:p w14:paraId="0000097A" w14:textId="75681949"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study extends the previous study (Chapter 4) reported in this thesis by comparing the dietary intake between early eaters and late eaters with a 3-day food diary. The preliminary findings indicate no significant association between later eating and increased energy intake, which is in line with previous research </w:t>
      </w:r>
      <w:hyperlink r:id="rId60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et al., 2013; Ruiz-Lozano et al., 2016)</w:t>
        </w:r>
      </w:hyperlink>
      <w:r>
        <w:rPr>
          <w:rFonts w:ascii="Times New Roman" w:eastAsia="Times New Roman" w:hAnsi="Times New Roman" w:cs="Times New Roman"/>
          <w:sz w:val="24"/>
          <w:szCs w:val="24"/>
        </w:rPr>
        <w:t xml:space="preserve">. For example, an observational study assessed dietary intake with a 24-hour food diary and showed no differences in total daily energy intake between early eaters and late eaters </w:t>
      </w:r>
      <w:hyperlink r:id="rId60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Another interesting preliminary finding in this study is that late eaters consumed significantly lower protein intake than early eaters. This aligns with the previous work indicating that people who eat late in the evening report lower relative daily intakes of protein and higher daily intakes of sodium than early eaters </w:t>
      </w:r>
      <w:hyperlink r:id="rId61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Striegel</w:t>
        </w:r>
        <w:proofErr w:type="spellEnd"/>
        <w:r>
          <w:rPr>
            <w:rFonts w:ascii="Times New Roman" w:eastAsia="Times New Roman" w:hAnsi="Times New Roman" w:cs="Times New Roman"/>
            <w:color w:val="000000"/>
            <w:sz w:val="24"/>
            <w:szCs w:val="24"/>
          </w:rPr>
          <w:t>-Moore et al., 2008)</w:t>
        </w:r>
      </w:hyperlink>
      <w:r>
        <w:rPr>
          <w:rFonts w:ascii="Times New Roman" w:eastAsia="Times New Roman" w:hAnsi="Times New Roman" w:cs="Times New Roman"/>
          <w:sz w:val="24"/>
          <w:szCs w:val="24"/>
        </w:rPr>
        <w:t xml:space="preserve">. Indeed, previous research has demonstrated that individuals with the evening chronotype are more likely to consume less protein than individuals with morning types </w:t>
      </w:r>
      <w:hyperlink r:id="rId611">
        <w:r>
          <w:rPr>
            <w:rFonts w:ascii="Times New Roman" w:eastAsia="Times New Roman" w:hAnsi="Times New Roman" w:cs="Times New Roman"/>
            <w:color w:val="000000"/>
            <w:sz w:val="24"/>
            <w:szCs w:val="24"/>
          </w:rPr>
          <w:t xml:space="preserve">(Sato-Mito et al., 2011; </w:t>
        </w:r>
        <w:proofErr w:type="spellStart"/>
        <w:r>
          <w:rPr>
            <w:rFonts w:ascii="Times New Roman" w:eastAsia="Times New Roman" w:hAnsi="Times New Roman" w:cs="Times New Roman"/>
            <w:color w:val="000000"/>
            <w:sz w:val="24"/>
            <w:szCs w:val="24"/>
          </w:rPr>
          <w:t>Kanerva</w:t>
        </w:r>
        <w:proofErr w:type="spellEnd"/>
        <w:r>
          <w:rPr>
            <w:rFonts w:ascii="Times New Roman" w:eastAsia="Times New Roman" w:hAnsi="Times New Roman" w:cs="Times New Roman"/>
            <w:color w:val="000000"/>
            <w:sz w:val="24"/>
            <w:szCs w:val="24"/>
          </w:rPr>
          <w:t xml:space="preserve"> et al., 2012; </w:t>
        </w:r>
        <w:proofErr w:type="spellStart"/>
        <w:r>
          <w:rPr>
            <w:rFonts w:ascii="Times New Roman" w:eastAsia="Times New Roman" w:hAnsi="Times New Roman" w:cs="Times New Roman"/>
            <w:color w:val="000000"/>
            <w:sz w:val="24"/>
            <w:szCs w:val="24"/>
          </w:rPr>
          <w:t>Maukonen</w:t>
        </w:r>
        <w:proofErr w:type="spellEnd"/>
        <w:r>
          <w:rPr>
            <w:rFonts w:ascii="Times New Roman" w:eastAsia="Times New Roman" w:hAnsi="Times New Roman" w:cs="Times New Roman"/>
            <w:color w:val="000000"/>
            <w:sz w:val="24"/>
            <w:szCs w:val="24"/>
          </w:rPr>
          <w:t xml:space="preserve"> et al., 2017; </w:t>
        </w:r>
        <w:proofErr w:type="spellStart"/>
        <w:r>
          <w:rPr>
            <w:rFonts w:ascii="Times New Roman" w:eastAsia="Times New Roman" w:hAnsi="Times New Roman" w:cs="Times New Roman"/>
            <w:color w:val="000000"/>
            <w:sz w:val="24"/>
            <w:szCs w:val="24"/>
          </w:rPr>
          <w:t>Toktas</w:t>
        </w:r>
        <w:proofErr w:type="spellEnd"/>
        <w:r>
          <w:rPr>
            <w:rFonts w:ascii="Times New Roman" w:eastAsia="Times New Roman" w:hAnsi="Times New Roman" w:cs="Times New Roman"/>
            <w:color w:val="000000"/>
            <w:sz w:val="24"/>
            <w:szCs w:val="24"/>
          </w:rPr>
          <w:t xml:space="preserve"> et al., 2018)</w:t>
        </w:r>
      </w:hyperlink>
      <w:r>
        <w:rPr>
          <w:rFonts w:ascii="Times New Roman" w:eastAsia="Times New Roman" w:hAnsi="Times New Roman" w:cs="Times New Roman"/>
          <w:sz w:val="24"/>
          <w:szCs w:val="24"/>
        </w:rPr>
        <w:t xml:space="preserve">. One possible explanation is that higher dietary protein intake is associated with increased satiety and reduced appetite </w:t>
      </w:r>
      <w:hyperlink r:id="rId61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Paddon</w:t>
        </w:r>
        <w:proofErr w:type="spellEnd"/>
        <w:r>
          <w:rPr>
            <w:rFonts w:ascii="Times New Roman" w:eastAsia="Times New Roman" w:hAnsi="Times New Roman" w:cs="Times New Roman"/>
            <w:color w:val="000000"/>
            <w:sz w:val="24"/>
            <w:szCs w:val="24"/>
          </w:rPr>
          <w:t>-Jones et al., 2008)</w:t>
        </w:r>
      </w:hyperlink>
      <w:r>
        <w:rPr>
          <w:rFonts w:ascii="Times New Roman" w:eastAsia="Times New Roman" w:hAnsi="Times New Roman" w:cs="Times New Roman"/>
          <w:sz w:val="24"/>
          <w:szCs w:val="24"/>
        </w:rPr>
        <w:t xml:space="preserve">. Therefore, individuals consuming less protein are more likely to eat foods later to satisfy appetite. A systematic review of ten studies found that higher dietary protein intake influenced appetite sensations by enhancing </w:t>
      </w:r>
      <w:r>
        <w:rPr>
          <w:rFonts w:ascii="Times New Roman" w:eastAsia="Times New Roman" w:hAnsi="Times New Roman" w:cs="Times New Roman"/>
          <w:sz w:val="24"/>
          <w:szCs w:val="24"/>
        </w:rPr>
        <w:lastRenderedPageBreak/>
        <w:t xml:space="preserve">fullness or satiety in participants with overweight and obesity </w:t>
      </w:r>
      <w:hyperlink r:id="rId613">
        <w:r>
          <w:rPr>
            <w:rFonts w:ascii="Times New Roman" w:eastAsia="Times New Roman" w:hAnsi="Times New Roman" w:cs="Times New Roman"/>
            <w:color w:val="000000"/>
            <w:sz w:val="24"/>
            <w:szCs w:val="24"/>
          </w:rPr>
          <w:t>(de Carvalho et al., 2020)</w:t>
        </w:r>
      </w:hyperlink>
      <w:r>
        <w:rPr>
          <w:rFonts w:ascii="Times New Roman" w:eastAsia="Times New Roman" w:hAnsi="Times New Roman" w:cs="Times New Roman"/>
          <w:sz w:val="24"/>
          <w:szCs w:val="24"/>
        </w:rPr>
        <w:t xml:space="preserve">. Furthermore, in a randomised controlled trial, participants with overweight and obesity were randomised to groups that consumed an energy-restriction diet as either higher protein or normal protein for 12 weeks. It was found that the participants who consumed a high-protein, energy-restricted diet experienced a reduction in their late-night cravings and preoccupation with thoughts of food </w:t>
      </w:r>
      <w:hyperlink r:id="rId614">
        <w:r>
          <w:rPr>
            <w:rFonts w:ascii="Times New Roman" w:eastAsia="Times New Roman" w:hAnsi="Times New Roman" w:cs="Times New Roman"/>
            <w:color w:val="000000"/>
            <w:sz w:val="24"/>
            <w:szCs w:val="24"/>
          </w:rPr>
          <w:t>(Leidy et al., 2011)</w:t>
        </w:r>
      </w:hyperlink>
      <w:r>
        <w:rPr>
          <w:rFonts w:ascii="Times New Roman" w:eastAsia="Times New Roman" w:hAnsi="Times New Roman" w:cs="Times New Roman"/>
          <w:color w:val="000000"/>
          <w:sz w:val="24"/>
          <w:szCs w:val="24"/>
        </w:rPr>
        <w:t xml:space="preserve">, both of which increase during dieting </w:t>
      </w:r>
      <w:hyperlink r:id="rId615">
        <w:r>
          <w:rPr>
            <w:rFonts w:ascii="Times New Roman" w:eastAsia="Times New Roman" w:hAnsi="Times New Roman" w:cs="Times New Roman"/>
            <w:color w:val="000000"/>
            <w:sz w:val="24"/>
            <w:szCs w:val="24"/>
          </w:rPr>
          <w:t>(Timmerman and Gregg</w:t>
        </w:r>
        <w:r w:rsidR="00AC014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2003)</w:t>
        </w:r>
      </w:hyperlink>
      <w:r>
        <w:rPr>
          <w:rFonts w:ascii="Times New Roman" w:eastAsia="Times New Roman" w:hAnsi="Times New Roman" w:cs="Times New Roman"/>
          <w:sz w:val="24"/>
          <w:szCs w:val="24"/>
        </w:rPr>
        <w:t xml:space="preserve">. These findings show that consuming more dietary protein can reduce the desire to eat </w:t>
      </w:r>
      <w:hyperlink r:id="rId616">
        <w:r>
          <w:rPr>
            <w:rFonts w:ascii="Times New Roman" w:eastAsia="Times New Roman" w:hAnsi="Times New Roman" w:cs="Times New Roman"/>
            <w:color w:val="000000"/>
            <w:sz w:val="24"/>
            <w:szCs w:val="24"/>
          </w:rPr>
          <w:t>(Timmerman and Gregg</w:t>
        </w:r>
        <w:r w:rsidR="00D54CC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2003)</w:t>
        </w:r>
      </w:hyperlink>
      <w:r>
        <w:rPr>
          <w:rFonts w:ascii="Times New Roman" w:eastAsia="Times New Roman" w:hAnsi="Times New Roman" w:cs="Times New Roman"/>
          <w:sz w:val="24"/>
          <w:szCs w:val="24"/>
        </w:rPr>
        <w:t xml:space="preserve"> and might lead to reduced late night snacking and overconsumption in the evening </w:t>
      </w:r>
      <w:hyperlink r:id="rId617">
        <w:r>
          <w:rPr>
            <w:rFonts w:ascii="Times New Roman" w:eastAsia="Times New Roman" w:hAnsi="Times New Roman" w:cs="Times New Roman"/>
            <w:color w:val="000000"/>
            <w:sz w:val="24"/>
            <w:szCs w:val="24"/>
          </w:rPr>
          <w:t>(Waller et al., 2004)</w:t>
        </w:r>
      </w:hyperlink>
      <w:r>
        <w:rPr>
          <w:rFonts w:ascii="Times New Roman" w:eastAsia="Times New Roman" w:hAnsi="Times New Roman" w:cs="Times New Roman"/>
          <w:sz w:val="24"/>
          <w:szCs w:val="24"/>
        </w:rPr>
        <w:t>.</w:t>
      </w:r>
    </w:p>
    <w:p w14:paraId="0000097B" w14:textId="77777777" w:rsidR="00CB4215" w:rsidRDefault="00CB4215">
      <w:pPr>
        <w:spacing w:line="480" w:lineRule="auto"/>
        <w:rPr>
          <w:rFonts w:ascii="Times New Roman" w:eastAsia="Times New Roman" w:hAnsi="Times New Roman" w:cs="Times New Roman"/>
          <w:sz w:val="24"/>
          <w:szCs w:val="24"/>
        </w:rPr>
      </w:pPr>
    </w:p>
    <w:p w14:paraId="0000097C" w14:textId="368FE8C3"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macronutrient composition, this study found that late eaters reported poorer dietary quality than early eaters. This aligns with previous work indicating that individuals with evening types had unhealthy eating habits, such as later meal timings and poorer diet quality </w:t>
      </w:r>
      <w:hyperlink r:id="rId61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Kanerva</w:t>
        </w:r>
        <w:proofErr w:type="spellEnd"/>
        <w:r>
          <w:rPr>
            <w:rFonts w:ascii="Times New Roman" w:eastAsia="Times New Roman" w:hAnsi="Times New Roman" w:cs="Times New Roman"/>
            <w:color w:val="000000"/>
            <w:sz w:val="24"/>
            <w:szCs w:val="24"/>
          </w:rPr>
          <w:t xml:space="preserve"> et al., 2012; </w:t>
        </w:r>
        <w:proofErr w:type="spellStart"/>
        <w:r>
          <w:rPr>
            <w:rFonts w:ascii="Times New Roman" w:eastAsia="Times New Roman" w:hAnsi="Times New Roman" w:cs="Times New Roman"/>
            <w:color w:val="000000"/>
            <w:sz w:val="24"/>
            <w:szCs w:val="24"/>
          </w:rPr>
          <w:t>Taillard</w:t>
        </w:r>
        <w:proofErr w:type="spellEnd"/>
        <w:r>
          <w:rPr>
            <w:rFonts w:ascii="Times New Roman" w:eastAsia="Times New Roman" w:hAnsi="Times New Roman" w:cs="Times New Roman"/>
            <w:color w:val="000000"/>
            <w:sz w:val="24"/>
            <w:szCs w:val="24"/>
          </w:rPr>
          <w:t xml:space="preserve"> et al., 2001)</w:t>
        </w:r>
      </w:hyperlink>
      <w:r>
        <w:rPr>
          <w:rFonts w:ascii="Times New Roman" w:eastAsia="Times New Roman" w:hAnsi="Times New Roman" w:cs="Times New Roman"/>
          <w:sz w:val="24"/>
          <w:szCs w:val="24"/>
        </w:rPr>
        <w:t xml:space="preserve">. Indeed, a systematic review of 43 studies found that late types were more likely to consume foods with low nutritional value or high fat content, e.g., sugar, sweetened beverages or soda, and chocolate. Conversely, consumption of nutritious foods, such as fish, fruit, vegetables, cereals and dairy products was higher among early types than among late types </w:t>
      </w:r>
      <w:hyperlink r:id="rId619">
        <w:r>
          <w:rPr>
            <w:rFonts w:ascii="Times New Roman" w:eastAsia="Times New Roman" w:hAnsi="Times New Roman" w:cs="Times New Roman"/>
            <w:color w:val="000000"/>
            <w:sz w:val="24"/>
            <w:szCs w:val="24"/>
          </w:rPr>
          <w:t>(Teixeira et al., 2022)</w:t>
        </w:r>
      </w:hyperlink>
      <w:r>
        <w:rPr>
          <w:rFonts w:ascii="Times New Roman" w:eastAsia="Times New Roman" w:hAnsi="Times New Roman" w:cs="Times New Roman"/>
          <w:sz w:val="24"/>
          <w:szCs w:val="24"/>
        </w:rPr>
        <w:t xml:space="preserve">. The dopamine-mediated reward system in the brain may explain the different types of food consumption between early and late type. This system plays a significant role in regulating reward-driven behaviour, particularly in relation to food consumption </w:t>
      </w:r>
      <w:hyperlink r:id="rId620">
        <w:r>
          <w:rPr>
            <w:rFonts w:ascii="Times New Roman" w:eastAsia="Times New Roman" w:hAnsi="Times New Roman" w:cs="Times New Roman"/>
            <w:color w:val="000000"/>
            <w:sz w:val="24"/>
            <w:szCs w:val="24"/>
          </w:rPr>
          <w:t>(Parekh and McClung</w:t>
        </w:r>
        <w:r w:rsidR="00D54CC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2015)</w:t>
        </w:r>
      </w:hyperlink>
      <w:r>
        <w:rPr>
          <w:rFonts w:ascii="Times New Roman" w:eastAsia="Times New Roman" w:hAnsi="Times New Roman" w:cs="Times New Roman"/>
          <w:sz w:val="24"/>
          <w:szCs w:val="24"/>
        </w:rPr>
        <w:t xml:space="preserve">. The dopamine-mediated pathways involve projections from the ventral tegmental </w:t>
      </w:r>
      <w:r w:rsidRPr="00295818">
        <w:rPr>
          <w:rFonts w:ascii="Times New Roman" w:eastAsia="Times New Roman" w:hAnsi="Times New Roman" w:cs="Times New Roman"/>
          <w:sz w:val="24"/>
          <w:szCs w:val="24"/>
        </w:rPr>
        <w:t xml:space="preserve">area to the </w:t>
      </w:r>
      <w:r w:rsidR="00295818" w:rsidRPr="00295818">
        <w:rPr>
          <w:rFonts w:ascii="Times New Roman" w:hAnsi="Times New Roman" w:cs="Times New Roman"/>
          <w:sz w:val="24"/>
          <w:szCs w:val="24"/>
        </w:rPr>
        <w:t xml:space="preserve">nucleus </w:t>
      </w:r>
      <w:proofErr w:type="spellStart"/>
      <w:r w:rsidR="00295818" w:rsidRPr="00295818">
        <w:rPr>
          <w:rFonts w:ascii="Times New Roman" w:hAnsi="Times New Roman" w:cs="Times New Roman"/>
          <w:sz w:val="24"/>
          <w:szCs w:val="24"/>
        </w:rPr>
        <w:t>accumbens</w:t>
      </w:r>
      <w:proofErr w:type="spellEnd"/>
      <w:r w:rsidRPr="00295818">
        <w:rPr>
          <w:rFonts w:ascii="Times New Roman" w:eastAsia="Times New Roman" w:hAnsi="Times New Roman" w:cs="Times New Roman"/>
          <w:sz w:val="24"/>
          <w:szCs w:val="24"/>
        </w:rPr>
        <w:t>, a part of the ventral striatum, and the prefrontal cortex</w:t>
      </w:r>
      <w:r>
        <w:rPr>
          <w:rFonts w:ascii="Times New Roman" w:eastAsia="Times New Roman" w:hAnsi="Times New Roman" w:cs="Times New Roman"/>
          <w:sz w:val="24"/>
          <w:szCs w:val="24"/>
        </w:rPr>
        <w:t xml:space="preserve"> region </w:t>
      </w:r>
      <w:hyperlink r:id="rId621">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DiLeone</w:t>
        </w:r>
        <w:proofErr w:type="spellEnd"/>
        <w:r>
          <w:rPr>
            <w:rFonts w:ascii="Times New Roman" w:eastAsia="Times New Roman" w:hAnsi="Times New Roman" w:cs="Times New Roman"/>
            <w:color w:val="000000"/>
            <w:sz w:val="24"/>
            <w:szCs w:val="24"/>
          </w:rPr>
          <w:t xml:space="preserve"> et al., 2012)</w:t>
        </w:r>
      </w:hyperlink>
      <w:r>
        <w:rPr>
          <w:rFonts w:ascii="Times New Roman" w:eastAsia="Times New Roman" w:hAnsi="Times New Roman" w:cs="Times New Roman"/>
          <w:sz w:val="24"/>
          <w:szCs w:val="24"/>
        </w:rPr>
        <w:t xml:space="preserve">. An experimental study conducted by Hasler et al. (2013) in healthy adults compared the neural response to monetary reward in early and late types and showed reduced regulatory </w:t>
      </w:r>
      <w:r>
        <w:rPr>
          <w:rFonts w:ascii="Times New Roman" w:eastAsia="Times New Roman" w:hAnsi="Times New Roman" w:cs="Times New Roman"/>
          <w:sz w:val="24"/>
          <w:szCs w:val="24"/>
        </w:rPr>
        <w:lastRenderedPageBreak/>
        <w:t xml:space="preserve">control and increased reward sensitivity in late types, suggesting more impulsivity in their choices. Furthermore, people with higher reward sensitivity were found to consume more unhealthy foods than people with lower reward sensitivity </w:t>
      </w:r>
      <w:hyperlink r:id="rId62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Nansel</w:t>
        </w:r>
        <w:proofErr w:type="spellEnd"/>
        <w:r>
          <w:rPr>
            <w:rFonts w:ascii="Times New Roman" w:eastAsia="Times New Roman" w:hAnsi="Times New Roman" w:cs="Times New Roman"/>
            <w:color w:val="000000"/>
            <w:sz w:val="24"/>
            <w:szCs w:val="24"/>
          </w:rPr>
          <w:t xml:space="preserve"> et al., 2016; </w:t>
        </w:r>
        <w:proofErr w:type="spellStart"/>
        <w:r>
          <w:rPr>
            <w:rFonts w:ascii="Times New Roman" w:eastAsia="Times New Roman" w:hAnsi="Times New Roman" w:cs="Times New Roman"/>
            <w:color w:val="000000"/>
            <w:sz w:val="24"/>
            <w:szCs w:val="24"/>
          </w:rPr>
          <w:t>Melbye</w:t>
        </w:r>
        <w:proofErr w:type="spellEnd"/>
        <w:r>
          <w:rPr>
            <w:rFonts w:ascii="Times New Roman" w:eastAsia="Times New Roman" w:hAnsi="Times New Roman" w:cs="Times New Roman"/>
            <w:color w:val="000000"/>
            <w:sz w:val="24"/>
            <w:szCs w:val="24"/>
          </w:rPr>
          <w:t xml:space="preserve"> et al., 2016; </w:t>
        </w:r>
        <w:proofErr w:type="spellStart"/>
        <w:r>
          <w:rPr>
            <w:rFonts w:ascii="Times New Roman" w:eastAsia="Times New Roman" w:hAnsi="Times New Roman" w:cs="Times New Roman"/>
            <w:color w:val="000000"/>
            <w:sz w:val="24"/>
            <w:szCs w:val="24"/>
          </w:rPr>
          <w:t>Kakoschke</w:t>
        </w:r>
        <w:proofErr w:type="spellEnd"/>
        <w:r>
          <w:rPr>
            <w:rFonts w:ascii="Times New Roman" w:eastAsia="Times New Roman" w:hAnsi="Times New Roman" w:cs="Times New Roman"/>
            <w:color w:val="000000"/>
            <w:sz w:val="24"/>
            <w:szCs w:val="24"/>
          </w:rPr>
          <w:t xml:space="preserve"> et al., 2015)</w:t>
        </w:r>
      </w:hyperlink>
      <w:r>
        <w:rPr>
          <w:rFonts w:ascii="Times New Roman" w:eastAsia="Times New Roman" w:hAnsi="Times New Roman" w:cs="Times New Roman"/>
          <w:sz w:val="24"/>
          <w:szCs w:val="24"/>
        </w:rPr>
        <w:t xml:space="preserve">. As such, it is possible that reward-driven eating may increase the intake of poor nutritional foods and reduce the dietary quality of late eaters. </w:t>
      </w:r>
    </w:p>
    <w:p w14:paraId="0000097D" w14:textId="77777777" w:rsidR="00CB4215" w:rsidRDefault="00CB4215">
      <w:pPr>
        <w:spacing w:line="480" w:lineRule="auto"/>
        <w:rPr>
          <w:rFonts w:ascii="Times New Roman" w:eastAsia="Times New Roman" w:hAnsi="Times New Roman" w:cs="Times New Roman"/>
          <w:sz w:val="24"/>
          <w:szCs w:val="24"/>
        </w:rPr>
      </w:pPr>
    </w:p>
    <w:p w14:paraId="0000097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on the previous study (Chapter 4) using self-reported physical activity and sleep, this study used accelerometers to measure physical activity and sleep. Preliminary results showed that none of the health behaviours (step count, MVPA, energy expenditure, sleep duration and efficiency) significantly differed between early versus late eaters. This is in line with a few other studies using self-reported questionnaires that found no significant association between meal timing and physical activity </w:t>
      </w:r>
      <w:hyperlink r:id="rId623">
        <w:r>
          <w:rPr>
            <w:rFonts w:ascii="Times New Roman" w:eastAsia="Times New Roman" w:hAnsi="Times New Roman" w:cs="Times New Roman"/>
            <w:color w:val="000000"/>
            <w:sz w:val="24"/>
            <w:szCs w:val="24"/>
          </w:rPr>
          <w:t xml:space="preserve">(Lent et al., 2022; </w:t>
        </w:r>
        <w:proofErr w:type="spellStart"/>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et al., 2013; </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yet these studies showed that late eating was associated increased BMI and reduced weight loss. The agreement between the results of different assessment methods (objective measurement versus self-reported questionnaire) probably means that other factors, such as total energy intake, diet quality or individual differences, may influence physical activity. However, the results of the current study differ from previous studies, which showed an association between late eating and lower levels of physical activity </w:t>
      </w:r>
      <w:hyperlink r:id="rId624">
        <w:r>
          <w:rPr>
            <w:rFonts w:ascii="Times New Roman" w:eastAsia="Times New Roman" w:hAnsi="Times New Roman" w:cs="Times New Roman"/>
            <w:color w:val="000000"/>
            <w:sz w:val="24"/>
            <w:szCs w:val="24"/>
          </w:rPr>
          <w:t xml:space="preserve">(Thomas et al., 2020; </w:t>
        </w:r>
        <w:proofErr w:type="spellStart"/>
        <w:r>
          <w:rPr>
            <w:rFonts w:ascii="Times New Roman" w:eastAsia="Times New Roman" w:hAnsi="Times New Roman" w:cs="Times New Roman"/>
            <w:color w:val="000000"/>
            <w:sz w:val="24"/>
            <w:szCs w:val="24"/>
          </w:rPr>
          <w:t>Vujović</w:t>
        </w:r>
        <w:proofErr w:type="spellEnd"/>
        <w:r>
          <w:rPr>
            <w:rFonts w:ascii="Times New Roman" w:eastAsia="Times New Roman" w:hAnsi="Times New Roman" w:cs="Times New Roman"/>
            <w:color w:val="000000"/>
            <w:sz w:val="24"/>
            <w:szCs w:val="24"/>
          </w:rPr>
          <w:t xml:space="preserve"> et al., 2022)</w:t>
        </w:r>
      </w:hyperlink>
      <w:r>
        <w:rPr>
          <w:rFonts w:ascii="Times New Roman" w:eastAsia="Times New Roman" w:hAnsi="Times New Roman" w:cs="Times New Roman"/>
          <w:sz w:val="24"/>
          <w:szCs w:val="24"/>
        </w:rPr>
        <w:t xml:space="preserve">. For example, using 3-day photographic food records to assess dietary intake and 7-day </w:t>
      </w:r>
      <w:proofErr w:type="spellStart"/>
      <w:r>
        <w:rPr>
          <w:rFonts w:ascii="Times New Roman" w:eastAsia="Times New Roman" w:hAnsi="Times New Roman" w:cs="Times New Roman"/>
          <w:sz w:val="24"/>
          <w:szCs w:val="24"/>
        </w:rPr>
        <w:t>ActivPAL</w:t>
      </w:r>
      <w:proofErr w:type="spellEnd"/>
      <w:r>
        <w:rPr>
          <w:rFonts w:ascii="Times New Roman" w:eastAsia="Times New Roman" w:hAnsi="Times New Roman" w:cs="Times New Roman"/>
          <w:sz w:val="24"/>
          <w:szCs w:val="24"/>
        </w:rPr>
        <w:t xml:space="preserve"> 3 Micro accelerometer to assess physical activity, Thomas and colleagues (2020) found that late eating was associated with lower physical activity, such as number of steps, stepping time, and metabolic equivalents per hour (MET-h), but not associated with increased energy intake in participants with overweight and obesity. However, Thomas and colleagues (2020) assessed meal timing by the midpoint of the daily consumption window, the clock time of the halfway point between the start and end </w:t>
      </w:r>
      <w:r>
        <w:rPr>
          <w:rFonts w:ascii="Times New Roman" w:eastAsia="Times New Roman" w:hAnsi="Times New Roman" w:cs="Times New Roman"/>
          <w:sz w:val="24"/>
          <w:szCs w:val="24"/>
        </w:rPr>
        <w:lastRenderedPageBreak/>
        <w:t xml:space="preserve">of the daily consumption window. In the current study, the time of the last eating episode was used. Therefore, different definitions of meal timing may explain the inconsistent results. Overall, data on the effects of meal timing on physical activity are limited, and future studies should evaluate these relationships more carefully.   </w:t>
      </w:r>
    </w:p>
    <w:p w14:paraId="0000097F" w14:textId="77777777" w:rsidR="00CB4215" w:rsidRDefault="00CB4215">
      <w:pPr>
        <w:spacing w:line="480" w:lineRule="auto"/>
        <w:rPr>
          <w:rFonts w:ascii="Times New Roman" w:eastAsia="Times New Roman" w:hAnsi="Times New Roman" w:cs="Times New Roman"/>
          <w:sz w:val="24"/>
          <w:szCs w:val="24"/>
        </w:rPr>
      </w:pPr>
    </w:p>
    <w:p w14:paraId="00000980"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has several strengths. Firstly, this study is the first to explore the associations between late eating, eating behaviour traits, dietary intake and objective measures of health behaviours. In addition, the current study used multiple psychometric questionnaires to measure eating behaviour traits and objective assessments to measure health behaviours to extend a previous study that used the Three-Factor Eating Questionnaire (TFEQ), the Binge Eating Scale (BES) and self-reported sleep in adults with overweight and obesity (</w:t>
      </w:r>
      <w:hyperlink r:id="rId625">
        <w:r>
          <w:rPr>
            <w:rFonts w:ascii="Times New Roman" w:eastAsia="Times New Roman" w:hAnsi="Times New Roman" w:cs="Times New Roman"/>
            <w:color w:val="000000"/>
            <w:sz w:val="24"/>
            <w:szCs w:val="24"/>
          </w:rPr>
          <w:t>Jacob et al., 2023</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Secondly, height and weight were objectively measured by the researcher. Individuals with obesity are more likely to underreport their weight than healthy individuals </w:t>
      </w:r>
      <w:hyperlink r:id="rId626">
        <w:r>
          <w:rPr>
            <w:rFonts w:ascii="Times New Roman" w:eastAsia="Times New Roman" w:hAnsi="Times New Roman" w:cs="Times New Roman"/>
            <w:color w:val="000000"/>
            <w:sz w:val="24"/>
            <w:szCs w:val="24"/>
          </w:rPr>
          <w:t>(Tang et al., 2016)</w:t>
        </w:r>
      </w:hyperlink>
      <w:r>
        <w:rPr>
          <w:rFonts w:ascii="Times New Roman" w:eastAsia="Times New Roman" w:hAnsi="Times New Roman" w:cs="Times New Roman"/>
          <w:sz w:val="24"/>
          <w:szCs w:val="24"/>
        </w:rPr>
        <w:t xml:space="preserve">. Therefore, compared to the previous chapter with self-reported height and weight, objective assessment could reduce the risk of error and increase the reliability of the measurements </w:t>
      </w:r>
      <w:hyperlink r:id="rId627">
        <w:r>
          <w:rPr>
            <w:rFonts w:ascii="Times New Roman" w:eastAsia="Times New Roman" w:hAnsi="Times New Roman" w:cs="Times New Roman"/>
            <w:color w:val="000000"/>
            <w:sz w:val="24"/>
            <w:szCs w:val="24"/>
          </w:rPr>
          <w:t>(Olfert et al., 2018)</w:t>
        </w:r>
      </w:hyperlink>
      <w:r>
        <w:rPr>
          <w:rFonts w:ascii="Times New Roman" w:eastAsia="Times New Roman" w:hAnsi="Times New Roman" w:cs="Times New Roman"/>
          <w:sz w:val="24"/>
          <w:szCs w:val="24"/>
        </w:rPr>
        <w:t xml:space="preserve">. Thirdly, in the current study, physical activity and sleep were objectively measured by accelerometers for 14 days. Most studies including previous study (Chapter 4) conducted used self-reported methods to assess health behaviours, which are prone to inaccuracy </w:t>
      </w:r>
      <w:hyperlink r:id="rId628">
        <w:r>
          <w:rPr>
            <w:rFonts w:ascii="Times New Roman" w:eastAsia="Times New Roman" w:hAnsi="Times New Roman" w:cs="Times New Roman"/>
            <w:color w:val="000000"/>
            <w:sz w:val="24"/>
            <w:szCs w:val="24"/>
          </w:rPr>
          <w:t>(McClung et al., 2018)</w:t>
        </w:r>
      </w:hyperlink>
      <w:r>
        <w:rPr>
          <w:rFonts w:ascii="Times New Roman" w:eastAsia="Times New Roman" w:hAnsi="Times New Roman" w:cs="Times New Roman"/>
          <w:sz w:val="24"/>
          <w:szCs w:val="24"/>
        </w:rPr>
        <w:t xml:space="preserve">. </w:t>
      </w:r>
    </w:p>
    <w:p w14:paraId="00000981" w14:textId="77777777" w:rsidR="00CB4215" w:rsidRDefault="00CB4215">
      <w:pPr>
        <w:spacing w:line="480" w:lineRule="auto"/>
        <w:rPr>
          <w:rFonts w:ascii="Times New Roman" w:eastAsia="Times New Roman" w:hAnsi="Times New Roman" w:cs="Times New Roman"/>
          <w:sz w:val="24"/>
          <w:szCs w:val="24"/>
        </w:rPr>
      </w:pPr>
    </w:p>
    <w:p w14:paraId="00000982" w14:textId="359F0606" w:rsidR="00CB4215" w:rsidRDefault="000530B4" w:rsidP="002C2D4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its strengths, this study has limitations that need to be considered. Firstly, in alignment with the majority of studies on meal timing (e.g. </w:t>
      </w:r>
      <w:hyperlink r:id="rId629">
        <w:r>
          <w:rPr>
            <w:rFonts w:ascii="Times New Roman" w:eastAsia="Times New Roman" w:hAnsi="Times New Roman" w:cs="Times New Roman"/>
            <w:color w:val="000000"/>
            <w:sz w:val="24"/>
            <w:szCs w:val="24"/>
          </w:rPr>
          <w:t xml:space="preserve">Baron et al., 2011; </w:t>
        </w:r>
        <w:proofErr w:type="spellStart"/>
        <w:r>
          <w:rPr>
            <w:rFonts w:ascii="Times New Roman" w:eastAsia="Times New Roman" w:hAnsi="Times New Roman" w:cs="Times New Roman"/>
            <w:color w:val="000000"/>
            <w:sz w:val="24"/>
            <w:szCs w:val="24"/>
          </w:rPr>
          <w:t>McHill</w:t>
        </w:r>
        <w:proofErr w:type="spellEnd"/>
        <w:r>
          <w:rPr>
            <w:rFonts w:ascii="Times New Roman" w:eastAsia="Times New Roman" w:hAnsi="Times New Roman" w:cs="Times New Roman"/>
            <w:color w:val="000000"/>
            <w:sz w:val="24"/>
            <w:szCs w:val="24"/>
          </w:rPr>
          <w:t xml:space="preserve"> et al., 2017; Thomas et al., 2020)</w:t>
        </w:r>
      </w:hyperlink>
      <w:r>
        <w:rPr>
          <w:rFonts w:ascii="Times New Roman" w:eastAsia="Times New Roman" w:hAnsi="Times New Roman" w:cs="Times New Roman"/>
          <w:sz w:val="24"/>
          <w:szCs w:val="24"/>
        </w:rPr>
        <w:t xml:space="preserve">, this study used a self-report method to measure food intake, which tended to be underestimated, especially in participants with a higher BMI </w:t>
      </w:r>
      <w:hyperlink r:id="rId63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Heitmann</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Lissner</w:t>
        </w:r>
        <w:proofErr w:type="spellEnd"/>
        <w:r w:rsidR="00AC014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1995)</w:t>
        </w:r>
      </w:hyperlink>
      <w:sdt>
        <w:sdtPr>
          <w:rPr>
            <w:rFonts w:ascii="Times New Roman" w:hAnsi="Times New Roman" w:cs="Times New Roman"/>
            <w:sz w:val="24"/>
            <w:szCs w:val="24"/>
          </w:rPr>
          <w:tag w:val="goog_rdk_54"/>
          <w:id w:val="-1481682425"/>
        </w:sdtPr>
        <w:sdtEndPr/>
        <w:sdtContent>
          <w:r w:rsidRPr="002C2D40">
            <w:rPr>
              <w:rFonts w:ascii="Times New Roman" w:eastAsia="Gungsuh" w:hAnsi="Times New Roman" w:cs="Times New Roman"/>
              <w:sz w:val="24"/>
              <w:szCs w:val="24"/>
            </w:rPr>
            <w:t xml:space="preserve">. Therefore, misreporting of energy intake should be considered in the </w:t>
          </w:r>
          <w:r w:rsidRPr="002C2D40">
            <w:rPr>
              <w:rFonts w:ascii="Times New Roman" w:eastAsia="Gungsuh" w:hAnsi="Times New Roman" w:cs="Times New Roman"/>
              <w:sz w:val="24"/>
              <w:szCs w:val="24"/>
            </w:rPr>
            <w:lastRenderedPageBreak/>
            <w:t xml:space="preserve">future studies. Secondly, this sample consists primarily of highly educated white women with relatively high household incomes (47% ≥ £40 000), thus, it may not be representative of the general population. This is important given that people with higher education report lower total energy intake and higher intakes of foods considered part of a healthy diet, such as fruit, vegetables and fibre-rich cereals </w:t>
          </w:r>
        </w:sdtContent>
      </w:sdt>
      <w:hyperlink r:id="rId631">
        <w:r w:rsidRPr="002C2D40">
          <w:rPr>
            <w:rFonts w:ascii="Times New Roman" w:eastAsia="Times New Roman" w:hAnsi="Times New Roman" w:cs="Times New Roman"/>
            <w:color w:val="000000"/>
            <w:sz w:val="24"/>
            <w:szCs w:val="24"/>
          </w:rPr>
          <w:t>(</w:t>
        </w:r>
        <w:proofErr w:type="spellStart"/>
        <w:r w:rsidRPr="002C2D40">
          <w:rPr>
            <w:rFonts w:ascii="Times New Roman" w:eastAsia="Times New Roman" w:hAnsi="Times New Roman" w:cs="Times New Roman"/>
            <w:color w:val="000000"/>
            <w:sz w:val="24"/>
            <w:szCs w:val="24"/>
          </w:rPr>
          <w:t>Biesbroek</w:t>
        </w:r>
        <w:proofErr w:type="spellEnd"/>
        <w:r w:rsidRPr="002C2D40">
          <w:rPr>
            <w:rFonts w:ascii="Times New Roman" w:eastAsia="Times New Roman" w:hAnsi="Times New Roman" w:cs="Times New Roman"/>
            <w:color w:val="000000"/>
            <w:sz w:val="24"/>
            <w:szCs w:val="24"/>
          </w:rPr>
          <w:t xml:space="preserve"> et al., 2018)</w:t>
        </w:r>
      </w:hyperlink>
      <w:r w:rsidRPr="002C2D40">
        <w:rPr>
          <w:rFonts w:ascii="Times New Roman" w:eastAsia="Times New Roman" w:hAnsi="Times New Roman" w:cs="Times New Roman"/>
          <w:sz w:val="24"/>
          <w:szCs w:val="24"/>
        </w:rPr>
        <w:t>. As such, the findings may not generalise to other individuals from other ethnicities and lower socioeconomic backgrounds. This is particularly important given the social</w:t>
      </w:r>
      <w:r>
        <w:rPr>
          <w:rFonts w:ascii="Times New Roman" w:eastAsia="Times New Roman" w:hAnsi="Times New Roman" w:cs="Times New Roman"/>
          <w:sz w:val="24"/>
          <w:szCs w:val="24"/>
        </w:rPr>
        <w:t xml:space="preserve"> gradient in obesity with highest obesity rates amongst those from the most deprived areas (Brehm and </w:t>
      </w:r>
      <w:proofErr w:type="spellStart"/>
      <w:r>
        <w:rPr>
          <w:rFonts w:ascii="Times New Roman" w:eastAsia="Times New Roman" w:hAnsi="Times New Roman" w:cs="Times New Roman"/>
          <w:sz w:val="24"/>
          <w:szCs w:val="24"/>
        </w:rPr>
        <w:t>D’Alessio</w:t>
      </w:r>
      <w:proofErr w:type="spellEnd"/>
      <w:r w:rsidR="00D54C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2000). The final limitation is the potential for type I error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large number of comparisons between early and late eaters in this pilot study </w:t>
      </w:r>
      <w:hyperlink r:id="rId632">
        <w:r>
          <w:rPr>
            <w:rFonts w:ascii="Times New Roman" w:eastAsia="Times New Roman" w:hAnsi="Times New Roman" w:cs="Times New Roman"/>
            <w:color w:val="000000"/>
            <w:sz w:val="24"/>
            <w:szCs w:val="24"/>
          </w:rPr>
          <w:t>(Knudson and Lindsey</w:t>
        </w:r>
        <w:r w:rsidR="00D54CC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2014)</w:t>
        </w:r>
      </w:hyperlink>
      <w:r>
        <w:rPr>
          <w:rFonts w:ascii="Times New Roman" w:eastAsia="Times New Roman" w:hAnsi="Times New Roman" w:cs="Times New Roman"/>
          <w:sz w:val="24"/>
          <w:szCs w:val="24"/>
        </w:rPr>
        <w:t>. And the small sample size could explain no differences between early and late eaters and the lack of associations between variables. As such, increasing the number of participants in future investigations would allow further exploration of the differences in eating behaviour traits and health behaviours in early eaters and late eaters.</w:t>
      </w:r>
    </w:p>
    <w:p w14:paraId="00000983" w14:textId="77777777" w:rsidR="00CB4215" w:rsidRDefault="00CB4215">
      <w:pPr>
        <w:spacing w:line="480" w:lineRule="auto"/>
        <w:rPr>
          <w:rFonts w:ascii="Times New Roman" w:eastAsia="Times New Roman" w:hAnsi="Times New Roman" w:cs="Times New Roman"/>
          <w:sz w:val="24"/>
          <w:szCs w:val="24"/>
        </w:rPr>
      </w:pPr>
    </w:p>
    <w:p w14:paraId="00000984" w14:textId="77777777" w:rsidR="00CB4215" w:rsidRDefault="000530B4">
      <w:pPr>
        <w:pStyle w:val="Heading3"/>
        <w:rPr>
          <w:rFonts w:ascii="Times New Roman" w:eastAsia="Times New Roman" w:hAnsi="Times New Roman" w:cs="Times New Roman"/>
          <w:b/>
          <w:color w:val="000000"/>
        </w:rPr>
      </w:pPr>
      <w:bookmarkStart w:id="103" w:name="_Toc172984814"/>
      <w:r>
        <w:rPr>
          <w:rFonts w:ascii="Times New Roman" w:eastAsia="Times New Roman" w:hAnsi="Times New Roman" w:cs="Times New Roman"/>
          <w:b/>
          <w:color w:val="000000"/>
        </w:rPr>
        <w:t>5.6 Conclusion</w:t>
      </w:r>
      <w:bookmarkEnd w:id="103"/>
    </w:p>
    <w:p w14:paraId="00000985" w14:textId="77777777" w:rsidR="00CB4215" w:rsidRDefault="00CB4215"/>
    <w:p w14:paraId="00000986" w14:textId="30B6DB70"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this pilot study showed late eating was not linked with increased BMI yet associated with higher scores on uncontrolled eating. The study also found that late eaters reported significantly higher protein% consumption and poorer dietary quality than early eaters. Overall pilot findings demonstrate that late eating may be associated with increased susceptibility to overconsumption. However, the small sample size cautions the overinterpretation of inferential statistics. Therefore, a larger trial is needed to verify these findings. Furthermore, it is helpful to explore the factors contributing to late eating before </w:t>
      </w:r>
      <w:r>
        <w:rPr>
          <w:rFonts w:ascii="Times New Roman" w:eastAsia="Times New Roman" w:hAnsi="Times New Roman" w:cs="Times New Roman"/>
          <w:sz w:val="24"/>
          <w:szCs w:val="24"/>
        </w:rPr>
        <w:lastRenderedPageBreak/>
        <w:t>designing the interventions to encourage earlier eating times in people at risk of overconsumption and obesity.</w:t>
      </w:r>
    </w:p>
    <w:p w14:paraId="720D278F" w14:textId="77777777" w:rsidR="00AC014F" w:rsidRDefault="00AC014F">
      <w:pPr>
        <w:spacing w:line="480" w:lineRule="auto"/>
        <w:rPr>
          <w:rFonts w:ascii="Times New Roman" w:eastAsia="Times New Roman" w:hAnsi="Times New Roman" w:cs="Times New Roman"/>
          <w:sz w:val="24"/>
          <w:szCs w:val="24"/>
        </w:rPr>
      </w:pPr>
    </w:p>
    <w:p w14:paraId="00000987" w14:textId="77777777" w:rsidR="00CB4215" w:rsidRDefault="000530B4">
      <w:pPr>
        <w:pStyle w:val="Heading3"/>
        <w:rPr>
          <w:rFonts w:ascii="Times New Roman" w:eastAsia="Times New Roman" w:hAnsi="Times New Roman" w:cs="Times New Roman"/>
          <w:b/>
          <w:color w:val="000000"/>
        </w:rPr>
      </w:pPr>
      <w:bookmarkStart w:id="104" w:name="_Toc172984815"/>
      <w:r>
        <w:rPr>
          <w:rFonts w:ascii="Times New Roman" w:eastAsia="Times New Roman" w:hAnsi="Times New Roman" w:cs="Times New Roman"/>
          <w:b/>
          <w:color w:val="000000"/>
        </w:rPr>
        <w:t>5.7 Key findings</w:t>
      </w:r>
      <w:bookmarkEnd w:id="104"/>
    </w:p>
    <w:p w14:paraId="00000988" w14:textId="77777777" w:rsidR="00CB4215" w:rsidRDefault="00CB4215"/>
    <w:p w14:paraId="00000989" w14:textId="77777777" w:rsidR="00CB4215" w:rsidRDefault="000530B4">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 eating was not significantly associated with higher BMI.</w:t>
      </w:r>
    </w:p>
    <w:p w14:paraId="0000098A" w14:textId="77777777" w:rsidR="00CB4215" w:rsidRDefault="000530B4">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 eating was significantly associated with higher uncontrolled eating and was not associated with other eating behaviour traits. </w:t>
      </w:r>
    </w:p>
    <w:p w14:paraId="0000098B" w14:textId="77777777" w:rsidR="00CB4215" w:rsidRDefault="000530B4">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 eaters consumed significantly less %protein and reported significantly poorer dietary quality than early eaters. Other health behaviours did not significantly differ between early versus late eaters. </w:t>
      </w:r>
    </w:p>
    <w:p w14:paraId="0000098C" w14:textId="77777777" w:rsidR="00CB4215" w:rsidRDefault="00CB4215">
      <w:pPr>
        <w:spacing w:line="480" w:lineRule="auto"/>
        <w:rPr>
          <w:rFonts w:ascii="Times New Roman" w:eastAsia="Times New Roman" w:hAnsi="Times New Roman" w:cs="Times New Roman"/>
          <w:sz w:val="24"/>
          <w:szCs w:val="24"/>
        </w:rPr>
      </w:pPr>
    </w:p>
    <w:p w14:paraId="0000098D" w14:textId="77777777" w:rsidR="00CB4215" w:rsidRDefault="000530B4">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sz w:val="24"/>
          <w:szCs w:val="24"/>
        </w:rPr>
        <w:t>Future gaps to address</w:t>
      </w:r>
    </w:p>
    <w:p w14:paraId="0000098E" w14:textId="77777777" w:rsidR="00CB4215" w:rsidRDefault="00CB4215"/>
    <w:p w14:paraId="0000098F" w14:textId="7DB38AE9"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the previous study (Chapter 4) and current pilot study showed no significant associations between late eating and increased BMI. In addition, the previous study (Chapter 4), using online surveys to assess meal timing, eating and health behaviours (physical activity and sleep), found that late eaters reported lower craving control scores and longer daily consumption windows. Given the self-reported nature of the previous study (Chapter 4), the current pilot study used 14-day accelerometers to measure health behaviours (physical activity and sleep) and a 3-day food diary to measure dietary intake. Preliminary results showed that late eating was significantly associated with higher scores on uncontrolled eating. In terms of dietary intake, late eaters consumed less protein intake and reported poorer dietary quality than early eaters. However, a full-scale study is still needed to explore psychological (eating behaviour traits) and behavioural (dietary intake, physical activity and </w:t>
      </w:r>
      <w:r>
        <w:rPr>
          <w:rFonts w:ascii="Times New Roman" w:eastAsia="Times New Roman" w:hAnsi="Times New Roman" w:cs="Times New Roman"/>
          <w:sz w:val="24"/>
          <w:szCs w:val="24"/>
        </w:rPr>
        <w:lastRenderedPageBreak/>
        <w:t>sleep) characteristics of late eaters using objective measures, which may provide potential targets for late eaters in future interventions.</w:t>
      </w:r>
    </w:p>
    <w:p w14:paraId="6BE5177C" w14:textId="77777777" w:rsidR="00AC014F" w:rsidRDefault="00AC014F">
      <w:pPr>
        <w:spacing w:line="480" w:lineRule="auto"/>
        <w:rPr>
          <w:rFonts w:ascii="Times New Roman" w:eastAsia="Times New Roman" w:hAnsi="Times New Roman" w:cs="Times New Roman"/>
          <w:sz w:val="24"/>
          <w:szCs w:val="24"/>
        </w:rPr>
      </w:pPr>
    </w:p>
    <w:p w14:paraId="00000990" w14:textId="62BF2131" w:rsidR="00CB4215" w:rsidRDefault="000530B4">
      <w:pPr>
        <w:spacing w:line="480" w:lineRule="auto"/>
        <w:rPr>
          <w:rFonts w:ascii="Times New Roman" w:eastAsia="Times New Roman" w:hAnsi="Times New Roman" w:cs="Times New Roman"/>
          <w:sz w:val="24"/>
          <w:szCs w:val="24"/>
        </w:rPr>
        <w:sectPr w:rsidR="00CB4215">
          <w:pgSz w:w="11909" w:h="16834"/>
          <w:pgMar w:top="1440" w:right="1440" w:bottom="1440" w:left="1440" w:header="720" w:footer="720" w:gutter="0"/>
          <w:cols w:space="720"/>
        </w:sectPr>
      </w:pPr>
      <w:r>
        <w:rPr>
          <w:rFonts w:ascii="Times New Roman" w:eastAsia="Times New Roman" w:hAnsi="Times New Roman" w:cs="Times New Roman"/>
          <w:sz w:val="24"/>
          <w:szCs w:val="24"/>
        </w:rPr>
        <w:t xml:space="preserve">To expand upon the current findings, subsequent studies should be complemented with the assessment of the onset of the biological night by objective measures of chronotype (e.g., dim light melatonin onset) </w:t>
      </w:r>
      <w:hyperlink r:id="rId633">
        <w:r>
          <w:rPr>
            <w:rFonts w:ascii="Times New Roman" w:eastAsia="Times New Roman" w:hAnsi="Times New Roman" w:cs="Times New Roman"/>
            <w:color w:val="000000"/>
            <w:sz w:val="24"/>
            <w:szCs w:val="24"/>
          </w:rPr>
          <w:t>(Thomas et al., 2020)</w:t>
        </w:r>
      </w:hyperlink>
      <w:r>
        <w:rPr>
          <w:rFonts w:ascii="Times New Roman" w:eastAsia="Times New Roman" w:hAnsi="Times New Roman" w:cs="Times New Roman"/>
          <w:sz w:val="24"/>
          <w:szCs w:val="24"/>
        </w:rPr>
        <w:t xml:space="preserve">. A study of 110 participants found an association between increased BMI and eating later in the 'biological night', but not with the time of day, highlighting that the timing of meals should be considered relative to the internal clock </w:t>
      </w:r>
      <w:hyperlink r:id="rId63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McHill</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This may explain the inconsistent findings of associations between meal timing and BMI, as the definition of 'night' does not always match an individual's biological night, which can vary according to chronotype </w:t>
      </w:r>
      <w:hyperlink r:id="rId635">
        <w:r>
          <w:rPr>
            <w:rFonts w:ascii="Times New Roman" w:eastAsia="Times New Roman" w:hAnsi="Times New Roman" w:cs="Times New Roman"/>
            <w:color w:val="000000"/>
            <w:sz w:val="24"/>
            <w:szCs w:val="24"/>
          </w:rPr>
          <w:t>(Reid et al., 2014)</w:t>
        </w:r>
      </w:hyperlink>
      <w:r>
        <w:rPr>
          <w:rFonts w:ascii="Times New Roman" w:eastAsia="Times New Roman" w:hAnsi="Times New Roman" w:cs="Times New Roman"/>
          <w:sz w:val="24"/>
          <w:szCs w:val="24"/>
        </w:rPr>
        <w:t>. Previous evidence also indicates that meal timing is influenced by a variety of factors, ranging from individual characteristics and choices, cultural contexts, and environmental to physiological determinants (Leung et al., 2019; Vetter and Scheer</w:t>
      </w:r>
      <w:r w:rsidR="00BB74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2019). Therefore, subsequent studies might also explore the factors that could influence late eating, and barriers and enablers to changing to earlier eating patterns, which could provide insight into potential targets for future interventions to encourage earlier eating times.</w:t>
      </w:r>
    </w:p>
    <w:p w14:paraId="00000991" w14:textId="77777777" w:rsidR="00CB4215" w:rsidRDefault="000530B4">
      <w:pPr>
        <w:pStyle w:val="Heading1"/>
        <w:rPr>
          <w:rFonts w:ascii="Times New Roman" w:eastAsia="Times New Roman" w:hAnsi="Times New Roman" w:cs="Times New Roman"/>
          <w:b/>
        </w:rPr>
      </w:pPr>
      <w:bookmarkStart w:id="105" w:name="_Toc172984816"/>
      <w:r>
        <w:rPr>
          <w:rFonts w:ascii="Times New Roman" w:eastAsia="Times New Roman" w:hAnsi="Times New Roman" w:cs="Times New Roman"/>
          <w:b/>
        </w:rPr>
        <w:lastRenderedPageBreak/>
        <w:t>Chapter 6</w:t>
      </w:r>
      <w:bookmarkEnd w:id="105"/>
    </w:p>
    <w:p w14:paraId="00000992" w14:textId="77777777" w:rsidR="00CB4215" w:rsidRDefault="000530B4">
      <w:pPr>
        <w:pStyle w:val="Heading2"/>
        <w:rPr>
          <w:rFonts w:ascii="Times New Roman" w:eastAsia="Times New Roman" w:hAnsi="Times New Roman" w:cs="Times New Roman"/>
          <w:b/>
        </w:rPr>
      </w:pPr>
      <w:bookmarkStart w:id="106" w:name="_Toc172984817"/>
      <w:r>
        <w:rPr>
          <w:rFonts w:ascii="Times New Roman" w:eastAsia="Times New Roman" w:hAnsi="Times New Roman" w:cs="Times New Roman"/>
          <w:b/>
        </w:rPr>
        <w:t>Study 3: Exploring factors influencing late evening eating and barriers and enablers to changing to earlier eating patterns in adults with overweight and obesity</w:t>
      </w:r>
      <w:bookmarkEnd w:id="106"/>
      <w:r>
        <w:rPr>
          <w:rFonts w:ascii="Times New Roman" w:eastAsia="Times New Roman" w:hAnsi="Times New Roman" w:cs="Times New Roman"/>
          <w:b/>
        </w:rPr>
        <w:t xml:space="preserve">  </w:t>
      </w:r>
    </w:p>
    <w:p w14:paraId="00000993" w14:textId="77777777" w:rsidR="00CB4215" w:rsidRDefault="00CB4215"/>
    <w:p w14:paraId="00000994" w14:textId="6928CA64"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Previous chapters have provided foundation of understanding relating to meal timing. Chapter 2 provided an overview of meal timing on body weight and identified the current gaps in the meal timing literature. Chapter 4 and Chapter 5 used quantitative methods to explore the associations between late eating, BMI, eating behaviour traits and health behaviours, and compare differences in eating behaviour traits and health behaviours between early and late eaters. However, meal timing could be influenced by a variety of factors, ranging from individual characteristics and choices, cultural contexts, environmental to physiological determinants. While research on the impact of meal timing on health is ongoing, there has been little focus on factors that influence late evening eating. Therefore, this Chapter presents a qualitative study to explore factors that influence late evening eating, which provides practical strategies to address barriers to changing late evening eating. </w:t>
      </w:r>
    </w:p>
    <w:p w14:paraId="00000995" w14:textId="77777777" w:rsidR="00CB4215" w:rsidRDefault="00CB4215">
      <w:pPr>
        <w:spacing w:line="480" w:lineRule="auto"/>
        <w:rPr>
          <w:rFonts w:ascii="Times New Roman" w:eastAsia="Times New Roman" w:hAnsi="Times New Roman" w:cs="Times New Roman"/>
          <w:b/>
          <w:sz w:val="24"/>
          <w:szCs w:val="24"/>
        </w:rPr>
      </w:pPr>
    </w:p>
    <w:p w14:paraId="00000996" w14:textId="77777777" w:rsidR="00CB4215" w:rsidRDefault="000530B4">
      <w:pPr>
        <w:pStyle w:val="Heading3"/>
        <w:rPr>
          <w:rFonts w:ascii="Times New Roman" w:eastAsia="Times New Roman" w:hAnsi="Times New Roman" w:cs="Times New Roman"/>
          <w:b/>
          <w:color w:val="000000"/>
        </w:rPr>
      </w:pPr>
      <w:bookmarkStart w:id="107" w:name="_Toc172984818"/>
      <w:r>
        <w:rPr>
          <w:rFonts w:ascii="Times New Roman" w:eastAsia="Times New Roman" w:hAnsi="Times New Roman" w:cs="Times New Roman"/>
          <w:b/>
          <w:color w:val="000000"/>
        </w:rPr>
        <w:t>6.1 Abstract</w:t>
      </w:r>
      <w:bookmarkEnd w:id="107"/>
    </w:p>
    <w:p w14:paraId="00000997" w14:textId="77777777" w:rsidR="00CB4215" w:rsidRDefault="00CB4215"/>
    <w:p w14:paraId="00000998" w14:textId="77777777" w:rsidR="00CB4215" w:rsidRDefault="000530B4">
      <w:pPr>
        <w:spacing w:line="480" w:lineRule="auto"/>
        <w:rPr>
          <w:rFonts w:ascii="Times New Roman" w:eastAsia="Times New Roman" w:hAnsi="Times New Roman" w:cs="Times New Roman"/>
          <w:sz w:val="24"/>
          <w:szCs w:val="24"/>
          <w:highlight w:val="white"/>
        </w:rPr>
      </w:pPr>
      <w:bookmarkStart w:id="108" w:name="_heading=h.184mhaj" w:colFirst="0" w:colLast="0"/>
      <w:bookmarkEnd w:id="108"/>
      <w:r>
        <w:rPr>
          <w:rFonts w:ascii="Times New Roman" w:eastAsia="Times New Roman" w:hAnsi="Times New Roman" w:cs="Times New Roman"/>
          <w:sz w:val="24"/>
          <w:szCs w:val="24"/>
        </w:rPr>
        <w:t xml:space="preserve">Late evening eating is a potential risk factor for overconsumption and weight gain. </w:t>
      </w:r>
      <w:r>
        <w:rPr>
          <w:rFonts w:ascii="Times New Roman" w:eastAsia="Times New Roman" w:hAnsi="Times New Roman" w:cs="Times New Roman"/>
          <w:sz w:val="24"/>
          <w:szCs w:val="24"/>
          <w:highlight w:val="white"/>
        </w:rPr>
        <w:t xml:space="preserve">However, there is limited qualitative research investigating the complex factors that influence late evening eating in adults living with obesity. Identifying the factors that influence late evening eating can inform interventions to reduce late evening eating and associated health risks. Therefore, this study aimed to: </w:t>
      </w:r>
      <w:proofErr w:type="spellStart"/>
      <w:r>
        <w:rPr>
          <w:rFonts w:ascii="Times New Roman" w:eastAsia="Times New Roman" w:hAnsi="Times New Roman" w:cs="Times New Roman"/>
          <w:sz w:val="24"/>
          <w:szCs w:val="24"/>
          <w:highlight w:val="white"/>
        </w:rPr>
        <w:t>i</w:t>
      </w:r>
      <w:proofErr w:type="spellEnd"/>
      <w:r>
        <w:rPr>
          <w:rFonts w:ascii="Times New Roman" w:eastAsia="Times New Roman" w:hAnsi="Times New Roman" w:cs="Times New Roman"/>
          <w:sz w:val="24"/>
          <w:szCs w:val="24"/>
          <w:highlight w:val="white"/>
        </w:rPr>
        <w:t xml:space="preserve">) explore factors that contribute to eating late, and ii) apply the Capability, Opportunity, and Motivation Behaviour (COM-B; </w:t>
      </w:r>
      <w:hyperlink r:id="rId636">
        <w:r>
          <w:rPr>
            <w:rFonts w:ascii="Times New Roman" w:eastAsia="Times New Roman" w:hAnsi="Times New Roman" w:cs="Times New Roman"/>
            <w:color w:val="000000"/>
            <w:sz w:val="24"/>
            <w:szCs w:val="24"/>
            <w:highlight w:val="white"/>
          </w:rPr>
          <w:t>Michie et al., 2011</w:t>
        </w:r>
      </w:hyperlink>
      <w:r>
        <w:rPr>
          <w:rFonts w:ascii="Times New Roman" w:eastAsia="Times New Roman" w:hAnsi="Times New Roman" w:cs="Times New Roman"/>
          <w:sz w:val="24"/>
          <w:szCs w:val="24"/>
          <w:highlight w:val="white"/>
        </w:rPr>
        <w:t xml:space="preserve">) model </w:t>
      </w:r>
      <w:r>
        <w:rPr>
          <w:rFonts w:ascii="Times New Roman" w:eastAsia="Times New Roman" w:hAnsi="Times New Roman" w:cs="Times New Roman"/>
          <w:sz w:val="24"/>
          <w:szCs w:val="24"/>
          <w:highlight w:val="white"/>
        </w:rPr>
        <w:lastRenderedPageBreak/>
        <w:t>to understand the barriers and enablers to changing to earlier food intake timings in UK adults who report eating late. Semi-structured interviews with seventeen participants [32.47 ± 6.65 years; 34.68 ± 7.10 kg/m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xml:space="preserve">; 71% female (n = 12); 41% White (n = 7)] investigated reasons for late evening eating and the potential barriers and enablers to changing to earlier eating patterns. Thematic analysis identified four main contributors to late evening eating: 1) internal signals (e.g., feeling hungry in the evening); 2) external and situational factors (e.g., work schedules and the food-rich environment); 3) social factors (e.g., interactions with family) and 4) behavioural and emotional factors (e.g., personal preferences and negative feelings in the evening). Time constraints and work schedules were identified as main barriers to changing to earlier eating patterns. Whereas, having high motivation (e.g., contentment with eating earlier in the evening) and interpersonal support were identified as main enablers to eating earlier. This study provides in-depth insights into the psychological, social, and environmental factors contributing to late evening eating. The findings highlight potential targets for future interventions to facilitate earlier eating times in individuals at risk of overweight and obesity. </w:t>
      </w:r>
    </w:p>
    <w:p w14:paraId="00000999" w14:textId="77777777" w:rsidR="00CB4215" w:rsidRDefault="00CB4215">
      <w:pPr>
        <w:spacing w:line="480" w:lineRule="auto"/>
        <w:rPr>
          <w:rFonts w:ascii="Times New Roman" w:eastAsia="Times New Roman" w:hAnsi="Times New Roman" w:cs="Times New Roman"/>
          <w:sz w:val="24"/>
          <w:szCs w:val="24"/>
          <w:highlight w:val="white"/>
        </w:rPr>
      </w:pPr>
    </w:p>
    <w:p w14:paraId="0000099A" w14:textId="77777777" w:rsidR="00CB4215" w:rsidRDefault="000530B4">
      <w:pPr>
        <w:pStyle w:val="Heading3"/>
        <w:rPr>
          <w:rFonts w:ascii="Times New Roman" w:eastAsia="Times New Roman" w:hAnsi="Times New Roman" w:cs="Times New Roman"/>
          <w:b/>
          <w:color w:val="000000"/>
        </w:rPr>
      </w:pPr>
      <w:bookmarkStart w:id="109" w:name="_Toc172984819"/>
      <w:r>
        <w:rPr>
          <w:rFonts w:ascii="Times New Roman" w:eastAsia="Times New Roman" w:hAnsi="Times New Roman" w:cs="Times New Roman"/>
          <w:b/>
          <w:color w:val="000000"/>
        </w:rPr>
        <w:t>6.2 Introduction</w:t>
      </w:r>
      <w:bookmarkEnd w:id="109"/>
    </w:p>
    <w:p w14:paraId="0000099B" w14:textId="77777777" w:rsidR="00CB4215" w:rsidRDefault="00CB4215"/>
    <w:p w14:paraId="0000099C" w14:textId="5094EA0C"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Obesity is related to increased risk of various metabolic disorders, e.g., type 2 diabetes and cardiovascular disease </w:t>
      </w:r>
      <w:r w:rsidR="00BB7405" w:rsidRPr="00BB7405">
        <w:rPr>
          <w:rFonts w:ascii="Times New Roman" w:eastAsia="Times New Roman" w:hAnsi="Times New Roman" w:cs="Times New Roman"/>
          <w:sz w:val="24"/>
          <w:szCs w:val="24"/>
        </w:rPr>
        <w:t>(</w:t>
      </w:r>
      <w:proofErr w:type="spellStart"/>
      <w:r w:rsidR="00BB7405" w:rsidRPr="00BB7405">
        <w:rPr>
          <w:rFonts w:ascii="Times New Roman" w:eastAsia="Times New Roman" w:hAnsi="Times New Roman" w:cs="Times New Roman"/>
          <w:sz w:val="24"/>
          <w:szCs w:val="24"/>
        </w:rPr>
        <w:t>Sarma</w:t>
      </w:r>
      <w:proofErr w:type="spellEnd"/>
      <w:r w:rsidR="00BB7405" w:rsidRPr="00BB7405">
        <w:rPr>
          <w:rFonts w:ascii="Times New Roman" w:eastAsia="Times New Roman" w:hAnsi="Times New Roman" w:cs="Times New Roman"/>
          <w:sz w:val="24"/>
          <w:szCs w:val="24"/>
        </w:rPr>
        <w:t xml:space="preserve"> et al., </w:t>
      </w:r>
      <w:r w:rsidR="00BB7405" w:rsidRPr="00D03B56">
        <w:rPr>
          <w:rFonts w:ascii="Times New Roman" w:eastAsia="Times New Roman" w:hAnsi="Times New Roman" w:cs="Times New Roman"/>
          <w:sz w:val="24"/>
          <w:szCs w:val="24"/>
        </w:rPr>
        <w:t>2021)</w:t>
      </w:r>
      <w:r w:rsidRPr="00D03B56">
        <w:rPr>
          <w:rFonts w:ascii="Times New Roman" w:eastAsia="Times New Roman" w:hAnsi="Times New Roman" w:cs="Times New Roman"/>
          <w:sz w:val="24"/>
          <w:szCs w:val="24"/>
        </w:rPr>
        <w:t>. Additionally, obesity is associated with adverse psychological consequences, including body dissatisfaction</w:t>
      </w:r>
      <w:r w:rsidR="00BB7405" w:rsidRPr="00D03B56">
        <w:rPr>
          <w:rFonts w:ascii="Times New Roman" w:hAnsi="Times New Roman" w:cs="Times New Roman"/>
          <w:sz w:val="24"/>
          <w:szCs w:val="24"/>
        </w:rPr>
        <w:t xml:space="preserve"> (Weinberger et al., 2016)</w:t>
      </w:r>
      <w:r w:rsidRPr="00D03B56">
        <w:rPr>
          <w:rFonts w:ascii="Times New Roman" w:eastAsia="Times New Roman" w:hAnsi="Times New Roman" w:cs="Times New Roman"/>
          <w:sz w:val="24"/>
          <w:szCs w:val="24"/>
        </w:rPr>
        <w:t xml:space="preserve">, eating disorders </w:t>
      </w:r>
      <w:hyperlink r:id="rId637">
        <w:r w:rsidRPr="00D03B56">
          <w:rPr>
            <w:rFonts w:ascii="Times New Roman" w:eastAsia="Times New Roman" w:hAnsi="Times New Roman" w:cs="Times New Roman"/>
            <w:color w:val="000000"/>
            <w:sz w:val="24"/>
            <w:szCs w:val="24"/>
          </w:rPr>
          <w:t>(</w:t>
        </w:r>
        <w:proofErr w:type="spellStart"/>
        <w:r w:rsidRPr="00D03B56">
          <w:rPr>
            <w:rFonts w:ascii="Times New Roman" w:eastAsia="Times New Roman" w:hAnsi="Times New Roman" w:cs="Times New Roman"/>
            <w:color w:val="000000"/>
            <w:sz w:val="24"/>
            <w:szCs w:val="24"/>
          </w:rPr>
          <w:t>Neumark-Sztainer</w:t>
        </w:r>
        <w:proofErr w:type="spellEnd"/>
        <w:r w:rsidRPr="00D03B56">
          <w:rPr>
            <w:rFonts w:ascii="Times New Roman" w:eastAsia="Times New Roman" w:hAnsi="Times New Roman" w:cs="Times New Roman"/>
            <w:color w:val="000000"/>
            <w:sz w:val="24"/>
            <w:szCs w:val="24"/>
          </w:rPr>
          <w:t xml:space="preserve"> et al., 2006)</w:t>
        </w:r>
      </w:hyperlink>
      <w:r w:rsidRPr="00D03B56">
        <w:rPr>
          <w:rFonts w:ascii="Times New Roman" w:eastAsia="Times New Roman" w:hAnsi="Times New Roman" w:cs="Times New Roman"/>
          <w:sz w:val="24"/>
          <w:szCs w:val="24"/>
        </w:rPr>
        <w:t xml:space="preserve">, weight stigmatisation </w:t>
      </w:r>
      <w:hyperlink r:id="rId638">
        <w:r w:rsidRPr="00D03B56">
          <w:rPr>
            <w:rFonts w:ascii="Times New Roman" w:eastAsia="Times New Roman" w:hAnsi="Times New Roman" w:cs="Times New Roman"/>
            <w:color w:val="000000"/>
            <w:sz w:val="24"/>
            <w:szCs w:val="24"/>
          </w:rPr>
          <w:t>(</w:t>
        </w:r>
        <w:proofErr w:type="spellStart"/>
        <w:r w:rsidRPr="00D03B56">
          <w:rPr>
            <w:rFonts w:ascii="Times New Roman" w:eastAsia="Times New Roman" w:hAnsi="Times New Roman" w:cs="Times New Roman"/>
            <w:color w:val="000000"/>
            <w:sz w:val="24"/>
            <w:szCs w:val="24"/>
          </w:rPr>
          <w:t>Puhl</w:t>
        </w:r>
        <w:proofErr w:type="spellEnd"/>
        <w:r w:rsidRPr="00D03B56">
          <w:rPr>
            <w:rFonts w:ascii="Times New Roman" w:eastAsia="Times New Roman" w:hAnsi="Times New Roman" w:cs="Times New Roman"/>
            <w:color w:val="000000"/>
            <w:sz w:val="24"/>
            <w:szCs w:val="24"/>
          </w:rPr>
          <w:t xml:space="preserve"> and </w:t>
        </w:r>
        <w:proofErr w:type="spellStart"/>
        <w:r w:rsidRPr="00D03B56">
          <w:rPr>
            <w:rFonts w:ascii="Times New Roman" w:eastAsia="Times New Roman" w:hAnsi="Times New Roman" w:cs="Times New Roman"/>
            <w:color w:val="000000"/>
            <w:sz w:val="24"/>
            <w:szCs w:val="24"/>
          </w:rPr>
          <w:t>Latner</w:t>
        </w:r>
        <w:proofErr w:type="spellEnd"/>
        <w:r w:rsidR="00991698" w:rsidRPr="00D03B56">
          <w:rPr>
            <w:rFonts w:ascii="Times New Roman" w:eastAsia="Times New Roman" w:hAnsi="Times New Roman" w:cs="Times New Roman"/>
            <w:color w:val="000000"/>
            <w:sz w:val="24"/>
            <w:szCs w:val="24"/>
          </w:rPr>
          <w:t>,</w:t>
        </w:r>
        <w:r w:rsidRPr="00D03B56">
          <w:rPr>
            <w:rFonts w:ascii="Times New Roman" w:eastAsia="Times New Roman" w:hAnsi="Times New Roman" w:cs="Times New Roman"/>
            <w:color w:val="000000"/>
            <w:sz w:val="24"/>
            <w:szCs w:val="24"/>
          </w:rPr>
          <w:t xml:space="preserve"> 2007)</w:t>
        </w:r>
      </w:hyperlink>
      <w:r w:rsidRPr="00D03B56">
        <w:rPr>
          <w:rFonts w:ascii="Times New Roman" w:eastAsia="Times New Roman" w:hAnsi="Times New Roman" w:cs="Times New Roman"/>
          <w:sz w:val="24"/>
          <w:szCs w:val="24"/>
        </w:rPr>
        <w:t xml:space="preserve">, lower self-esteem, and depression </w:t>
      </w:r>
      <w:r w:rsidR="00BB7405" w:rsidRPr="00D03B56">
        <w:rPr>
          <w:rFonts w:ascii="Times New Roman" w:hAnsi="Times New Roman" w:cs="Times New Roman"/>
          <w:sz w:val="24"/>
          <w:szCs w:val="24"/>
        </w:rPr>
        <w:t>(</w:t>
      </w:r>
      <w:proofErr w:type="spellStart"/>
      <w:r w:rsidR="00BB7405" w:rsidRPr="00D03B56">
        <w:rPr>
          <w:rFonts w:ascii="Times New Roman" w:hAnsi="Times New Roman" w:cs="Times New Roman"/>
          <w:sz w:val="24"/>
          <w:szCs w:val="24"/>
        </w:rPr>
        <w:t>Sarwer</w:t>
      </w:r>
      <w:proofErr w:type="spellEnd"/>
      <w:r w:rsidR="00BB7405" w:rsidRPr="00D03B56">
        <w:rPr>
          <w:rFonts w:ascii="Times New Roman" w:hAnsi="Times New Roman" w:cs="Times New Roman"/>
          <w:sz w:val="24"/>
          <w:szCs w:val="24"/>
        </w:rPr>
        <w:t xml:space="preserve"> and Polonsky, 2016)</w:t>
      </w:r>
      <w:r w:rsidRPr="00D03B56">
        <w:rPr>
          <w:rFonts w:ascii="Times New Roman" w:eastAsia="Times New Roman" w:hAnsi="Times New Roman" w:cs="Times New Roman"/>
          <w:color w:val="000000"/>
          <w:sz w:val="24"/>
          <w:szCs w:val="24"/>
        </w:rPr>
        <w:t xml:space="preserve"> (see more in Chapter 1)</w:t>
      </w:r>
      <w:r w:rsidRPr="00D03B56">
        <w:rPr>
          <w:rFonts w:ascii="Times New Roman" w:eastAsia="Times New Roman" w:hAnsi="Times New Roman" w:cs="Times New Roman"/>
          <w:sz w:val="24"/>
          <w:szCs w:val="24"/>
        </w:rPr>
        <w:t>. Currently, nutritional strategies for the prevention and treatment of obesity have</w:t>
      </w:r>
      <w:r>
        <w:rPr>
          <w:rFonts w:ascii="Times New Roman" w:eastAsia="Times New Roman" w:hAnsi="Times New Roman" w:cs="Times New Roman"/>
          <w:sz w:val="24"/>
          <w:szCs w:val="24"/>
        </w:rPr>
        <w:t xml:space="preserve"> concentrated on improving the dietary composition (e.g., the consumption of fruits and vegetables) and the </w:t>
      </w:r>
      <w:r>
        <w:rPr>
          <w:rFonts w:ascii="Times New Roman" w:eastAsia="Times New Roman" w:hAnsi="Times New Roman" w:cs="Times New Roman"/>
          <w:sz w:val="24"/>
          <w:szCs w:val="24"/>
        </w:rPr>
        <w:lastRenderedPageBreak/>
        <w:t xml:space="preserve">reduction of overall calorie consumption </w:t>
      </w:r>
      <w:hyperlink r:id="rId639">
        <w:r>
          <w:rPr>
            <w:rFonts w:ascii="Times New Roman" w:eastAsia="Times New Roman" w:hAnsi="Times New Roman" w:cs="Times New Roman"/>
            <w:color w:val="000000"/>
            <w:sz w:val="24"/>
            <w:szCs w:val="24"/>
            <w:highlight w:val="white"/>
          </w:rPr>
          <w:t>(</w:t>
        </w:r>
        <w:proofErr w:type="spellStart"/>
        <w:r>
          <w:rPr>
            <w:rFonts w:ascii="Times New Roman" w:eastAsia="Times New Roman" w:hAnsi="Times New Roman" w:cs="Times New Roman"/>
            <w:color w:val="000000"/>
            <w:sz w:val="24"/>
            <w:szCs w:val="24"/>
            <w:highlight w:val="white"/>
          </w:rPr>
          <w:t>Hwalla</w:t>
        </w:r>
        <w:proofErr w:type="spellEnd"/>
        <w:r>
          <w:rPr>
            <w:rFonts w:ascii="Times New Roman" w:eastAsia="Times New Roman" w:hAnsi="Times New Roman" w:cs="Times New Roman"/>
            <w:color w:val="000000"/>
            <w:sz w:val="24"/>
            <w:szCs w:val="24"/>
            <w:highlight w:val="white"/>
          </w:rPr>
          <w:t xml:space="preserve"> and Jaafar</w:t>
        </w:r>
        <w:r w:rsidR="00991698">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2020)</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However, recent evidence emphasises the potential importance of meal timing in healthy weight management. </w:t>
      </w:r>
    </w:p>
    <w:p w14:paraId="0000099D" w14:textId="77777777" w:rsidR="00CB4215" w:rsidRDefault="00CB4215">
      <w:pPr>
        <w:spacing w:line="480" w:lineRule="auto"/>
        <w:rPr>
          <w:rFonts w:ascii="Times New Roman" w:eastAsia="Times New Roman" w:hAnsi="Times New Roman" w:cs="Times New Roman"/>
          <w:sz w:val="24"/>
          <w:szCs w:val="24"/>
        </w:rPr>
      </w:pPr>
    </w:p>
    <w:p w14:paraId="0000099E" w14:textId="77777777" w:rsidR="00CB4215" w:rsidRDefault="000530B4">
      <w:pPr>
        <w:spacing w:line="480" w:lineRule="auto"/>
        <w:rPr>
          <w:rFonts w:ascii="Times New Roman" w:eastAsia="Times New Roman" w:hAnsi="Times New Roman" w:cs="Times New Roman"/>
          <w:sz w:val="24"/>
          <w:szCs w:val="24"/>
        </w:rPr>
      </w:pPr>
      <w:bookmarkStart w:id="110" w:name="_heading=h.279ka65" w:colFirst="0" w:colLast="0"/>
      <w:bookmarkEnd w:id="110"/>
      <w:r>
        <w:rPr>
          <w:rFonts w:ascii="Times New Roman" w:eastAsia="Times New Roman" w:hAnsi="Times New Roman" w:cs="Times New Roman"/>
          <w:sz w:val="24"/>
          <w:szCs w:val="24"/>
        </w:rPr>
        <w:t>Multiple studies have found that late evening eating is related to increased energy intake (</w:t>
      </w:r>
      <w:hyperlink r:id="rId640">
        <w:r>
          <w:rPr>
            <w:rFonts w:ascii="Times New Roman" w:eastAsia="Times New Roman" w:hAnsi="Times New Roman" w:cs="Times New Roman"/>
            <w:color w:val="000000"/>
            <w:sz w:val="24"/>
            <w:szCs w:val="24"/>
          </w:rPr>
          <w:t>Jacob et al., 2023</w:t>
        </w:r>
      </w:hyperlink>
      <w:r>
        <w:rPr>
          <w:rFonts w:ascii="Times New Roman" w:eastAsia="Times New Roman" w:hAnsi="Times New Roman" w:cs="Times New Roman"/>
          <w:sz w:val="24"/>
          <w:szCs w:val="24"/>
        </w:rPr>
        <w:t xml:space="preserve">; </w:t>
      </w:r>
      <w:hyperlink r:id="rId641">
        <w:r>
          <w:rPr>
            <w:rFonts w:ascii="Times New Roman" w:eastAsia="Times New Roman" w:hAnsi="Times New Roman" w:cs="Times New Roman"/>
            <w:color w:val="000000"/>
            <w:sz w:val="24"/>
            <w:szCs w:val="24"/>
          </w:rPr>
          <w:t>Baron et al., 2011</w:t>
        </w:r>
      </w:hyperlink>
      <w:r>
        <w:rPr>
          <w:rFonts w:ascii="Times New Roman" w:eastAsia="Times New Roman" w:hAnsi="Times New Roman" w:cs="Times New Roman"/>
          <w:sz w:val="24"/>
          <w:szCs w:val="24"/>
        </w:rPr>
        <w:t xml:space="preserve">; </w:t>
      </w:r>
      <w:hyperlink r:id="rId642">
        <w:r>
          <w:rPr>
            <w:rFonts w:ascii="Times New Roman" w:eastAsia="Times New Roman" w:hAnsi="Times New Roman" w:cs="Times New Roman"/>
            <w:color w:val="000000"/>
            <w:sz w:val="24"/>
            <w:szCs w:val="24"/>
          </w:rPr>
          <w:t>de Castro 2004</w:t>
        </w:r>
      </w:hyperlink>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hyperlink r:id="rId643">
        <w:r>
          <w:rPr>
            <w:rFonts w:ascii="Times New Roman" w:eastAsia="Times New Roman" w:hAnsi="Times New Roman" w:cs="Times New Roman"/>
            <w:color w:val="000000"/>
            <w:sz w:val="24"/>
            <w:szCs w:val="24"/>
          </w:rPr>
          <w:t>Reid et al., 2014)</w:t>
        </w:r>
      </w:hyperlink>
      <w:r>
        <w:rPr>
          <w:rFonts w:ascii="Times New Roman" w:eastAsia="Times New Roman" w:hAnsi="Times New Roman" w:cs="Times New Roman"/>
          <w:sz w:val="24"/>
          <w:szCs w:val="24"/>
        </w:rPr>
        <w:t xml:space="preserve"> (See more details in Chapter 2). For example, using a 3-day food diary to assess food intake and the distribution of energy and macronutrient intake, Jacob and colleagues (2020), found that greater energy intake consumed after 8 PM was associated with higher total daily energy intake. However, several other studies have found no relationship between eating late and energy intake (</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Ruiz-Lozano et al., 2016). For example, an observational study assessed dietary intake with a 24-hour food diary and showed no differences in total daily energy intake between early eaters and late eaters </w:t>
      </w:r>
      <w:hyperlink r:id="rId64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A possible explanation for inconsistent findings is that studies tend to assess dietary intake using self-reported methods without accounting for well-documented underreporting found with self-reported food intake </w:t>
      </w:r>
      <w:hyperlink r:id="rId645">
        <w:r>
          <w:rPr>
            <w:rFonts w:ascii="Times New Roman" w:eastAsia="Times New Roman" w:hAnsi="Times New Roman" w:cs="Times New Roman"/>
            <w:color w:val="000000"/>
            <w:sz w:val="24"/>
            <w:szCs w:val="24"/>
          </w:rPr>
          <w:t>(Livingstone and Black 2003)</w:t>
        </w:r>
      </w:hyperlink>
      <w:r>
        <w:rPr>
          <w:rFonts w:ascii="Times New Roman" w:eastAsia="Times New Roman" w:hAnsi="Times New Roman" w:cs="Times New Roman"/>
          <w:sz w:val="24"/>
          <w:szCs w:val="24"/>
        </w:rPr>
        <w:t>. Indeed, most studies that report no significant associations between meal timing and energy intake report differences in more objective and longer-term measures between early and late eaters, such as lower insulin sensitivity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higher BMIs and less weight loss (e.g.,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Ruiz-Lozano et al., 2016) in late versus early eaters. Furthermore, other research comparing late and early eaters has found that late eaters are more likely to eat when stressed, overeat at night, and eat while watching TV, compared with early eaters </w:t>
      </w:r>
      <w:hyperlink r:id="rId64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In addition, Study 1 (Chapter 4) reported in this thesis found that late eaters reported lower scores on craving control than early eaters. Levels of hunger, prospective food consumption and desire to eat are also higher in the evening compared to the morning, which </w:t>
      </w:r>
      <w:r>
        <w:rPr>
          <w:rFonts w:ascii="Times New Roman" w:eastAsia="Times New Roman" w:hAnsi="Times New Roman" w:cs="Times New Roman"/>
          <w:sz w:val="24"/>
          <w:szCs w:val="24"/>
        </w:rPr>
        <w:lastRenderedPageBreak/>
        <w:t xml:space="preserve">could promote overconsumption in some individuals at the end of the day </w:t>
      </w:r>
      <w:hyperlink r:id="rId647">
        <w:r>
          <w:rPr>
            <w:rFonts w:ascii="Times New Roman" w:eastAsia="Times New Roman" w:hAnsi="Times New Roman" w:cs="Times New Roman"/>
            <w:color w:val="000000"/>
            <w:sz w:val="24"/>
            <w:szCs w:val="24"/>
          </w:rPr>
          <w:t>(Scheer et al., 2013; Qian et al., 2019)</w:t>
        </w:r>
      </w:hyperlink>
      <w:r>
        <w:rPr>
          <w:rFonts w:ascii="Times New Roman" w:eastAsia="Times New Roman" w:hAnsi="Times New Roman" w:cs="Times New Roman"/>
          <w:sz w:val="24"/>
          <w:szCs w:val="24"/>
        </w:rPr>
        <w:t xml:space="preserve">.  </w:t>
      </w:r>
    </w:p>
    <w:p w14:paraId="0000099F" w14:textId="77777777" w:rsidR="00CB4215" w:rsidRDefault="00CB4215">
      <w:pPr>
        <w:spacing w:line="480" w:lineRule="auto"/>
        <w:rPr>
          <w:rFonts w:ascii="Times New Roman" w:eastAsia="Times New Roman" w:hAnsi="Times New Roman" w:cs="Times New Roman"/>
          <w:sz w:val="24"/>
          <w:szCs w:val="24"/>
        </w:rPr>
      </w:pPr>
    </w:p>
    <w:p w14:paraId="000009A0" w14:textId="77777777" w:rsidR="00CB4215" w:rsidRDefault="000530B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Additionally, numerous studies have shown that late evening eating increases the risk of overweight and obesity (</w:t>
      </w:r>
      <w:hyperlink r:id="rId648">
        <w:r>
          <w:rPr>
            <w:rFonts w:ascii="Times New Roman" w:eastAsia="Times New Roman" w:hAnsi="Times New Roman" w:cs="Times New Roman"/>
            <w:color w:val="000000"/>
            <w:sz w:val="24"/>
            <w:szCs w:val="24"/>
          </w:rPr>
          <w:t>Martínez-Lozano et al., 2020</w:t>
        </w:r>
      </w:hyperlink>
      <w:r>
        <w:rPr>
          <w:rFonts w:ascii="Times New Roman" w:eastAsia="Times New Roman" w:hAnsi="Times New Roman" w:cs="Times New Roman"/>
          <w:sz w:val="24"/>
          <w:szCs w:val="24"/>
        </w:rPr>
        <w:t xml:space="preserve">; </w:t>
      </w:r>
      <w:hyperlink r:id="rId649">
        <w:r>
          <w:rPr>
            <w:rFonts w:ascii="Times New Roman" w:eastAsia="Times New Roman" w:hAnsi="Times New Roman" w:cs="Times New Roman"/>
            <w:color w:val="000000"/>
            <w:sz w:val="24"/>
            <w:szCs w:val="24"/>
          </w:rPr>
          <w:t>Okada et al., 2019</w:t>
        </w:r>
      </w:hyperlink>
      <w:r>
        <w:rPr>
          <w:rFonts w:ascii="Times New Roman" w:eastAsia="Times New Roman" w:hAnsi="Times New Roman" w:cs="Times New Roman"/>
          <w:sz w:val="24"/>
          <w:szCs w:val="24"/>
        </w:rPr>
        <w:t xml:space="preserve">; </w:t>
      </w:r>
      <w:hyperlink r:id="rId650">
        <w:proofErr w:type="spellStart"/>
        <w:r>
          <w:rPr>
            <w:rFonts w:ascii="Times New Roman" w:eastAsia="Times New Roman" w:hAnsi="Times New Roman" w:cs="Times New Roman"/>
            <w:color w:val="000000"/>
            <w:sz w:val="24"/>
            <w:szCs w:val="24"/>
          </w:rPr>
          <w:t>Madjd</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w:t>
      </w:r>
      <w:hyperlink r:id="rId651">
        <w:r>
          <w:rPr>
            <w:rFonts w:ascii="Times New Roman" w:eastAsia="Times New Roman" w:hAnsi="Times New Roman" w:cs="Times New Roman"/>
            <w:color w:val="000000"/>
            <w:sz w:val="24"/>
            <w:szCs w:val="24"/>
          </w:rPr>
          <w:t>Zaman et al., 2019</w:t>
        </w:r>
      </w:hyperlink>
      <w:r>
        <w:rPr>
          <w:rFonts w:ascii="Times New Roman" w:eastAsia="Times New Roman" w:hAnsi="Times New Roman" w:cs="Times New Roman"/>
          <w:sz w:val="24"/>
          <w:szCs w:val="24"/>
        </w:rPr>
        <w:t xml:space="preserve">; </w:t>
      </w:r>
      <w:hyperlink r:id="rId652">
        <w:proofErr w:type="spellStart"/>
        <w:r>
          <w:rPr>
            <w:rFonts w:ascii="Times New Roman" w:eastAsia="Times New Roman" w:hAnsi="Times New Roman" w:cs="Times New Roman"/>
            <w:color w:val="000000"/>
            <w:sz w:val="24"/>
            <w:szCs w:val="24"/>
          </w:rPr>
          <w:t>McHill</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w:t>
      </w:r>
      <w:hyperlink r:id="rId653">
        <w:r>
          <w:rPr>
            <w:rFonts w:ascii="Times New Roman" w:eastAsia="Times New Roman" w:hAnsi="Times New Roman" w:cs="Times New Roman"/>
            <w:color w:val="000000"/>
            <w:sz w:val="24"/>
            <w:szCs w:val="24"/>
          </w:rPr>
          <w:t>Gong et al., 2021</w:t>
        </w:r>
      </w:hyperlink>
      <w:r>
        <w:rPr>
          <w:rFonts w:ascii="Times New Roman" w:eastAsia="Times New Roman" w:hAnsi="Times New Roman" w:cs="Times New Roman"/>
          <w:sz w:val="24"/>
          <w:szCs w:val="24"/>
        </w:rPr>
        <w:t xml:space="preserve">). A prospective study found that individuals who consumed 20% or more of their daily caloric intake after 20:00 had almost double the risk of obesity at the study’s onset and after 7 years </w:t>
      </w:r>
      <w:hyperlink r:id="rId65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Maukonen</w:t>
        </w:r>
        <w:proofErr w:type="spellEnd"/>
        <w:r>
          <w:rPr>
            <w:rFonts w:ascii="Times New Roman" w:eastAsia="Times New Roman" w:hAnsi="Times New Roman" w:cs="Times New Roman"/>
            <w:color w:val="000000"/>
            <w:sz w:val="24"/>
            <w:szCs w:val="24"/>
          </w:rPr>
          <w:t xml:space="preserve"> et al., 2019)</w:t>
        </w:r>
      </w:hyperlink>
      <w:r>
        <w:rPr>
          <w:rFonts w:ascii="Times New Roman" w:eastAsia="Times New Roman" w:hAnsi="Times New Roman" w:cs="Times New Roman"/>
          <w:sz w:val="24"/>
          <w:szCs w:val="24"/>
        </w:rPr>
        <w:t xml:space="preserve">. Baron et al. (2011) also found that calorie intake after 20:00 increased the risk of obesity. Late evening eating has also been linked with several eating behaviour traits linked with increased risk of overconsumption and increased BMIs such as disinhibition and emotional eating </w:t>
      </w:r>
      <w:hyperlink r:id="rId655">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Dakanalis</w:t>
        </w:r>
        <w:proofErr w:type="spellEnd"/>
        <w:r>
          <w:rPr>
            <w:rFonts w:ascii="Times New Roman" w:eastAsia="Times New Roman" w:hAnsi="Times New Roman" w:cs="Times New Roman"/>
            <w:color w:val="000000"/>
            <w:sz w:val="24"/>
            <w:szCs w:val="24"/>
          </w:rPr>
          <w:t xml:space="preserve"> et al., 2023; Bryant et al., 2008)</w:t>
        </w:r>
      </w:hyperlink>
      <w:r>
        <w:rPr>
          <w:rFonts w:ascii="Times New Roman" w:eastAsia="Times New Roman" w:hAnsi="Times New Roman" w:cs="Times New Roman"/>
          <w:sz w:val="24"/>
          <w:szCs w:val="24"/>
        </w:rPr>
        <w:t xml:space="preserve">. Jacob and colleagues (2023) found late eating was significantly associated with traits, such as disinhibition and susceptibility to hunger in participants with overweight or obesity. Similarly, Study 2 (Chapter 5) found late eating was significantly associated with higher scores on uncontrolled eating. Metabolic mechanisms may partly explain the relationship between later meal timing and increased BMI. Postprandial metabolic processes, such as the rate of gastric emptying and postprandial energy expenditure, are deregulated in the evening compared with in the morning </w:t>
      </w:r>
      <w:hyperlink r:id="rId656">
        <w:r>
          <w:rPr>
            <w:rFonts w:ascii="Times New Roman" w:eastAsia="Times New Roman" w:hAnsi="Times New Roman" w:cs="Times New Roman"/>
            <w:color w:val="000000"/>
            <w:sz w:val="24"/>
            <w:szCs w:val="24"/>
          </w:rPr>
          <w:t>(Morris et al., 2015)</w:t>
        </w:r>
      </w:hyperlink>
      <w:r>
        <w:rPr>
          <w:rFonts w:ascii="Times New Roman" w:eastAsia="Times New Roman" w:hAnsi="Times New Roman" w:cs="Times New Roman"/>
          <w:sz w:val="24"/>
          <w:szCs w:val="24"/>
        </w:rPr>
        <w:t xml:space="preserve">. Moreover, late eating is associated with a lower thermic effect of food </w:t>
      </w:r>
      <w:hyperlink r:id="rId657">
        <w:r>
          <w:rPr>
            <w:rFonts w:ascii="Times New Roman" w:eastAsia="Times New Roman" w:hAnsi="Times New Roman" w:cs="Times New Roman"/>
            <w:color w:val="000000"/>
            <w:sz w:val="24"/>
            <w:szCs w:val="24"/>
          </w:rPr>
          <w:t>(Shaw et al. 2019)</w:t>
        </w:r>
      </w:hyperlink>
      <w:r>
        <w:rPr>
          <w:rFonts w:ascii="Times New Roman" w:eastAsia="Times New Roman" w:hAnsi="Times New Roman" w:cs="Times New Roman"/>
          <w:sz w:val="24"/>
          <w:szCs w:val="24"/>
        </w:rPr>
        <w:t xml:space="preserve">, reduced fat mobilisation and oxidation </w:t>
      </w:r>
      <w:hyperlink r:id="rId658">
        <w:r>
          <w:rPr>
            <w:rFonts w:ascii="Times New Roman" w:eastAsia="Times New Roman" w:hAnsi="Times New Roman" w:cs="Times New Roman"/>
            <w:color w:val="000000"/>
            <w:sz w:val="24"/>
            <w:szCs w:val="24"/>
          </w:rPr>
          <w:t>(Gu et al., 2020)</w:t>
        </w:r>
      </w:hyperlink>
      <w:r>
        <w:rPr>
          <w:rFonts w:ascii="Times New Roman" w:eastAsia="Times New Roman" w:hAnsi="Times New Roman" w:cs="Times New Roman"/>
          <w:sz w:val="24"/>
          <w:szCs w:val="24"/>
        </w:rPr>
        <w:t xml:space="preserve">. Therefore, while there are some inconsistencies in the food timing literature, eating late is identified as a risk factor for obesity in the long term. </w:t>
      </w:r>
    </w:p>
    <w:p w14:paraId="000009A1" w14:textId="77777777" w:rsidR="00CB4215" w:rsidRDefault="00CB4215">
      <w:pPr>
        <w:spacing w:line="480" w:lineRule="auto"/>
        <w:rPr>
          <w:rFonts w:ascii="Times New Roman" w:eastAsia="Times New Roman" w:hAnsi="Times New Roman" w:cs="Times New Roman"/>
          <w:sz w:val="24"/>
          <w:szCs w:val="24"/>
          <w:highlight w:val="white"/>
        </w:rPr>
      </w:pPr>
    </w:p>
    <w:p w14:paraId="000009A2"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both cross-sectional and intervention studies suggest that eating late during the day is associated with less weight loss (</w:t>
      </w:r>
      <w:proofErr w:type="spellStart"/>
      <w:r w:rsidR="007E2DD6">
        <w:fldChar w:fldCharType="begin"/>
      </w:r>
      <w:r w:rsidR="007E2DD6">
        <w:instrText xml:space="preserve"> HYPERLINK "https://sciwheel.com/work/citation?ids=1812051&amp;pre=&amp;suf=&amp;sa=0" \h </w:instrText>
      </w:r>
      <w:r w:rsidR="007E2DD6">
        <w:fldChar w:fldCharType="separate"/>
      </w:r>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et al., 2013</w:t>
      </w:r>
      <w:r w:rsidR="007E2DD6">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hyperlink r:id="rId659">
        <w:r>
          <w:rPr>
            <w:rFonts w:ascii="Times New Roman" w:eastAsia="Times New Roman" w:hAnsi="Times New Roman" w:cs="Times New Roman"/>
            <w:color w:val="000000"/>
            <w:sz w:val="24"/>
            <w:szCs w:val="24"/>
          </w:rPr>
          <w:t>Raynor et al., 2018</w:t>
        </w:r>
      </w:hyperlink>
      <w:r>
        <w:rPr>
          <w:rFonts w:ascii="Times New Roman" w:eastAsia="Times New Roman" w:hAnsi="Times New Roman" w:cs="Times New Roman"/>
          <w:sz w:val="24"/>
          <w:szCs w:val="24"/>
        </w:rPr>
        <w:t xml:space="preserve">; </w:t>
      </w:r>
      <w:hyperlink r:id="rId660">
        <w:proofErr w:type="spellStart"/>
        <w:r>
          <w:rPr>
            <w:rFonts w:ascii="Times New Roman" w:eastAsia="Times New Roman" w:hAnsi="Times New Roman" w:cs="Times New Roman"/>
            <w:color w:val="000000"/>
            <w:sz w:val="24"/>
            <w:szCs w:val="24"/>
          </w:rPr>
          <w:t>Jakubowicz</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et al., 2013</w:t>
        </w:r>
      </w:hyperlink>
      <w:r>
        <w:rPr>
          <w:rFonts w:ascii="Times New Roman" w:eastAsia="Times New Roman" w:hAnsi="Times New Roman" w:cs="Times New Roman"/>
          <w:sz w:val="24"/>
          <w:szCs w:val="24"/>
        </w:rPr>
        <w:t xml:space="preserve">; </w:t>
      </w:r>
      <w:hyperlink r:id="rId661">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w:t>
      </w:r>
      <w:hyperlink r:id="rId662">
        <w:r>
          <w:rPr>
            <w:rFonts w:ascii="Times New Roman" w:eastAsia="Times New Roman" w:hAnsi="Times New Roman" w:cs="Times New Roman"/>
            <w:color w:val="000000"/>
            <w:sz w:val="24"/>
            <w:szCs w:val="24"/>
          </w:rPr>
          <w:t>Lombardo et al.. 2014)</w:t>
        </w:r>
      </w:hyperlink>
      <w:r>
        <w:rPr>
          <w:rFonts w:ascii="Times New Roman" w:eastAsia="Times New Roman" w:hAnsi="Times New Roman" w:cs="Times New Roman"/>
          <w:sz w:val="24"/>
          <w:szCs w:val="24"/>
        </w:rPr>
        <w:t xml:space="preserve">. A randomised clinical trial in women with overweight or obesity found that women who consumed their evening meals between 19:00 and 19:30 lost more weight and had a greater weight reduction than those who ate between 22:30 and 23:00 over a 12-week period </w:t>
      </w:r>
      <w:hyperlink r:id="rId663">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Madjd</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Time-restricted eating, which is defined as limiting eating to a specific time window, thereby prolonging the fasting period, has also been related to weight reduction </w:t>
      </w:r>
      <w:hyperlink r:id="rId664">
        <w:r>
          <w:rPr>
            <w:rFonts w:ascii="Times New Roman" w:eastAsia="Times New Roman" w:hAnsi="Times New Roman" w:cs="Times New Roman"/>
            <w:color w:val="000000"/>
            <w:sz w:val="24"/>
            <w:szCs w:val="24"/>
          </w:rPr>
          <w:t>(</w:t>
        </w:r>
      </w:hyperlink>
      <w:hyperlink r:id="rId665">
        <w:r>
          <w:rPr>
            <w:rFonts w:ascii="Times New Roman" w:eastAsia="Times New Roman" w:hAnsi="Times New Roman" w:cs="Times New Roman"/>
            <w:color w:val="000000"/>
            <w:sz w:val="24"/>
            <w:szCs w:val="24"/>
          </w:rPr>
          <w:t xml:space="preserve">Huang et al., 2023; </w:t>
        </w:r>
        <w:proofErr w:type="spellStart"/>
        <w:r>
          <w:rPr>
            <w:rFonts w:ascii="Times New Roman" w:eastAsia="Times New Roman" w:hAnsi="Times New Roman" w:cs="Times New Roman"/>
            <w:color w:val="000000"/>
            <w:sz w:val="24"/>
            <w:szCs w:val="24"/>
          </w:rPr>
          <w:t>Adafer</w:t>
        </w:r>
        <w:proofErr w:type="spellEnd"/>
        <w:r>
          <w:rPr>
            <w:rFonts w:ascii="Times New Roman" w:eastAsia="Times New Roman" w:hAnsi="Times New Roman" w:cs="Times New Roman"/>
            <w:color w:val="000000"/>
            <w:sz w:val="24"/>
            <w:szCs w:val="24"/>
          </w:rPr>
          <w:t xml:space="preserve"> et al., 2020; Moon et al., 2020)</w:t>
        </w:r>
      </w:hyperlink>
      <w:r>
        <w:rPr>
          <w:rFonts w:ascii="Times New Roman" w:eastAsia="Times New Roman" w:hAnsi="Times New Roman" w:cs="Times New Roman"/>
          <w:sz w:val="24"/>
          <w:szCs w:val="24"/>
        </w:rPr>
        <w:t xml:space="preserve">. For instance, a randomised controlled trial in adults with overweight or obesity indicated that participants in a time-restricted eating group who were instructed to eat during an 8-hour window showed greater weight loss and consumed earlier meals than non-time restricted eating group who followed typical eating habits </w:t>
      </w:r>
      <w:hyperlink r:id="rId666">
        <w:r>
          <w:rPr>
            <w:rFonts w:ascii="Times New Roman" w:eastAsia="Times New Roman" w:hAnsi="Times New Roman" w:cs="Times New Roman"/>
            <w:color w:val="000000"/>
            <w:sz w:val="24"/>
            <w:szCs w:val="24"/>
          </w:rPr>
          <w:t>(Simon et al., 2022)</w:t>
        </w:r>
      </w:hyperlink>
      <w:r>
        <w:rPr>
          <w:rFonts w:ascii="Times New Roman" w:eastAsia="Times New Roman" w:hAnsi="Times New Roman" w:cs="Times New Roman"/>
          <w:sz w:val="24"/>
          <w:szCs w:val="24"/>
        </w:rPr>
        <w:t>. Traditional time-restricted eating often aligns with daylight hours, but late evening eating has the potential to extend the eating window to later in the day and reduce the fasting period.</w:t>
      </w:r>
    </w:p>
    <w:p w14:paraId="000009A3" w14:textId="77777777" w:rsidR="00CB4215" w:rsidRDefault="00CB4215">
      <w:pPr>
        <w:spacing w:line="480" w:lineRule="auto"/>
        <w:rPr>
          <w:rFonts w:ascii="Times New Roman" w:eastAsia="Times New Roman" w:hAnsi="Times New Roman" w:cs="Times New Roman"/>
          <w:sz w:val="24"/>
          <w:szCs w:val="24"/>
        </w:rPr>
      </w:pPr>
    </w:p>
    <w:p w14:paraId="000009A4" w14:textId="77777777" w:rsidR="00CB4215" w:rsidRDefault="000530B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Collectively, timing of food intake is emerging as a predictor of overall health and a potentially relevant risk factor for obesity. While research on the impact of meal timing on health is ongoing, there has been little focus on factors that influence late evening eating </w:t>
      </w:r>
      <w:hyperlink r:id="rId667">
        <w:r>
          <w:rPr>
            <w:rFonts w:ascii="Times New Roman" w:eastAsia="Times New Roman" w:hAnsi="Times New Roman" w:cs="Times New Roman"/>
            <w:color w:val="000000"/>
            <w:sz w:val="24"/>
            <w:szCs w:val="24"/>
          </w:rPr>
          <w:t>(de Cabo and Mattson 2019)</w:t>
        </w:r>
      </w:hyperlink>
      <w:r>
        <w:rPr>
          <w:rFonts w:ascii="Times New Roman" w:eastAsia="Times New Roman" w:hAnsi="Times New Roman" w:cs="Times New Roman"/>
          <w:sz w:val="24"/>
          <w:szCs w:val="24"/>
        </w:rPr>
        <w:t xml:space="preserve">. Previous evidence indicates that meal timing could be influenced by a variety of factors, ranging from individual characteristics and choices, cultural contexts, environmental to physiological determinants </w:t>
      </w:r>
      <w:hyperlink r:id="rId668">
        <w:r>
          <w:rPr>
            <w:rFonts w:ascii="Times New Roman" w:eastAsia="Times New Roman" w:hAnsi="Times New Roman" w:cs="Times New Roman"/>
            <w:color w:val="000000"/>
            <w:sz w:val="24"/>
            <w:szCs w:val="24"/>
          </w:rPr>
          <w:t>(Leung et al., 2019</w:t>
        </w:r>
      </w:hyperlink>
      <w:r>
        <w:rPr>
          <w:rFonts w:ascii="Times New Roman" w:eastAsia="Times New Roman" w:hAnsi="Times New Roman" w:cs="Times New Roman"/>
          <w:sz w:val="24"/>
          <w:szCs w:val="24"/>
        </w:rPr>
        <w:t xml:space="preserve">; </w:t>
      </w:r>
      <w:hyperlink r:id="rId669">
        <w:r>
          <w:rPr>
            <w:rFonts w:ascii="Times New Roman" w:eastAsia="Times New Roman" w:hAnsi="Times New Roman" w:cs="Times New Roman"/>
            <w:color w:val="000000"/>
            <w:sz w:val="24"/>
            <w:szCs w:val="24"/>
          </w:rPr>
          <w:t xml:space="preserve">Vetter and Scheer 2017; </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2019)</w:t>
        </w:r>
      </w:hyperlink>
      <w:r>
        <w:rPr>
          <w:rFonts w:ascii="Times New Roman" w:eastAsia="Times New Roman" w:hAnsi="Times New Roman" w:cs="Times New Roman"/>
          <w:sz w:val="24"/>
          <w:szCs w:val="24"/>
        </w:rPr>
        <w:t xml:space="preserve">. For instance, studies on chronotype show that individuals with later chronotypes eat later meals than early chronotype </w:t>
      </w:r>
      <w:hyperlink r:id="rId670">
        <w:r>
          <w:rPr>
            <w:rFonts w:ascii="Times New Roman" w:eastAsia="Times New Roman" w:hAnsi="Times New Roman" w:cs="Times New Roman"/>
            <w:color w:val="000000"/>
            <w:sz w:val="24"/>
            <w:szCs w:val="24"/>
          </w:rPr>
          <w:t xml:space="preserve">(Lucassen et al., 2013; </w:t>
        </w:r>
        <w:proofErr w:type="spellStart"/>
        <w:r>
          <w:rPr>
            <w:rFonts w:ascii="Times New Roman" w:eastAsia="Times New Roman" w:hAnsi="Times New Roman" w:cs="Times New Roman"/>
            <w:color w:val="000000"/>
            <w:sz w:val="24"/>
            <w:szCs w:val="24"/>
          </w:rPr>
          <w:t>Maukonen</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Similarly, a systematic review of 43 studies found that late chronotype is associated with unhealthy eating habits, such as eating late at night and eating more energy density foods </w:t>
      </w:r>
      <w:hyperlink r:id="rId671">
        <w:r>
          <w:rPr>
            <w:rFonts w:ascii="Times New Roman" w:eastAsia="Times New Roman" w:hAnsi="Times New Roman" w:cs="Times New Roman"/>
            <w:color w:val="000000"/>
            <w:sz w:val="24"/>
            <w:szCs w:val="24"/>
          </w:rPr>
          <w:t>(Teixeira et al., 2022)</w:t>
        </w:r>
      </w:hyperlink>
      <w:r>
        <w:rPr>
          <w:rFonts w:ascii="Times New Roman" w:eastAsia="Times New Roman" w:hAnsi="Times New Roman" w:cs="Times New Roman"/>
          <w:sz w:val="24"/>
          <w:szCs w:val="24"/>
        </w:rPr>
        <w:t xml:space="preserve">. Furthermore, in a qualitative study using focus groups, pregnant black women (n = 18) reported individual and interpersonal contributors to late-night eating, </w:t>
      </w:r>
      <w:r>
        <w:rPr>
          <w:rFonts w:ascii="Times New Roman" w:eastAsia="Times New Roman" w:hAnsi="Times New Roman" w:cs="Times New Roman"/>
          <w:sz w:val="24"/>
          <w:szCs w:val="24"/>
        </w:rPr>
        <w:lastRenderedPageBreak/>
        <w:t xml:space="preserve">including hunger, foetal movements, altered sleep patterns and the influence of social others (e.g. children and parents in the household who were eating; </w:t>
      </w:r>
      <w:hyperlink r:id="rId672">
        <w:r>
          <w:rPr>
            <w:rFonts w:ascii="Times New Roman" w:eastAsia="Times New Roman" w:hAnsi="Times New Roman" w:cs="Times New Roman"/>
            <w:color w:val="000000"/>
            <w:sz w:val="24"/>
            <w:szCs w:val="24"/>
          </w:rPr>
          <w:t>Kroeger et al., 2019)</w:t>
        </w:r>
      </w:hyperlink>
      <w:r>
        <w:rPr>
          <w:rFonts w:ascii="Times New Roman" w:eastAsia="Times New Roman" w:hAnsi="Times New Roman" w:cs="Times New Roman"/>
          <w:sz w:val="24"/>
          <w:szCs w:val="24"/>
        </w:rPr>
        <w:t>. However, to date, there is no qualitative research investigating the factors that influence late evening eating and barriers and enablers to encourage earlier eating times in adults living with overweight and obesity who are not pregnant. Understanding the reasons for late evening eating could provide in-depth information that can be used to inform interventions to encourage individuals at risk of obesity to reduce late evening eating.</w:t>
      </w:r>
    </w:p>
    <w:p w14:paraId="000009A5" w14:textId="77777777" w:rsidR="00CB4215" w:rsidRDefault="00CB4215">
      <w:pPr>
        <w:spacing w:line="480" w:lineRule="auto"/>
        <w:rPr>
          <w:rFonts w:ascii="Times New Roman" w:eastAsia="Times New Roman" w:hAnsi="Times New Roman" w:cs="Times New Roman"/>
          <w:sz w:val="24"/>
          <w:szCs w:val="24"/>
          <w:highlight w:val="white"/>
        </w:rPr>
      </w:pPr>
    </w:p>
    <w:p w14:paraId="000009A6" w14:textId="77777777" w:rsidR="00CB4215" w:rsidRDefault="000530B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Behaviour Change Wheel (BCW) is a systematic framework for the understanding and changing behaviours </w:t>
      </w:r>
      <w:hyperlink r:id="rId673">
        <w:r>
          <w:rPr>
            <w:rFonts w:ascii="Times New Roman" w:eastAsia="Times New Roman" w:hAnsi="Times New Roman" w:cs="Times New Roman"/>
            <w:color w:val="000000"/>
            <w:sz w:val="24"/>
            <w:szCs w:val="24"/>
          </w:rPr>
          <w:t>(Michie et al., 2011)</w:t>
        </w:r>
      </w:hyperlink>
      <w:r>
        <w:rPr>
          <w:rFonts w:ascii="Times New Roman" w:eastAsia="Times New Roman" w:hAnsi="Times New Roman" w:cs="Times New Roman"/>
          <w:sz w:val="24"/>
          <w:szCs w:val="24"/>
        </w:rPr>
        <w:t xml:space="preserve">. At the core of this framework lies the COM-B model which represents three determinants to a given behaviour (B): Capability (C), Opportunity (O) and Motivation (M). Capability consists of physical (e.g., physical strength, skill or stamina) and psychological (e.g., knowledge or comprehension). Opportunity comprises physical (e.g., time, location) and social (e.g., cultural norms, interpersonal influences, social cues). Motivation consists of reflective (e. g., evaluations, self-conscious plans) and automatic processes (e. g., emotions, desires, impulses) </w:t>
      </w:r>
      <w:hyperlink r:id="rId674">
        <w:r>
          <w:rPr>
            <w:rFonts w:ascii="Times New Roman" w:eastAsia="Times New Roman" w:hAnsi="Times New Roman" w:cs="Times New Roman"/>
            <w:color w:val="000000"/>
            <w:sz w:val="24"/>
            <w:szCs w:val="24"/>
          </w:rPr>
          <w:t>(Michie et al., 2011)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shd w:val="clear" w:color="auto" w:fill="F7F7F8"/>
        </w:rPr>
        <w:t xml:space="preserve"> </w:t>
      </w:r>
      <w:r>
        <w:rPr>
          <w:rFonts w:ascii="Times New Roman" w:eastAsia="Times New Roman" w:hAnsi="Times New Roman" w:cs="Times New Roman"/>
          <w:sz w:val="24"/>
          <w:szCs w:val="24"/>
          <w:highlight w:val="white"/>
        </w:rPr>
        <w:t xml:space="preserve">COM-B model has been found to be an important tool for understanding behaviour change and designing effective interventions. The COM-B model offers a useful tool to understand behaviours, such as late evening eating, and where needed, guide intervention development to change behaviours (e.g., shift to earlier eating patterns).  </w:t>
      </w:r>
    </w:p>
    <w:p w14:paraId="000009A7" w14:textId="77777777" w:rsidR="00CB4215" w:rsidRDefault="00CB4215">
      <w:pPr>
        <w:spacing w:line="480" w:lineRule="auto"/>
        <w:rPr>
          <w:rFonts w:ascii="Times New Roman" w:eastAsia="Times New Roman" w:hAnsi="Times New Roman" w:cs="Times New Roman"/>
          <w:sz w:val="24"/>
          <w:szCs w:val="24"/>
          <w:highlight w:val="white"/>
        </w:rPr>
      </w:pPr>
    </w:p>
    <w:p w14:paraId="000009A9" w14:textId="5CE94B59" w:rsidR="00CB4215" w:rsidRPr="00AC014F"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Therefore, this study aimed to: </w:t>
      </w:r>
      <w:proofErr w:type="spellStart"/>
      <w:r>
        <w:rPr>
          <w:rFonts w:ascii="Times New Roman" w:eastAsia="Times New Roman" w:hAnsi="Times New Roman" w:cs="Times New Roman"/>
          <w:sz w:val="24"/>
          <w:szCs w:val="24"/>
          <w:highlight w:val="white"/>
        </w:rPr>
        <w:t>i</w:t>
      </w:r>
      <w:proofErr w:type="spellEnd"/>
      <w:r>
        <w:rPr>
          <w:rFonts w:ascii="Times New Roman" w:eastAsia="Times New Roman" w:hAnsi="Times New Roman" w:cs="Times New Roman"/>
          <w:sz w:val="24"/>
          <w:szCs w:val="24"/>
          <w:highlight w:val="white"/>
        </w:rPr>
        <w:t>) explore the factors that contribute to late eating and ii) draw on the COM-B model</w:t>
      </w:r>
      <w:r>
        <w:rPr>
          <w:rFonts w:ascii="Times New Roman" w:eastAsia="Times New Roman" w:hAnsi="Times New Roman" w:cs="Times New Roman"/>
          <w:sz w:val="24"/>
          <w:szCs w:val="24"/>
        </w:rPr>
        <w:t xml:space="preserve"> </w:t>
      </w:r>
      <w:hyperlink r:id="rId675">
        <w:r>
          <w:rPr>
            <w:rFonts w:ascii="Times New Roman" w:eastAsia="Times New Roman" w:hAnsi="Times New Roman" w:cs="Times New Roman"/>
            <w:color w:val="000000"/>
            <w:sz w:val="24"/>
            <w:szCs w:val="24"/>
          </w:rPr>
          <w:t>(Michie et al., 2011)</w:t>
        </w:r>
      </w:hyperlink>
      <w:r>
        <w:rPr>
          <w:rFonts w:ascii="Times New Roman" w:eastAsia="Times New Roman" w:hAnsi="Times New Roman" w:cs="Times New Roman"/>
          <w:sz w:val="24"/>
          <w:szCs w:val="24"/>
          <w:highlight w:val="white"/>
        </w:rPr>
        <w:t xml:space="preserve"> to understand the barriers and enablers to changing to earlier food intake timings in adults with overweight and obesity who report eating late.</w:t>
      </w:r>
    </w:p>
    <w:p w14:paraId="000009AA" w14:textId="77777777" w:rsidR="00CB4215" w:rsidRDefault="000530B4">
      <w:pPr>
        <w:pStyle w:val="Heading3"/>
        <w:rPr>
          <w:rFonts w:ascii="Times New Roman" w:eastAsia="Times New Roman" w:hAnsi="Times New Roman" w:cs="Times New Roman"/>
          <w:b/>
          <w:color w:val="000000"/>
        </w:rPr>
      </w:pPr>
      <w:bookmarkStart w:id="111" w:name="_Toc172984820"/>
      <w:r>
        <w:rPr>
          <w:rFonts w:ascii="Times New Roman" w:eastAsia="Times New Roman" w:hAnsi="Times New Roman" w:cs="Times New Roman"/>
          <w:b/>
          <w:color w:val="000000"/>
        </w:rPr>
        <w:lastRenderedPageBreak/>
        <w:t>6.3 Methods</w:t>
      </w:r>
      <w:bookmarkEnd w:id="111"/>
    </w:p>
    <w:p w14:paraId="000009AB"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6.3.1 Design</w:t>
      </w:r>
    </w:p>
    <w:p w14:paraId="000009AC" w14:textId="77777777" w:rsidR="00CB4215" w:rsidRDefault="00CB4215"/>
    <w:p w14:paraId="52E9837E" w14:textId="3251AC77" w:rsidR="00036FFF" w:rsidRPr="00036FFF" w:rsidRDefault="002B2BFC" w:rsidP="00036FFF">
      <w:pPr>
        <w:spacing w:line="480" w:lineRule="auto"/>
        <w:rPr>
          <w:rFonts w:ascii="Times New Roman" w:eastAsia="Times New Roman" w:hAnsi="Times New Roman" w:cs="Times New Roman"/>
          <w:sz w:val="24"/>
          <w:szCs w:val="24"/>
        </w:rPr>
      </w:pPr>
      <w:r w:rsidRPr="002B2BFC">
        <w:rPr>
          <w:rFonts w:ascii="Times New Roman" w:eastAsia="Times New Roman" w:hAnsi="Times New Roman" w:cs="Times New Roman"/>
          <w:sz w:val="24"/>
          <w:szCs w:val="24"/>
        </w:rPr>
        <w:t xml:space="preserve">This study used phenomenological approach </w:t>
      </w:r>
      <w:r>
        <w:rPr>
          <w:rFonts w:ascii="Times New Roman" w:eastAsia="Times New Roman" w:hAnsi="Times New Roman" w:cs="Times New Roman"/>
          <w:sz w:val="24"/>
          <w:szCs w:val="24"/>
        </w:rPr>
        <w:t xml:space="preserve">and </w:t>
      </w:r>
      <w:r w:rsidR="00036FFF" w:rsidRPr="00036FFF">
        <w:rPr>
          <w:rFonts w:ascii="Times New Roman" w:eastAsia="Times New Roman" w:hAnsi="Times New Roman" w:cs="Times New Roman"/>
          <w:sz w:val="24"/>
          <w:szCs w:val="24"/>
        </w:rPr>
        <w:t>consisted of qualitative semi-structured interviews with participants living with overweight or obesity and reported last eating episodes after 8 PM. Interviews were conducted between July and September 2023. The study was approved by the University of Sheffield’s ethics committee (# 053823) and was pre-registered on the Open Science Framework (</w:t>
      </w:r>
      <w:hyperlink r:id="rId676">
        <w:r w:rsidR="00036FFF" w:rsidRPr="00036FFF">
          <w:rPr>
            <w:rStyle w:val="Hyperlink"/>
            <w:rFonts w:ascii="Times New Roman" w:eastAsia="Times New Roman" w:hAnsi="Times New Roman" w:cs="Times New Roman"/>
            <w:color w:val="auto"/>
            <w:sz w:val="24"/>
            <w:szCs w:val="24"/>
            <w:u w:val="none"/>
          </w:rPr>
          <w:t>https://osf.io/my2k9/</w:t>
        </w:r>
      </w:hyperlink>
      <w:r w:rsidR="00036FFF" w:rsidRPr="00036FFF">
        <w:rPr>
          <w:rFonts w:ascii="Times New Roman" w:eastAsia="Times New Roman" w:hAnsi="Times New Roman" w:cs="Times New Roman"/>
          <w:sz w:val="24"/>
          <w:szCs w:val="24"/>
        </w:rPr>
        <w:t xml:space="preserve">). </w:t>
      </w:r>
    </w:p>
    <w:p w14:paraId="000009AE" w14:textId="77777777" w:rsidR="00CB4215" w:rsidRDefault="00CB4215">
      <w:pPr>
        <w:spacing w:line="480" w:lineRule="auto"/>
        <w:rPr>
          <w:rFonts w:ascii="Times New Roman" w:eastAsia="Times New Roman" w:hAnsi="Times New Roman" w:cs="Times New Roman"/>
          <w:sz w:val="24"/>
          <w:szCs w:val="24"/>
        </w:rPr>
      </w:pPr>
    </w:p>
    <w:p w14:paraId="000009AF"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6.3.2 Participants and recruitment</w:t>
      </w:r>
    </w:p>
    <w:p w14:paraId="000009B0" w14:textId="77777777" w:rsidR="00CB4215" w:rsidRDefault="00CB4215"/>
    <w:p w14:paraId="2B7C91EB" w14:textId="171A25C6" w:rsidR="00036FFF" w:rsidRPr="00036FFF" w:rsidRDefault="00036FFF" w:rsidP="00036FFF">
      <w:pPr>
        <w:spacing w:line="480" w:lineRule="auto"/>
        <w:rPr>
          <w:rFonts w:ascii="Times New Roman" w:eastAsia="Times New Roman" w:hAnsi="Times New Roman" w:cs="Times New Roman"/>
          <w:sz w:val="24"/>
          <w:szCs w:val="24"/>
        </w:rPr>
      </w:pPr>
      <w:r w:rsidRPr="00036FFF">
        <w:rPr>
          <w:rFonts w:ascii="Times New Roman" w:eastAsia="Times New Roman" w:hAnsi="Times New Roman" w:cs="Times New Roman"/>
          <w:sz w:val="24"/>
          <w:szCs w:val="24"/>
        </w:rPr>
        <w:t>Participants were identified by purposive sampling and recruited from the local area within Sheffield, UK via posters at community centres, through social media, and online classified adverts. Prior to the interviews, participants were asked to self-report the times they usually ate each meal and snacks, including breakfast, lunch and evening meal. Self-reported height and weight were collected to compute BMI (in kg/m</w:t>
      </w:r>
      <w:r w:rsidRPr="00036FFF">
        <w:rPr>
          <w:rFonts w:ascii="Times New Roman" w:eastAsia="Times New Roman" w:hAnsi="Times New Roman" w:cs="Times New Roman"/>
          <w:sz w:val="24"/>
          <w:szCs w:val="24"/>
          <w:vertAlign w:val="superscript"/>
        </w:rPr>
        <w:t>2</w:t>
      </w:r>
      <w:r w:rsidRPr="00036FFF">
        <w:rPr>
          <w:rFonts w:ascii="Times New Roman" w:eastAsia="Times New Roman" w:hAnsi="Times New Roman" w:cs="Times New Roman"/>
          <w:sz w:val="24"/>
          <w:szCs w:val="24"/>
        </w:rPr>
        <w:t>). To be eligible, participants needed to be aged between 18-65 years, living with overweight or obesity (BMI</w:t>
      </w:r>
      <w:sdt>
        <w:sdtPr>
          <w:rPr>
            <w:rFonts w:ascii="Times New Roman" w:eastAsia="Times New Roman" w:hAnsi="Times New Roman" w:cs="Times New Roman"/>
            <w:sz w:val="24"/>
            <w:szCs w:val="24"/>
          </w:rPr>
          <w:tag w:val="goog_rdk_0"/>
          <w:id w:val="-1663316352"/>
        </w:sdtPr>
        <w:sdtEndPr/>
        <w:sdtContent>
          <w:r w:rsidRPr="00036FFF">
            <w:rPr>
              <w:rFonts w:ascii="Times New Roman" w:eastAsia="Times New Roman" w:hAnsi="Times New Roman" w:cs="Times New Roman"/>
              <w:sz w:val="24"/>
              <w:szCs w:val="24"/>
            </w:rPr>
            <w:t>≥25 kg/m</w:t>
          </w:r>
        </w:sdtContent>
      </w:sdt>
      <w:r w:rsidRPr="00036FFF">
        <w:rPr>
          <w:rFonts w:ascii="Times New Roman" w:eastAsia="Times New Roman" w:hAnsi="Times New Roman" w:cs="Times New Roman"/>
          <w:sz w:val="24"/>
          <w:szCs w:val="24"/>
          <w:vertAlign w:val="superscript"/>
        </w:rPr>
        <w:t>2</w:t>
      </w:r>
      <w:r w:rsidRPr="00036FFF">
        <w:rPr>
          <w:rFonts w:ascii="Times New Roman" w:eastAsia="Times New Roman" w:hAnsi="Times New Roman" w:cs="Times New Roman"/>
          <w:sz w:val="24"/>
          <w:szCs w:val="24"/>
        </w:rPr>
        <w:t>), have no current or history of eating disorders, not be pregnant or breastfeeding, and report consuming their last eating episodes after 8 PM, as established by prior research (</w:t>
      </w:r>
      <w:proofErr w:type="spellStart"/>
      <w:r w:rsidRPr="00036FFF">
        <w:rPr>
          <w:rFonts w:ascii="Times New Roman" w:eastAsia="Times New Roman" w:hAnsi="Times New Roman" w:cs="Times New Roman"/>
          <w:sz w:val="24"/>
          <w:szCs w:val="24"/>
        </w:rPr>
        <w:t>Maukonen</w:t>
      </w:r>
      <w:proofErr w:type="spellEnd"/>
      <w:r w:rsidRPr="00036FFF">
        <w:rPr>
          <w:rFonts w:ascii="Times New Roman" w:eastAsia="Times New Roman" w:hAnsi="Times New Roman" w:cs="Times New Roman"/>
          <w:sz w:val="24"/>
          <w:szCs w:val="24"/>
        </w:rPr>
        <w:t xml:space="preserve"> et al. 2019; Baron et al. 2011; Jacob et al. 2023). Eligibility was assessed with an online screening questionnaire via Qualtrics (Provo, UT). Eligible participants could opt for in-person or online interviews. In-person interviews were conducted at the University of Sheffield. Participants were contacted by the researcher by email to book the appointment for in-person or online interviews, and a reminder email was sent 24 hours before the interview. To achieve saturation (whereby no new themes emerged), </w:t>
      </w:r>
      <w:proofErr w:type="spellStart"/>
      <w:r w:rsidRPr="00036FFF">
        <w:rPr>
          <w:rFonts w:ascii="Times New Roman" w:eastAsia="Times New Roman" w:hAnsi="Times New Roman" w:cs="Times New Roman"/>
          <w:sz w:val="24"/>
          <w:szCs w:val="24"/>
        </w:rPr>
        <w:t>Hennink</w:t>
      </w:r>
      <w:proofErr w:type="spellEnd"/>
      <w:r w:rsidRPr="00036FFF">
        <w:rPr>
          <w:rFonts w:ascii="Times New Roman" w:eastAsia="Times New Roman" w:hAnsi="Times New Roman" w:cs="Times New Roman"/>
          <w:sz w:val="24"/>
          <w:szCs w:val="24"/>
        </w:rPr>
        <w:t xml:space="preserve"> et al. (2022) recommended conducting interviews with 9-17 participants. Therefore, the minimum sample size for this </w:t>
      </w:r>
      <w:r w:rsidRPr="00036FFF">
        <w:rPr>
          <w:rFonts w:ascii="Times New Roman" w:eastAsia="Times New Roman" w:hAnsi="Times New Roman" w:cs="Times New Roman"/>
          <w:sz w:val="24"/>
          <w:szCs w:val="24"/>
        </w:rPr>
        <w:lastRenderedPageBreak/>
        <w:t xml:space="preserve">study was nine. Prior to the interviews, study information was provided, and consent was obtained. At the start of the interviews, participants were instructed that there were no right or wrong answers to encourage uninhibited responses. After conducting 17 interviews, saturation was established, and no new information or themes were identified in the data </w:t>
      </w:r>
      <w:hyperlink r:id="rId677" w:history="1">
        <w:r w:rsidRPr="00036FFF">
          <w:rPr>
            <w:rStyle w:val="Hyperlink"/>
            <w:rFonts w:ascii="Times New Roman" w:eastAsia="Times New Roman" w:hAnsi="Times New Roman" w:cs="Times New Roman"/>
            <w:color w:val="auto"/>
            <w:sz w:val="24"/>
            <w:szCs w:val="24"/>
            <w:u w:val="none"/>
          </w:rPr>
          <w:t>(Guest et al., 2006)</w:t>
        </w:r>
      </w:hyperlink>
      <w:r w:rsidRPr="00036FFF">
        <w:rPr>
          <w:rFonts w:ascii="Times New Roman" w:eastAsia="Times New Roman" w:hAnsi="Times New Roman" w:cs="Times New Roman"/>
          <w:sz w:val="24"/>
          <w:szCs w:val="24"/>
        </w:rPr>
        <w:t xml:space="preserve">. Upon completion of the study, participants received a £20 Amazon voucher for online interviews and a £25 Amazon voucher for in-person interviews. </w:t>
      </w:r>
    </w:p>
    <w:p w14:paraId="000009B2" w14:textId="77777777" w:rsidR="00CB4215" w:rsidRDefault="00CB4215">
      <w:pPr>
        <w:spacing w:line="480" w:lineRule="auto"/>
        <w:rPr>
          <w:rFonts w:ascii="Times New Roman" w:eastAsia="Times New Roman" w:hAnsi="Times New Roman" w:cs="Times New Roman"/>
          <w:sz w:val="24"/>
          <w:szCs w:val="24"/>
        </w:rPr>
      </w:pPr>
    </w:p>
    <w:p w14:paraId="000009B3" w14:textId="77777777" w:rsidR="00CB4215" w:rsidRDefault="000530B4">
      <w:pPr>
        <w:pStyle w:val="Heading3"/>
        <w:rPr>
          <w:rFonts w:ascii="Times New Roman" w:eastAsia="Times New Roman" w:hAnsi="Times New Roman" w:cs="Times New Roman"/>
          <w:b/>
          <w:color w:val="000000"/>
          <w:highlight w:val="white"/>
        </w:rPr>
      </w:pPr>
      <w:bookmarkStart w:id="112" w:name="_Toc172984821"/>
      <w:r>
        <w:rPr>
          <w:rFonts w:ascii="Times New Roman" w:eastAsia="Times New Roman" w:hAnsi="Times New Roman" w:cs="Times New Roman"/>
          <w:b/>
          <w:color w:val="000000"/>
          <w:highlight w:val="white"/>
        </w:rPr>
        <w:t>6.4 Data collection</w:t>
      </w:r>
      <w:bookmarkEnd w:id="112"/>
      <w:r>
        <w:rPr>
          <w:rFonts w:ascii="Times New Roman" w:eastAsia="Times New Roman" w:hAnsi="Times New Roman" w:cs="Times New Roman"/>
          <w:b/>
          <w:color w:val="000000"/>
          <w:highlight w:val="white"/>
        </w:rPr>
        <w:t xml:space="preserve"> </w:t>
      </w:r>
    </w:p>
    <w:p w14:paraId="000009B4" w14:textId="77777777" w:rsidR="00CB4215" w:rsidRDefault="000530B4">
      <w:pPr>
        <w:pStyle w:val="Heading4"/>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6.4.1 Interviews</w:t>
      </w:r>
    </w:p>
    <w:p w14:paraId="000009B5" w14:textId="77777777" w:rsidR="00CB4215" w:rsidRDefault="00CB4215">
      <w:pPr>
        <w:rPr>
          <w:highlight w:val="white"/>
        </w:rPr>
      </w:pPr>
    </w:p>
    <w:p w14:paraId="000009B6" w14:textId="0623968C" w:rsidR="00CB4215" w:rsidRDefault="00036FFF">
      <w:pPr>
        <w:spacing w:line="480" w:lineRule="auto"/>
        <w:rPr>
          <w:rFonts w:ascii="Times New Roman" w:eastAsia="Times New Roman" w:hAnsi="Times New Roman" w:cs="Times New Roman"/>
          <w:sz w:val="24"/>
          <w:szCs w:val="24"/>
        </w:rPr>
      </w:pPr>
      <w:r w:rsidRPr="00036FFF">
        <w:rPr>
          <w:rFonts w:ascii="Times New Roman" w:eastAsia="Times New Roman" w:hAnsi="Times New Roman" w:cs="Times New Roman"/>
          <w:sz w:val="24"/>
          <w:szCs w:val="24"/>
          <w:highlight w:val="white"/>
        </w:rPr>
        <w:t xml:space="preserve">Interview questions were developed by the researcher (BY) and reviewed and confirmed by the research team (NJB and SJC). A practice session was used to test interview questions. The semi-structured interviews were conducted by the researcher (BY) either in-person (at the University of Sheffield) or online via Google Meet. The first part of the interview questions explored reasons for late evening eating. The second part explored barriers and enablers to changing late evening eating habits. Participants were also asked about their willingness to change to earlier eating patterns and willingness to participate in a programme designed to encourage earlier eating patterns </w:t>
      </w:r>
      <w:r w:rsidR="000530B4">
        <w:rPr>
          <w:rFonts w:ascii="Times New Roman" w:eastAsia="Times New Roman" w:hAnsi="Times New Roman" w:cs="Times New Roman"/>
          <w:sz w:val="24"/>
          <w:szCs w:val="24"/>
          <w:highlight w:val="white"/>
        </w:rPr>
        <w:t>(see Appendix D for interview questions). Interviews lasted between 30 to 60 minutes and</w:t>
      </w:r>
      <w:r w:rsidR="000530B4">
        <w:rPr>
          <w:rFonts w:ascii="Times New Roman" w:eastAsia="Times New Roman" w:hAnsi="Times New Roman" w:cs="Times New Roman"/>
          <w:sz w:val="24"/>
          <w:szCs w:val="24"/>
        </w:rPr>
        <w:t xml:space="preserve"> were audio-recorded</w:t>
      </w:r>
      <w:r w:rsidR="00F83655">
        <w:rPr>
          <w:rFonts w:ascii="Times New Roman" w:eastAsia="Times New Roman" w:hAnsi="Times New Roman" w:cs="Times New Roman"/>
          <w:sz w:val="24"/>
          <w:szCs w:val="24"/>
        </w:rPr>
        <w:t xml:space="preserve"> (Philips, LFH 6</w:t>
      </w:r>
      <w:r w:rsidR="00487DB1">
        <w:rPr>
          <w:rFonts w:ascii="Times New Roman" w:eastAsia="Times New Roman" w:hAnsi="Times New Roman" w:cs="Times New Roman"/>
          <w:sz w:val="24"/>
          <w:szCs w:val="24"/>
        </w:rPr>
        <w:t>2</w:t>
      </w:r>
      <w:r w:rsidR="00F83655">
        <w:rPr>
          <w:rFonts w:ascii="Times New Roman" w:eastAsia="Times New Roman" w:hAnsi="Times New Roman" w:cs="Times New Roman"/>
          <w:sz w:val="24"/>
          <w:szCs w:val="24"/>
        </w:rPr>
        <w:t>0)</w:t>
      </w:r>
      <w:r w:rsidR="000530B4">
        <w:rPr>
          <w:rFonts w:ascii="Times New Roman" w:eastAsia="Times New Roman" w:hAnsi="Times New Roman" w:cs="Times New Roman"/>
          <w:sz w:val="24"/>
          <w:szCs w:val="24"/>
        </w:rPr>
        <w:t xml:space="preserve">. </w:t>
      </w:r>
    </w:p>
    <w:p w14:paraId="000009B7" w14:textId="77777777" w:rsidR="00CB4215" w:rsidRDefault="00CB4215">
      <w:pPr>
        <w:spacing w:line="480" w:lineRule="auto"/>
        <w:rPr>
          <w:rFonts w:ascii="Times New Roman" w:eastAsia="Times New Roman" w:hAnsi="Times New Roman" w:cs="Times New Roman"/>
          <w:sz w:val="24"/>
          <w:szCs w:val="24"/>
        </w:rPr>
      </w:pPr>
    </w:p>
    <w:p w14:paraId="000009B8"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6.4.2 Survey</w:t>
      </w:r>
    </w:p>
    <w:p w14:paraId="000009B9" w14:textId="77777777" w:rsidR="00CB4215" w:rsidRDefault="00CB4215"/>
    <w:p w14:paraId="3867DE94" w14:textId="6127DA12" w:rsidR="00610611"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interview, participants completed an online questionnaire to provide demographic information, including employment type, education, ethnicity, household income (£), work schedule (e.g., shift work), health conditions and night eating syndrome </w:t>
      </w:r>
      <w:hyperlink r:id="rId678">
        <w:r>
          <w:rPr>
            <w:rFonts w:ascii="Times New Roman" w:eastAsia="Times New Roman" w:hAnsi="Times New Roman" w:cs="Times New Roman"/>
            <w:color w:val="000000"/>
            <w:sz w:val="24"/>
            <w:szCs w:val="24"/>
          </w:rPr>
          <w:t>(Allison et al., 2008)</w:t>
        </w:r>
      </w:hyperlink>
      <w:r>
        <w:rPr>
          <w:rFonts w:ascii="Times New Roman" w:eastAsia="Times New Roman" w:hAnsi="Times New Roman" w:cs="Times New Roman"/>
          <w:sz w:val="24"/>
          <w:szCs w:val="24"/>
        </w:rPr>
        <w:t xml:space="preserve"> to characterise the sample. The 14-item Night Eating Questionnaire was used to characterise </w:t>
      </w:r>
      <w:r>
        <w:rPr>
          <w:rFonts w:ascii="Times New Roman" w:eastAsia="Times New Roman" w:hAnsi="Times New Roman" w:cs="Times New Roman"/>
          <w:sz w:val="24"/>
          <w:szCs w:val="24"/>
        </w:rPr>
        <w:lastRenderedPageBreak/>
        <w:t xml:space="preserve">the sample given its relevance to night eating and timing of food intake (Cronbach’s α = 0.70). After survey completion, participants were debriefed. </w:t>
      </w:r>
    </w:p>
    <w:p w14:paraId="50E5C6C5" w14:textId="77777777" w:rsidR="00991698" w:rsidRDefault="00991698">
      <w:pPr>
        <w:spacing w:line="480" w:lineRule="auto"/>
        <w:rPr>
          <w:rFonts w:ascii="Times New Roman" w:eastAsia="Times New Roman" w:hAnsi="Times New Roman" w:cs="Times New Roman"/>
          <w:sz w:val="24"/>
          <w:szCs w:val="24"/>
        </w:rPr>
      </w:pPr>
    </w:p>
    <w:p w14:paraId="000009BB" w14:textId="77777777" w:rsidR="00CB4215" w:rsidRDefault="000530B4">
      <w:pPr>
        <w:pStyle w:val="Heading3"/>
        <w:rPr>
          <w:rFonts w:ascii="Times New Roman" w:eastAsia="Times New Roman" w:hAnsi="Times New Roman" w:cs="Times New Roman"/>
          <w:b/>
          <w:color w:val="000000"/>
        </w:rPr>
      </w:pPr>
      <w:bookmarkStart w:id="113" w:name="_Toc172984822"/>
      <w:r>
        <w:rPr>
          <w:rFonts w:ascii="Times New Roman" w:eastAsia="Times New Roman" w:hAnsi="Times New Roman" w:cs="Times New Roman"/>
          <w:b/>
          <w:color w:val="000000"/>
        </w:rPr>
        <w:t>6.5 Data Analysis</w:t>
      </w:r>
      <w:bookmarkEnd w:id="113"/>
    </w:p>
    <w:p w14:paraId="000009BC" w14:textId="77777777" w:rsidR="00CB4215" w:rsidRDefault="00CB4215"/>
    <w:p w14:paraId="000009BD" w14:textId="2807717E" w:rsidR="00CB4215" w:rsidRDefault="00036FFF">
      <w:pPr>
        <w:spacing w:line="480" w:lineRule="auto"/>
        <w:rPr>
          <w:rFonts w:ascii="Times New Roman" w:eastAsia="Times New Roman" w:hAnsi="Times New Roman" w:cs="Times New Roman"/>
          <w:sz w:val="24"/>
          <w:szCs w:val="24"/>
        </w:rPr>
      </w:pPr>
      <w:r w:rsidRPr="00036FFF">
        <w:rPr>
          <w:rFonts w:ascii="Times New Roman" w:eastAsia="Times New Roman" w:hAnsi="Times New Roman" w:cs="Times New Roman"/>
          <w:sz w:val="24"/>
          <w:szCs w:val="24"/>
        </w:rPr>
        <w:t>The semi-structured interviews were transcribed verbatim with names and other identifiers removed. Participant numbers (P#), randomly generated from 100, were used to identify each participant</w:t>
      </w:r>
      <w:r w:rsidR="000530B4">
        <w:rPr>
          <w:rFonts w:ascii="Times New Roman" w:eastAsia="Times New Roman" w:hAnsi="Times New Roman" w:cs="Times New Roman"/>
          <w:sz w:val="24"/>
          <w:szCs w:val="24"/>
        </w:rPr>
        <w:t xml:space="preserve">. Age and gender were not included in the quotes to prevent participant identification. Transcripts were coded using thematic analysis in NVivo (Version 14, QSR International, Melbourne, Australia). The researcher (BY) analysed the data following the six phases of thematic analysis recommended by </w:t>
      </w:r>
      <w:bookmarkStart w:id="114" w:name="_Hlk172983316"/>
      <w:r w:rsidR="000530B4">
        <w:rPr>
          <w:rFonts w:ascii="Times New Roman" w:eastAsia="Times New Roman" w:hAnsi="Times New Roman" w:cs="Times New Roman"/>
          <w:sz w:val="24"/>
          <w:szCs w:val="24"/>
        </w:rPr>
        <w:t>Braun and Clark (2006)</w:t>
      </w:r>
      <w:bookmarkEnd w:id="114"/>
      <w:r w:rsidR="000530B4">
        <w:rPr>
          <w:rFonts w:ascii="Times New Roman" w:eastAsia="Times New Roman" w:hAnsi="Times New Roman" w:cs="Times New Roman"/>
          <w:sz w:val="24"/>
          <w:szCs w:val="24"/>
        </w:rPr>
        <w:t>, including data familiarisation, generating the codes, searching for themes, reviewing themes, defining and naming themes, and producing the report. Phrases and sentences were inductively identified and assigned codes, demonstrating a data-driven approach to analysis</w:t>
      </w:r>
      <w:hyperlink r:id="rId679">
        <w:r w:rsidR="000530B4">
          <w:rPr>
            <w:rFonts w:ascii="Times New Roman" w:eastAsia="Times New Roman" w:hAnsi="Times New Roman" w:cs="Times New Roman"/>
            <w:color w:val="000000"/>
            <w:sz w:val="24"/>
            <w:szCs w:val="24"/>
          </w:rPr>
          <w:t xml:space="preserve"> (Thomas 2006)</w:t>
        </w:r>
      </w:hyperlink>
      <w:r w:rsidR="000530B4">
        <w:rPr>
          <w:rFonts w:ascii="Times New Roman" w:eastAsia="Times New Roman" w:hAnsi="Times New Roman" w:cs="Times New Roman"/>
          <w:sz w:val="24"/>
          <w:szCs w:val="24"/>
        </w:rPr>
        <w:t xml:space="preserve">. </w:t>
      </w:r>
      <w:r w:rsidRPr="00036FFF">
        <w:rPr>
          <w:rFonts w:ascii="Times New Roman" w:eastAsia="Times New Roman" w:hAnsi="Times New Roman" w:cs="Times New Roman"/>
          <w:sz w:val="24"/>
          <w:szCs w:val="24"/>
        </w:rPr>
        <w:t>Codes were then grouped into themes. The use of a single researcher has the advantage of assuring coherent analysis and consistent interpretation, with an emphasis on understanding the interpretation of participants' words rather than trying to achieve numerical or semantic agreement between multiple coders (Morse et al., 2002; Nowell et al., 2017</w:t>
      </w:r>
      <w:r>
        <w:rPr>
          <w:rFonts w:ascii="Times New Roman" w:eastAsia="Times New Roman" w:hAnsi="Times New Roman" w:cs="Times New Roman"/>
          <w:sz w:val="24"/>
          <w:szCs w:val="24"/>
        </w:rPr>
        <w:t xml:space="preserve">; </w:t>
      </w:r>
      <w:r w:rsidRPr="00036FFF">
        <w:rPr>
          <w:rFonts w:ascii="Times New Roman" w:eastAsia="Times New Roman" w:hAnsi="Times New Roman" w:cs="Times New Roman"/>
          <w:sz w:val="24"/>
          <w:szCs w:val="24"/>
        </w:rPr>
        <w:t>Braun and Clark</w:t>
      </w:r>
      <w:r>
        <w:rPr>
          <w:rFonts w:ascii="Times New Roman" w:eastAsia="Times New Roman" w:hAnsi="Times New Roman" w:cs="Times New Roman"/>
          <w:sz w:val="24"/>
          <w:szCs w:val="24"/>
        </w:rPr>
        <w:t>, 2022</w:t>
      </w:r>
      <w:r w:rsidRPr="00036FFF">
        <w:rPr>
          <w:rFonts w:ascii="Times New Roman" w:eastAsia="Times New Roman" w:hAnsi="Times New Roman" w:cs="Times New Roman"/>
          <w:sz w:val="24"/>
          <w:szCs w:val="24"/>
        </w:rPr>
        <w:t xml:space="preserve">). The final themes were reviewed and discussed with another researcher (NJB). The themes that referred to barriers and enablers to changing late evening eating habits were deductively mapped to the COM-B constructs, which could be more targeted to identify and address specific barriers and enablers. Deductive mapping of themes was carried out by two researchers (BY, NJB), </w:t>
      </w:r>
      <w:proofErr w:type="gramStart"/>
      <w:r w:rsidRPr="00036FFF">
        <w:rPr>
          <w:rFonts w:ascii="Times New Roman" w:eastAsia="Times New Roman" w:hAnsi="Times New Roman" w:cs="Times New Roman"/>
          <w:sz w:val="24"/>
          <w:szCs w:val="24"/>
        </w:rPr>
        <w:t>taking into account</w:t>
      </w:r>
      <w:proofErr w:type="gramEnd"/>
      <w:r w:rsidRPr="00036FFF">
        <w:rPr>
          <w:rFonts w:ascii="Times New Roman" w:eastAsia="Times New Roman" w:hAnsi="Times New Roman" w:cs="Times New Roman"/>
          <w:sz w:val="24"/>
          <w:szCs w:val="24"/>
        </w:rPr>
        <w:t xml:space="preserve"> the relevance between theme, transcripts and definitions of each COM-B component. Although the themes were analysed in two sections, there was flexibility in transferring themes between these sections. Any disagreement </w:t>
      </w:r>
      <w:r w:rsidRPr="00036FFF">
        <w:rPr>
          <w:rFonts w:ascii="Times New Roman" w:eastAsia="Times New Roman" w:hAnsi="Times New Roman" w:cs="Times New Roman"/>
          <w:sz w:val="24"/>
          <w:szCs w:val="24"/>
        </w:rPr>
        <w:lastRenderedPageBreak/>
        <w:t xml:space="preserve">between BY and NJB was resolved through regular discussion to ensure quality and rigour of the method. The audit trail was used to document the data collection process and the various stages of data analysis, stored in NVivo, to enhance the trustworthiness and credibility of the study (Patton 2014; O’Brien et al., 2014). The study is reported in line with the Standards for Reporting Qualitative Research (SRQR) reporting guideline </w:t>
      </w:r>
      <w:hyperlink r:id="rId680" w:history="1">
        <w:r w:rsidRPr="00036FFF">
          <w:rPr>
            <w:rStyle w:val="Hyperlink"/>
            <w:rFonts w:ascii="Times New Roman" w:eastAsia="Times New Roman" w:hAnsi="Times New Roman" w:cs="Times New Roman"/>
            <w:color w:val="auto"/>
            <w:sz w:val="24"/>
            <w:szCs w:val="24"/>
            <w:u w:val="none"/>
          </w:rPr>
          <w:t>(O’Brien et al., 2014)</w:t>
        </w:r>
      </w:hyperlink>
      <w:r w:rsidRPr="00036FFF">
        <w:rPr>
          <w:rFonts w:ascii="Times New Roman" w:eastAsia="Times New Roman" w:hAnsi="Times New Roman" w:cs="Times New Roman"/>
          <w:sz w:val="24"/>
          <w:szCs w:val="24"/>
        </w:rPr>
        <w:t xml:space="preserve"> for quality and transparency of the research</w:t>
      </w:r>
      <w:r>
        <w:rPr>
          <w:rFonts w:ascii="Times New Roman" w:eastAsia="Times New Roman" w:hAnsi="Times New Roman" w:cs="Times New Roman"/>
          <w:sz w:val="24"/>
          <w:szCs w:val="24"/>
        </w:rPr>
        <w:t xml:space="preserve">. </w:t>
      </w:r>
      <w:r w:rsidR="000530B4">
        <w:rPr>
          <w:rFonts w:ascii="Times New Roman" w:eastAsia="Times New Roman" w:hAnsi="Times New Roman" w:cs="Times New Roman"/>
          <w:sz w:val="24"/>
          <w:szCs w:val="24"/>
        </w:rPr>
        <w:t>Demographic data collected during the interviews was analysed using descriptive statistics in IBM Statistical Package for the Social Sciences (Version 27). Means ± standard deviations (95% confidence interval) are reported unless specified.</w:t>
      </w:r>
    </w:p>
    <w:p w14:paraId="000009BE" w14:textId="77777777" w:rsidR="00CB4215" w:rsidRDefault="00CB4215">
      <w:pPr>
        <w:spacing w:line="480" w:lineRule="auto"/>
        <w:rPr>
          <w:rFonts w:ascii="Times New Roman" w:eastAsia="Times New Roman" w:hAnsi="Times New Roman" w:cs="Times New Roman"/>
          <w:sz w:val="24"/>
          <w:szCs w:val="24"/>
        </w:rPr>
      </w:pPr>
    </w:p>
    <w:p w14:paraId="000009BF" w14:textId="77777777" w:rsidR="00CB4215" w:rsidRDefault="000530B4">
      <w:pPr>
        <w:pStyle w:val="Heading3"/>
        <w:rPr>
          <w:rFonts w:ascii="Times New Roman" w:eastAsia="Times New Roman" w:hAnsi="Times New Roman" w:cs="Times New Roman"/>
          <w:b/>
          <w:color w:val="000000"/>
        </w:rPr>
      </w:pPr>
      <w:bookmarkStart w:id="115" w:name="_Toc172984823"/>
      <w:r>
        <w:rPr>
          <w:rFonts w:ascii="Times New Roman" w:eastAsia="Times New Roman" w:hAnsi="Times New Roman" w:cs="Times New Roman"/>
          <w:b/>
          <w:color w:val="000000"/>
        </w:rPr>
        <w:t>6.6. Results</w:t>
      </w:r>
      <w:bookmarkEnd w:id="115"/>
    </w:p>
    <w:p w14:paraId="000009C0"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6.6.1 Participant characteristics </w:t>
      </w:r>
    </w:p>
    <w:p w14:paraId="000009C1" w14:textId="77777777" w:rsidR="00CB4215" w:rsidRDefault="00CB4215"/>
    <w:p w14:paraId="6BC94374" w14:textId="7CFC7A2F" w:rsidR="006D0A6A" w:rsidRPr="00AC014F" w:rsidRDefault="000530B4" w:rsidP="00AC014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sample (n = 17) consisted mostly of women (71%, n = 12; 31% men, n = 5) with a mean age of 32.5 ± 6.7 (29.1, 35.9) years and a mean BMI of 34.7 ± 7.1 (31.0, 38.3) kg/m². All other measures are shown in Table 1. Of note, most participants were White and Asian or Asian British, reported full-time regular day work and had at least a bachelor’s degree. Three participants were screened as potentially having night eating syndrome by using the cut-off score of 25 (Allison et al., 2008).</w:t>
      </w:r>
    </w:p>
    <w:p w14:paraId="2BB65C18" w14:textId="0DF7D532" w:rsidR="006D0A6A" w:rsidRDefault="006D0A6A">
      <w:pPr>
        <w:spacing w:line="240" w:lineRule="auto"/>
        <w:rPr>
          <w:rFonts w:ascii="Times New Roman" w:eastAsia="Times New Roman" w:hAnsi="Times New Roman" w:cs="Times New Roman"/>
        </w:rPr>
      </w:pPr>
    </w:p>
    <w:p w14:paraId="77BA95C9" w14:textId="77777777" w:rsidR="006D0A6A" w:rsidRDefault="006D0A6A">
      <w:pPr>
        <w:spacing w:line="240" w:lineRule="auto"/>
        <w:rPr>
          <w:rFonts w:ascii="Times New Roman" w:eastAsia="Times New Roman" w:hAnsi="Times New Roman" w:cs="Times New Roman"/>
        </w:rPr>
      </w:pPr>
    </w:p>
    <w:p w14:paraId="000009C4"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116" w:name="_heading=h.2koq656" w:colFirst="0" w:colLast="0"/>
      <w:bookmarkEnd w:id="116"/>
      <w:r>
        <w:rPr>
          <w:rFonts w:ascii="Times New Roman" w:eastAsia="Times New Roman" w:hAnsi="Times New Roman" w:cs="Times New Roman"/>
          <w:i/>
          <w:color w:val="000000"/>
          <w:sz w:val="20"/>
          <w:szCs w:val="20"/>
        </w:rPr>
        <w:t xml:space="preserve">Table 6.1. </w:t>
      </w:r>
      <w:r>
        <w:rPr>
          <w:rFonts w:ascii="Times New Roman" w:eastAsia="Times New Roman" w:hAnsi="Times New Roman" w:cs="Times New Roman"/>
          <w:color w:val="000000"/>
          <w:sz w:val="20"/>
          <w:szCs w:val="20"/>
        </w:rPr>
        <w:t>Participant characteristics.</w:t>
      </w:r>
    </w:p>
    <w:tbl>
      <w:tblPr>
        <w:tblStyle w:val="af1"/>
        <w:tblW w:w="89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500"/>
      </w:tblGrid>
      <w:tr w:rsidR="00CB4215" w14:paraId="29BAB479" w14:textId="77777777">
        <w:tc>
          <w:tcPr>
            <w:tcW w:w="4485" w:type="dxa"/>
            <w:tcBorders>
              <w:top w:val="single" w:sz="8" w:space="0" w:color="000000"/>
              <w:left w:val="nil"/>
              <w:bottom w:val="single" w:sz="8" w:space="0" w:color="000000"/>
              <w:right w:val="nil"/>
            </w:tcBorders>
            <w:tcMar>
              <w:top w:w="100" w:type="dxa"/>
              <w:left w:w="100" w:type="dxa"/>
              <w:bottom w:w="100" w:type="dxa"/>
              <w:right w:w="100" w:type="dxa"/>
            </w:tcMar>
          </w:tcPr>
          <w:p w14:paraId="000009C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Variable (total n)</w:t>
            </w:r>
          </w:p>
        </w:tc>
        <w:tc>
          <w:tcPr>
            <w:tcW w:w="4500" w:type="dxa"/>
            <w:tcBorders>
              <w:top w:val="single" w:sz="8" w:space="0" w:color="000000"/>
              <w:left w:val="nil"/>
              <w:bottom w:val="single" w:sz="8" w:space="0" w:color="000000"/>
              <w:right w:val="nil"/>
            </w:tcBorders>
            <w:tcMar>
              <w:top w:w="100" w:type="dxa"/>
              <w:left w:w="100" w:type="dxa"/>
              <w:bottom w:w="100" w:type="dxa"/>
              <w:right w:w="100" w:type="dxa"/>
            </w:tcMar>
          </w:tcPr>
          <w:p w14:paraId="000009C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 (%) or M ± SD </w:t>
            </w:r>
          </w:p>
        </w:tc>
      </w:tr>
      <w:tr w:rsidR="00CB4215" w14:paraId="7AAA4771" w14:textId="77777777">
        <w:tc>
          <w:tcPr>
            <w:tcW w:w="4485" w:type="dxa"/>
            <w:tcBorders>
              <w:top w:val="single" w:sz="8" w:space="0" w:color="000000"/>
              <w:left w:val="nil"/>
              <w:bottom w:val="nil"/>
              <w:right w:val="nil"/>
            </w:tcBorders>
            <w:tcMar>
              <w:top w:w="100" w:type="dxa"/>
              <w:left w:w="100" w:type="dxa"/>
              <w:bottom w:w="100" w:type="dxa"/>
              <w:right w:w="100" w:type="dxa"/>
            </w:tcMar>
          </w:tcPr>
          <w:p w14:paraId="000009C7" w14:textId="77777777" w:rsidR="00CB4215" w:rsidRDefault="000530B4">
            <w:pPr>
              <w:widowControl w:val="0"/>
              <w:spacing w:line="240" w:lineRule="auto"/>
              <w:rPr>
                <w:rFonts w:ascii="Times New Roman" w:eastAsia="Times New Roman" w:hAnsi="Times New Roman" w:cs="Times New Roman"/>
                <w:b/>
                <w:i/>
              </w:rPr>
            </w:pPr>
            <w:r>
              <w:rPr>
                <w:rFonts w:ascii="Times New Roman" w:eastAsia="Times New Roman" w:hAnsi="Times New Roman" w:cs="Times New Roman"/>
                <w:b/>
                <w:i/>
              </w:rPr>
              <w:t>Ethnicity (n = 17)</w:t>
            </w:r>
          </w:p>
        </w:tc>
        <w:tc>
          <w:tcPr>
            <w:tcW w:w="4500" w:type="dxa"/>
            <w:tcBorders>
              <w:top w:val="single" w:sz="8" w:space="0" w:color="000000"/>
              <w:left w:val="nil"/>
              <w:bottom w:val="nil"/>
              <w:right w:val="nil"/>
            </w:tcBorders>
            <w:tcMar>
              <w:top w:w="100" w:type="dxa"/>
              <w:left w:w="100" w:type="dxa"/>
              <w:bottom w:w="100" w:type="dxa"/>
              <w:right w:w="100" w:type="dxa"/>
            </w:tcMar>
          </w:tcPr>
          <w:p w14:paraId="000009C8" w14:textId="77777777" w:rsidR="00CB4215" w:rsidRDefault="00CB4215">
            <w:pPr>
              <w:widowControl w:val="0"/>
              <w:spacing w:line="240" w:lineRule="auto"/>
              <w:rPr>
                <w:rFonts w:ascii="Times New Roman" w:eastAsia="Times New Roman" w:hAnsi="Times New Roman" w:cs="Times New Roman"/>
              </w:rPr>
            </w:pPr>
          </w:p>
        </w:tc>
      </w:tr>
      <w:tr w:rsidR="00CB4215" w14:paraId="7183B0CF"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C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White</w:t>
            </w:r>
          </w:p>
        </w:tc>
        <w:tc>
          <w:tcPr>
            <w:tcW w:w="4500" w:type="dxa"/>
            <w:tcBorders>
              <w:top w:val="nil"/>
              <w:left w:val="nil"/>
              <w:bottom w:val="nil"/>
              <w:right w:val="nil"/>
            </w:tcBorders>
            <w:tcMar>
              <w:top w:w="40" w:type="dxa"/>
              <w:left w:w="40" w:type="dxa"/>
              <w:bottom w:w="40" w:type="dxa"/>
              <w:right w:w="40" w:type="dxa"/>
            </w:tcMar>
            <w:vAlign w:val="bottom"/>
          </w:tcPr>
          <w:p w14:paraId="000009C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 (41%)</w:t>
            </w:r>
          </w:p>
        </w:tc>
      </w:tr>
      <w:tr w:rsidR="00CB4215" w14:paraId="6422F1A7"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C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Asian or Asian British</w:t>
            </w:r>
          </w:p>
        </w:tc>
        <w:tc>
          <w:tcPr>
            <w:tcW w:w="4500" w:type="dxa"/>
            <w:tcBorders>
              <w:top w:val="nil"/>
              <w:left w:val="nil"/>
              <w:bottom w:val="nil"/>
              <w:right w:val="nil"/>
            </w:tcBorders>
            <w:tcMar>
              <w:top w:w="40" w:type="dxa"/>
              <w:left w:w="40" w:type="dxa"/>
              <w:bottom w:w="40" w:type="dxa"/>
              <w:right w:w="40" w:type="dxa"/>
            </w:tcMar>
            <w:vAlign w:val="bottom"/>
          </w:tcPr>
          <w:p w14:paraId="000009C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 (41%)</w:t>
            </w:r>
          </w:p>
        </w:tc>
      </w:tr>
      <w:tr w:rsidR="00CB4215" w14:paraId="2B9D88A2"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C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Black, African, Caribbean, or Black British</w:t>
            </w:r>
          </w:p>
        </w:tc>
        <w:tc>
          <w:tcPr>
            <w:tcW w:w="4500" w:type="dxa"/>
            <w:tcBorders>
              <w:top w:val="nil"/>
              <w:left w:val="nil"/>
              <w:bottom w:val="nil"/>
              <w:right w:val="nil"/>
            </w:tcBorders>
            <w:tcMar>
              <w:top w:w="40" w:type="dxa"/>
              <w:left w:w="40" w:type="dxa"/>
              <w:bottom w:w="40" w:type="dxa"/>
              <w:right w:w="40" w:type="dxa"/>
            </w:tcMar>
            <w:vAlign w:val="bottom"/>
          </w:tcPr>
          <w:p w14:paraId="000009C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(6%)</w:t>
            </w:r>
          </w:p>
        </w:tc>
      </w:tr>
      <w:tr w:rsidR="00CB4215" w14:paraId="558F7715"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C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Mixed or multiple ethnic groups</w:t>
            </w:r>
          </w:p>
        </w:tc>
        <w:tc>
          <w:tcPr>
            <w:tcW w:w="4500" w:type="dxa"/>
            <w:tcBorders>
              <w:top w:val="nil"/>
              <w:left w:val="nil"/>
              <w:bottom w:val="nil"/>
              <w:right w:val="nil"/>
            </w:tcBorders>
            <w:tcMar>
              <w:top w:w="40" w:type="dxa"/>
              <w:left w:w="40" w:type="dxa"/>
              <w:bottom w:w="40" w:type="dxa"/>
              <w:right w:w="40" w:type="dxa"/>
            </w:tcMar>
            <w:vAlign w:val="bottom"/>
          </w:tcPr>
          <w:p w14:paraId="000009D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(6%)</w:t>
            </w:r>
          </w:p>
        </w:tc>
      </w:tr>
      <w:tr w:rsidR="00CB4215" w14:paraId="7BD83E5C" w14:textId="77777777">
        <w:tc>
          <w:tcPr>
            <w:tcW w:w="4485" w:type="dxa"/>
            <w:tcBorders>
              <w:top w:val="nil"/>
              <w:left w:val="nil"/>
              <w:bottom w:val="nil"/>
              <w:right w:val="nil"/>
            </w:tcBorders>
            <w:tcMar>
              <w:top w:w="40" w:type="dxa"/>
              <w:left w:w="40" w:type="dxa"/>
              <w:bottom w:w="40" w:type="dxa"/>
              <w:right w:w="40" w:type="dxa"/>
            </w:tcMar>
            <w:vAlign w:val="bottom"/>
          </w:tcPr>
          <w:p w14:paraId="000009D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Other</w:t>
            </w:r>
          </w:p>
        </w:tc>
        <w:tc>
          <w:tcPr>
            <w:tcW w:w="4500" w:type="dxa"/>
            <w:tcBorders>
              <w:top w:val="nil"/>
              <w:left w:val="nil"/>
              <w:bottom w:val="nil"/>
              <w:right w:val="nil"/>
            </w:tcBorders>
            <w:tcMar>
              <w:top w:w="40" w:type="dxa"/>
              <w:left w:w="40" w:type="dxa"/>
              <w:bottom w:w="40" w:type="dxa"/>
              <w:right w:w="40" w:type="dxa"/>
            </w:tcMar>
            <w:vAlign w:val="bottom"/>
          </w:tcPr>
          <w:p w14:paraId="000009D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(6%)</w:t>
            </w:r>
          </w:p>
        </w:tc>
      </w:tr>
      <w:tr w:rsidR="00CB4215" w14:paraId="31DD588B" w14:textId="77777777">
        <w:tc>
          <w:tcPr>
            <w:tcW w:w="4485" w:type="dxa"/>
            <w:tcBorders>
              <w:top w:val="nil"/>
              <w:left w:val="nil"/>
              <w:bottom w:val="nil"/>
              <w:right w:val="nil"/>
            </w:tcBorders>
            <w:tcMar>
              <w:top w:w="100" w:type="dxa"/>
              <w:left w:w="100" w:type="dxa"/>
              <w:bottom w:w="100" w:type="dxa"/>
              <w:right w:w="100" w:type="dxa"/>
            </w:tcMar>
          </w:tcPr>
          <w:p w14:paraId="000009D3" w14:textId="77777777" w:rsidR="00CB4215" w:rsidRDefault="000530B4">
            <w:pPr>
              <w:widowControl w:val="0"/>
              <w:spacing w:line="240" w:lineRule="auto"/>
              <w:rPr>
                <w:rFonts w:ascii="Times New Roman" w:eastAsia="Times New Roman" w:hAnsi="Times New Roman" w:cs="Times New Roman"/>
                <w:b/>
                <w:i/>
              </w:rPr>
            </w:pPr>
            <w:r>
              <w:rPr>
                <w:rFonts w:ascii="Times New Roman" w:eastAsia="Times New Roman" w:hAnsi="Times New Roman" w:cs="Times New Roman"/>
                <w:b/>
                <w:i/>
              </w:rPr>
              <w:lastRenderedPageBreak/>
              <w:t>Education (n = 17)</w:t>
            </w:r>
          </w:p>
        </w:tc>
        <w:tc>
          <w:tcPr>
            <w:tcW w:w="4500" w:type="dxa"/>
            <w:tcBorders>
              <w:top w:val="nil"/>
              <w:left w:val="nil"/>
              <w:bottom w:val="nil"/>
              <w:right w:val="nil"/>
            </w:tcBorders>
            <w:tcMar>
              <w:top w:w="100" w:type="dxa"/>
              <w:left w:w="100" w:type="dxa"/>
              <w:bottom w:w="100" w:type="dxa"/>
              <w:right w:w="100" w:type="dxa"/>
            </w:tcMar>
          </w:tcPr>
          <w:p w14:paraId="000009D4" w14:textId="77777777" w:rsidR="00CB4215" w:rsidRDefault="00CB4215">
            <w:pPr>
              <w:widowControl w:val="0"/>
              <w:spacing w:line="240" w:lineRule="auto"/>
              <w:rPr>
                <w:rFonts w:ascii="Times New Roman" w:eastAsia="Times New Roman" w:hAnsi="Times New Roman" w:cs="Times New Roman"/>
              </w:rPr>
            </w:pPr>
          </w:p>
        </w:tc>
      </w:tr>
      <w:tr w:rsidR="00CB4215" w14:paraId="139A8F8F"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D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 formal qualifications.</w:t>
            </w:r>
          </w:p>
        </w:tc>
        <w:tc>
          <w:tcPr>
            <w:tcW w:w="4500" w:type="dxa"/>
            <w:tcBorders>
              <w:top w:val="nil"/>
              <w:left w:val="nil"/>
              <w:bottom w:val="nil"/>
              <w:right w:val="nil"/>
            </w:tcBorders>
            <w:tcMar>
              <w:top w:w="40" w:type="dxa"/>
              <w:left w:w="40" w:type="dxa"/>
              <w:bottom w:w="40" w:type="dxa"/>
              <w:right w:w="40" w:type="dxa"/>
            </w:tcMar>
            <w:vAlign w:val="bottom"/>
          </w:tcPr>
          <w:p w14:paraId="000009D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(6%)</w:t>
            </w:r>
          </w:p>
        </w:tc>
      </w:tr>
      <w:tr w:rsidR="00CB4215" w14:paraId="2B822A3B"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D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or more A-levels or equivalent qualifications.</w:t>
            </w:r>
          </w:p>
        </w:tc>
        <w:tc>
          <w:tcPr>
            <w:tcW w:w="4500" w:type="dxa"/>
            <w:tcBorders>
              <w:top w:val="nil"/>
              <w:left w:val="nil"/>
              <w:bottom w:val="nil"/>
              <w:right w:val="nil"/>
            </w:tcBorders>
            <w:tcMar>
              <w:top w:w="40" w:type="dxa"/>
              <w:left w:w="40" w:type="dxa"/>
              <w:bottom w:w="40" w:type="dxa"/>
              <w:right w:w="40" w:type="dxa"/>
            </w:tcMar>
            <w:vAlign w:val="bottom"/>
          </w:tcPr>
          <w:p w14:paraId="000009D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(12%)</w:t>
            </w:r>
          </w:p>
        </w:tc>
      </w:tr>
      <w:tr w:rsidR="00CB4215" w14:paraId="3B9AE5A3"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D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Bachelor's degree or equivalent.</w:t>
            </w:r>
          </w:p>
        </w:tc>
        <w:tc>
          <w:tcPr>
            <w:tcW w:w="4500" w:type="dxa"/>
            <w:tcBorders>
              <w:top w:val="nil"/>
              <w:left w:val="nil"/>
              <w:bottom w:val="nil"/>
              <w:right w:val="nil"/>
            </w:tcBorders>
            <w:tcMar>
              <w:top w:w="40" w:type="dxa"/>
              <w:left w:w="40" w:type="dxa"/>
              <w:bottom w:w="40" w:type="dxa"/>
              <w:right w:w="40" w:type="dxa"/>
            </w:tcMar>
            <w:vAlign w:val="bottom"/>
          </w:tcPr>
          <w:p w14:paraId="000009D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 (53%)</w:t>
            </w:r>
          </w:p>
        </w:tc>
      </w:tr>
      <w:tr w:rsidR="00CB4215" w14:paraId="40686DA4"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D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Doctoral or higher education.</w:t>
            </w:r>
          </w:p>
        </w:tc>
        <w:tc>
          <w:tcPr>
            <w:tcW w:w="4500" w:type="dxa"/>
            <w:tcBorders>
              <w:top w:val="nil"/>
              <w:left w:val="nil"/>
              <w:bottom w:val="nil"/>
              <w:right w:val="nil"/>
            </w:tcBorders>
            <w:tcMar>
              <w:top w:w="40" w:type="dxa"/>
              <w:left w:w="40" w:type="dxa"/>
              <w:bottom w:w="40" w:type="dxa"/>
              <w:right w:w="40" w:type="dxa"/>
            </w:tcMar>
            <w:vAlign w:val="bottom"/>
          </w:tcPr>
          <w:p w14:paraId="000009D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(18%)</w:t>
            </w:r>
          </w:p>
        </w:tc>
      </w:tr>
      <w:tr w:rsidR="00CB4215" w14:paraId="0142F4BD"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D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Other qualifications including foreign qualifications</w:t>
            </w:r>
          </w:p>
        </w:tc>
        <w:tc>
          <w:tcPr>
            <w:tcW w:w="4500" w:type="dxa"/>
            <w:tcBorders>
              <w:top w:val="nil"/>
              <w:left w:val="nil"/>
              <w:bottom w:val="nil"/>
              <w:right w:val="nil"/>
            </w:tcBorders>
            <w:tcMar>
              <w:top w:w="40" w:type="dxa"/>
              <w:left w:w="40" w:type="dxa"/>
              <w:bottom w:w="40" w:type="dxa"/>
              <w:right w:w="40" w:type="dxa"/>
            </w:tcMar>
            <w:vAlign w:val="bottom"/>
          </w:tcPr>
          <w:p w14:paraId="000009D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(12%)</w:t>
            </w:r>
          </w:p>
        </w:tc>
      </w:tr>
      <w:tr w:rsidR="00CB4215" w14:paraId="00B3A711" w14:textId="77777777">
        <w:tc>
          <w:tcPr>
            <w:tcW w:w="4485" w:type="dxa"/>
            <w:tcBorders>
              <w:top w:val="nil"/>
              <w:left w:val="nil"/>
              <w:bottom w:val="nil"/>
              <w:right w:val="nil"/>
            </w:tcBorders>
            <w:tcMar>
              <w:top w:w="40" w:type="dxa"/>
              <w:left w:w="40" w:type="dxa"/>
              <w:bottom w:w="40" w:type="dxa"/>
              <w:right w:w="40" w:type="dxa"/>
            </w:tcMar>
            <w:vAlign w:val="bottom"/>
          </w:tcPr>
          <w:p w14:paraId="000009DF" w14:textId="77777777" w:rsidR="00CB4215" w:rsidRDefault="000530B4">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i/>
              </w:rPr>
              <w:t>Employment (n = 17)</w:t>
            </w:r>
          </w:p>
        </w:tc>
        <w:tc>
          <w:tcPr>
            <w:tcW w:w="4500" w:type="dxa"/>
            <w:tcBorders>
              <w:top w:val="nil"/>
              <w:left w:val="nil"/>
              <w:bottom w:val="nil"/>
              <w:right w:val="nil"/>
            </w:tcBorders>
            <w:tcMar>
              <w:top w:w="40" w:type="dxa"/>
              <w:left w:w="40" w:type="dxa"/>
              <w:bottom w:w="40" w:type="dxa"/>
              <w:right w:w="40" w:type="dxa"/>
            </w:tcMar>
            <w:vAlign w:val="bottom"/>
          </w:tcPr>
          <w:p w14:paraId="000009E0" w14:textId="77777777" w:rsidR="00CB4215" w:rsidRDefault="00CB4215">
            <w:pPr>
              <w:widowControl w:val="0"/>
              <w:spacing w:line="240" w:lineRule="auto"/>
              <w:rPr>
                <w:rFonts w:ascii="Times New Roman" w:eastAsia="Times New Roman" w:hAnsi="Times New Roman" w:cs="Times New Roman"/>
              </w:rPr>
            </w:pPr>
          </w:p>
        </w:tc>
      </w:tr>
      <w:tr w:rsidR="00CB4215" w14:paraId="071CF7B2"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E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Full-time employment</w:t>
            </w:r>
          </w:p>
        </w:tc>
        <w:tc>
          <w:tcPr>
            <w:tcW w:w="4500" w:type="dxa"/>
            <w:tcBorders>
              <w:top w:val="nil"/>
              <w:left w:val="nil"/>
              <w:bottom w:val="nil"/>
              <w:right w:val="nil"/>
            </w:tcBorders>
            <w:tcMar>
              <w:top w:w="40" w:type="dxa"/>
              <w:left w:w="40" w:type="dxa"/>
              <w:bottom w:w="40" w:type="dxa"/>
              <w:right w:w="40" w:type="dxa"/>
            </w:tcMar>
            <w:vAlign w:val="bottom"/>
          </w:tcPr>
          <w:p w14:paraId="000009E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 (65%)</w:t>
            </w:r>
          </w:p>
        </w:tc>
      </w:tr>
      <w:tr w:rsidR="00CB4215" w14:paraId="7D570F55"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E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Student</w:t>
            </w:r>
          </w:p>
        </w:tc>
        <w:tc>
          <w:tcPr>
            <w:tcW w:w="4500" w:type="dxa"/>
            <w:tcBorders>
              <w:top w:val="nil"/>
              <w:left w:val="nil"/>
              <w:bottom w:val="nil"/>
              <w:right w:val="nil"/>
            </w:tcBorders>
            <w:tcMar>
              <w:top w:w="40" w:type="dxa"/>
              <w:left w:w="40" w:type="dxa"/>
              <w:bottom w:w="40" w:type="dxa"/>
              <w:right w:w="40" w:type="dxa"/>
            </w:tcMar>
            <w:vAlign w:val="bottom"/>
          </w:tcPr>
          <w:p w14:paraId="000009E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(18%)</w:t>
            </w:r>
          </w:p>
        </w:tc>
      </w:tr>
      <w:tr w:rsidR="00CB4215" w14:paraId="0FF43321"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E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Unemployed</w:t>
            </w:r>
          </w:p>
        </w:tc>
        <w:tc>
          <w:tcPr>
            <w:tcW w:w="4500" w:type="dxa"/>
            <w:tcBorders>
              <w:top w:val="nil"/>
              <w:left w:val="nil"/>
              <w:bottom w:val="nil"/>
              <w:right w:val="nil"/>
            </w:tcBorders>
            <w:tcMar>
              <w:top w:w="40" w:type="dxa"/>
              <w:left w:w="40" w:type="dxa"/>
              <w:bottom w:w="40" w:type="dxa"/>
              <w:right w:w="40" w:type="dxa"/>
            </w:tcMar>
            <w:vAlign w:val="bottom"/>
          </w:tcPr>
          <w:p w14:paraId="000009E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(6%)</w:t>
            </w:r>
          </w:p>
        </w:tc>
      </w:tr>
      <w:tr w:rsidR="00CB4215" w14:paraId="265A2E1D"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E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Unable to work</w:t>
            </w:r>
          </w:p>
        </w:tc>
        <w:tc>
          <w:tcPr>
            <w:tcW w:w="4500" w:type="dxa"/>
            <w:tcBorders>
              <w:top w:val="nil"/>
              <w:left w:val="nil"/>
              <w:bottom w:val="nil"/>
              <w:right w:val="nil"/>
            </w:tcBorders>
            <w:tcMar>
              <w:top w:w="40" w:type="dxa"/>
              <w:left w:w="40" w:type="dxa"/>
              <w:bottom w:w="40" w:type="dxa"/>
              <w:right w:w="40" w:type="dxa"/>
            </w:tcMar>
            <w:vAlign w:val="bottom"/>
          </w:tcPr>
          <w:p w14:paraId="000009E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(12%)</w:t>
            </w:r>
          </w:p>
        </w:tc>
      </w:tr>
      <w:tr w:rsidR="00CB4215" w14:paraId="6CA7E00E" w14:textId="77777777">
        <w:tc>
          <w:tcPr>
            <w:tcW w:w="4485" w:type="dxa"/>
            <w:tcBorders>
              <w:top w:val="nil"/>
              <w:left w:val="nil"/>
              <w:bottom w:val="nil"/>
              <w:right w:val="nil"/>
            </w:tcBorders>
            <w:tcMar>
              <w:top w:w="40" w:type="dxa"/>
              <w:left w:w="40" w:type="dxa"/>
              <w:bottom w:w="40" w:type="dxa"/>
              <w:right w:w="40" w:type="dxa"/>
            </w:tcMar>
            <w:vAlign w:val="bottom"/>
          </w:tcPr>
          <w:p w14:paraId="000009E9" w14:textId="77777777" w:rsidR="00CB4215" w:rsidRDefault="000530B4">
            <w:pPr>
              <w:widowControl w:val="0"/>
              <w:spacing w:line="240" w:lineRule="auto"/>
              <w:rPr>
                <w:rFonts w:ascii="Times New Roman" w:eastAsia="Times New Roman" w:hAnsi="Times New Roman" w:cs="Times New Roman"/>
                <w:b/>
                <w:i/>
              </w:rPr>
            </w:pPr>
            <w:r>
              <w:rPr>
                <w:rFonts w:ascii="Times New Roman" w:eastAsia="Times New Roman" w:hAnsi="Times New Roman" w:cs="Times New Roman"/>
                <w:b/>
                <w:i/>
              </w:rPr>
              <w:t>Work schedule (n = 17)</w:t>
            </w:r>
          </w:p>
        </w:tc>
        <w:tc>
          <w:tcPr>
            <w:tcW w:w="4500" w:type="dxa"/>
            <w:tcBorders>
              <w:top w:val="nil"/>
              <w:left w:val="nil"/>
              <w:bottom w:val="nil"/>
              <w:right w:val="nil"/>
            </w:tcBorders>
            <w:tcMar>
              <w:top w:w="100" w:type="dxa"/>
              <w:left w:w="100" w:type="dxa"/>
              <w:bottom w:w="100" w:type="dxa"/>
              <w:right w:w="100" w:type="dxa"/>
            </w:tcMar>
          </w:tcPr>
          <w:p w14:paraId="000009EA" w14:textId="77777777" w:rsidR="00CB4215" w:rsidRDefault="00CB4215">
            <w:pPr>
              <w:widowControl w:val="0"/>
              <w:spacing w:line="240" w:lineRule="auto"/>
              <w:rPr>
                <w:rFonts w:ascii="Times New Roman" w:eastAsia="Times New Roman" w:hAnsi="Times New Roman" w:cs="Times New Roman"/>
              </w:rPr>
            </w:pPr>
          </w:p>
        </w:tc>
      </w:tr>
      <w:tr w:rsidR="00CB4215" w14:paraId="7F4B6AE6"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EB" w14:textId="77777777" w:rsidR="00CB4215" w:rsidRDefault="000530B4">
            <w:pPr>
              <w:widowControl w:val="0"/>
              <w:spacing w:line="240" w:lineRule="auto"/>
              <w:rPr>
                <w:rFonts w:ascii="Times New Roman" w:eastAsia="Times New Roman" w:hAnsi="Times New Roman" w:cs="Times New Roman"/>
                <w:vertAlign w:val="superscript"/>
              </w:rPr>
            </w:pPr>
            <w:r>
              <w:rPr>
                <w:rFonts w:ascii="Times New Roman" w:eastAsia="Times New Roman" w:hAnsi="Times New Roman" w:cs="Times New Roman"/>
              </w:rPr>
              <w:t xml:space="preserve">Regular day work </w:t>
            </w:r>
            <w:r>
              <w:rPr>
                <w:rFonts w:ascii="Times New Roman" w:eastAsia="Times New Roman" w:hAnsi="Times New Roman" w:cs="Times New Roman"/>
                <w:vertAlign w:val="superscript"/>
              </w:rPr>
              <w:t>a</w:t>
            </w:r>
          </w:p>
        </w:tc>
        <w:tc>
          <w:tcPr>
            <w:tcW w:w="4500" w:type="dxa"/>
            <w:tcBorders>
              <w:top w:val="nil"/>
              <w:left w:val="nil"/>
              <w:bottom w:val="nil"/>
              <w:right w:val="nil"/>
            </w:tcBorders>
            <w:tcMar>
              <w:top w:w="40" w:type="dxa"/>
              <w:left w:w="40" w:type="dxa"/>
              <w:bottom w:w="40" w:type="dxa"/>
              <w:right w:w="40" w:type="dxa"/>
            </w:tcMar>
            <w:vAlign w:val="bottom"/>
          </w:tcPr>
          <w:p w14:paraId="000009E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 (59%)</w:t>
            </w:r>
          </w:p>
        </w:tc>
      </w:tr>
      <w:tr w:rsidR="00CB4215" w14:paraId="0B50F677"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ED" w14:textId="77777777" w:rsidR="00CB4215" w:rsidRDefault="000530B4">
            <w:pPr>
              <w:widowControl w:val="0"/>
              <w:spacing w:line="240" w:lineRule="auto"/>
              <w:rPr>
                <w:rFonts w:ascii="Times New Roman" w:eastAsia="Times New Roman" w:hAnsi="Times New Roman" w:cs="Times New Roman"/>
                <w:vertAlign w:val="superscript"/>
              </w:rPr>
            </w:pPr>
            <w:r>
              <w:rPr>
                <w:rFonts w:ascii="Times New Roman" w:eastAsia="Times New Roman" w:hAnsi="Times New Roman" w:cs="Times New Roman"/>
              </w:rPr>
              <w:t xml:space="preserve">Rotating shift </w:t>
            </w:r>
            <w:proofErr w:type="spellStart"/>
            <w:r>
              <w:rPr>
                <w:rFonts w:ascii="Times New Roman" w:eastAsia="Times New Roman" w:hAnsi="Times New Roman" w:cs="Times New Roman"/>
              </w:rPr>
              <w:t>work</w:t>
            </w:r>
            <w:r>
              <w:rPr>
                <w:rFonts w:ascii="Times New Roman" w:eastAsia="Times New Roman" w:hAnsi="Times New Roman" w:cs="Times New Roman"/>
                <w:vertAlign w:val="superscript"/>
              </w:rPr>
              <w:t>b</w:t>
            </w:r>
            <w:proofErr w:type="spellEnd"/>
          </w:p>
        </w:tc>
        <w:tc>
          <w:tcPr>
            <w:tcW w:w="4500" w:type="dxa"/>
            <w:tcBorders>
              <w:top w:val="nil"/>
              <w:left w:val="nil"/>
              <w:bottom w:val="nil"/>
              <w:right w:val="nil"/>
            </w:tcBorders>
            <w:tcMar>
              <w:top w:w="40" w:type="dxa"/>
              <w:left w:w="40" w:type="dxa"/>
              <w:bottom w:w="40" w:type="dxa"/>
              <w:right w:w="40" w:type="dxa"/>
            </w:tcMar>
            <w:vAlign w:val="bottom"/>
          </w:tcPr>
          <w:p w14:paraId="000009E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(12%)</w:t>
            </w:r>
          </w:p>
        </w:tc>
      </w:tr>
      <w:tr w:rsidR="00CB4215" w14:paraId="3C0BDEEA"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E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Regular night work</w:t>
            </w:r>
          </w:p>
        </w:tc>
        <w:tc>
          <w:tcPr>
            <w:tcW w:w="4500" w:type="dxa"/>
            <w:tcBorders>
              <w:top w:val="nil"/>
              <w:left w:val="nil"/>
              <w:bottom w:val="nil"/>
              <w:right w:val="nil"/>
            </w:tcBorders>
            <w:tcMar>
              <w:top w:w="40" w:type="dxa"/>
              <w:left w:w="40" w:type="dxa"/>
              <w:bottom w:w="40" w:type="dxa"/>
              <w:right w:w="40" w:type="dxa"/>
            </w:tcMar>
            <w:vAlign w:val="bottom"/>
          </w:tcPr>
          <w:p w14:paraId="000009F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(6%)</w:t>
            </w:r>
          </w:p>
        </w:tc>
      </w:tr>
      <w:tr w:rsidR="00CB4215" w14:paraId="2E738CE1"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F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Not applicable, not currently working</w:t>
            </w:r>
          </w:p>
        </w:tc>
        <w:tc>
          <w:tcPr>
            <w:tcW w:w="4500" w:type="dxa"/>
            <w:tcBorders>
              <w:top w:val="nil"/>
              <w:left w:val="nil"/>
              <w:bottom w:val="nil"/>
              <w:right w:val="nil"/>
            </w:tcBorders>
            <w:tcMar>
              <w:top w:w="40" w:type="dxa"/>
              <w:left w:w="40" w:type="dxa"/>
              <w:bottom w:w="40" w:type="dxa"/>
              <w:right w:w="40" w:type="dxa"/>
            </w:tcMar>
            <w:vAlign w:val="bottom"/>
          </w:tcPr>
          <w:p w14:paraId="000009F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(24%)</w:t>
            </w:r>
          </w:p>
        </w:tc>
      </w:tr>
      <w:tr w:rsidR="00CB4215" w14:paraId="21F04D5C" w14:textId="77777777">
        <w:tc>
          <w:tcPr>
            <w:tcW w:w="4485" w:type="dxa"/>
            <w:tcBorders>
              <w:top w:val="nil"/>
              <w:left w:val="nil"/>
              <w:bottom w:val="nil"/>
              <w:right w:val="nil"/>
            </w:tcBorders>
            <w:tcMar>
              <w:top w:w="40" w:type="dxa"/>
              <w:left w:w="40" w:type="dxa"/>
              <w:bottom w:w="40" w:type="dxa"/>
              <w:right w:w="40" w:type="dxa"/>
            </w:tcMar>
            <w:vAlign w:val="bottom"/>
          </w:tcPr>
          <w:p w14:paraId="000009F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 xml:space="preserve">Annual income </w:t>
            </w:r>
            <w:r>
              <w:rPr>
                <w:rFonts w:ascii="Times New Roman" w:eastAsia="Times New Roman" w:hAnsi="Times New Roman" w:cs="Times New Roman"/>
                <w:b/>
                <w:i/>
              </w:rPr>
              <w:t>(n = 17)</w:t>
            </w:r>
          </w:p>
        </w:tc>
        <w:tc>
          <w:tcPr>
            <w:tcW w:w="4500" w:type="dxa"/>
            <w:tcBorders>
              <w:top w:val="nil"/>
              <w:left w:val="nil"/>
              <w:bottom w:val="nil"/>
              <w:right w:val="nil"/>
            </w:tcBorders>
            <w:tcMar>
              <w:top w:w="40" w:type="dxa"/>
              <w:left w:w="40" w:type="dxa"/>
              <w:bottom w:w="40" w:type="dxa"/>
              <w:right w:w="40" w:type="dxa"/>
            </w:tcMar>
            <w:vAlign w:val="bottom"/>
          </w:tcPr>
          <w:p w14:paraId="000009F4" w14:textId="77777777" w:rsidR="00CB4215" w:rsidRDefault="00CB4215">
            <w:pPr>
              <w:widowControl w:val="0"/>
              <w:spacing w:line="240" w:lineRule="auto"/>
              <w:rPr>
                <w:rFonts w:ascii="Times New Roman" w:eastAsia="Times New Roman" w:hAnsi="Times New Roman" w:cs="Times New Roman"/>
              </w:rPr>
            </w:pPr>
          </w:p>
        </w:tc>
      </w:tr>
      <w:tr w:rsidR="00CB4215" w14:paraId="1AD4900D"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F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Below £10,000</w:t>
            </w:r>
          </w:p>
        </w:tc>
        <w:tc>
          <w:tcPr>
            <w:tcW w:w="4500" w:type="dxa"/>
            <w:tcBorders>
              <w:top w:val="nil"/>
              <w:left w:val="nil"/>
              <w:bottom w:val="nil"/>
              <w:right w:val="nil"/>
            </w:tcBorders>
            <w:tcMar>
              <w:top w:w="40" w:type="dxa"/>
              <w:left w:w="40" w:type="dxa"/>
              <w:bottom w:w="40" w:type="dxa"/>
              <w:right w:w="40" w:type="dxa"/>
            </w:tcMar>
            <w:vAlign w:val="bottom"/>
          </w:tcPr>
          <w:p w14:paraId="000009F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(12%)</w:t>
            </w:r>
          </w:p>
        </w:tc>
      </w:tr>
      <w:tr w:rsidR="00CB4215" w14:paraId="67A6FD17"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F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£10,001 - £20,000</w:t>
            </w:r>
          </w:p>
        </w:tc>
        <w:tc>
          <w:tcPr>
            <w:tcW w:w="4500" w:type="dxa"/>
            <w:tcBorders>
              <w:top w:val="nil"/>
              <w:left w:val="nil"/>
              <w:bottom w:val="nil"/>
              <w:right w:val="nil"/>
            </w:tcBorders>
            <w:tcMar>
              <w:top w:w="40" w:type="dxa"/>
              <w:left w:w="40" w:type="dxa"/>
              <w:bottom w:w="40" w:type="dxa"/>
              <w:right w:w="40" w:type="dxa"/>
            </w:tcMar>
            <w:vAlign w:val="bottom"/>
          </w:tcPr>
          <w:p w14:paraId="000009F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(24%)</w:t>
            </w:r>
          </w:p>
        </w:tc>
      </w:tr>
      <w:tr w:rsidR="00CB4215" w14:paraId="0C48484E"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F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£20,001 - £30,000</w:t>
            </w:r>
          </w:p>
        </w:tc>
        <w:tc>
          <w:tcPr>
            <w:tcW w:w="4500" w:type="dxa"/>
            <w:tcBorders>
              <w:top w:val="nil"/>
              <w:left w:val="nil"/>
              <w:bottom w:val="nil"/>
              <w:right w:val="nil"/>
            </w:tcBorders>
            <w:tcMar>
              <w:top w:w="40" w:type="dxa"/>
              <w:left w:w="40" w:type="dxa"/>
              <w:bottom w:w="40" w:type="dxa"/>
              <w:right w:w="40" w:type="dxa"/>
            </w:tcMar>
            <w:vAlign w:val="bottom"/>
          </w:tcPr>
          <w:p w14:paraId="000009F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(18%)</w:t>
            </w:r>
          </w:p>
        </w:tc>
      </w:tr>
      <w:tr w:rsidR="00CB4215" w14:paraId="4C0A8FDB"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F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£30,001 - £40,000</w:t>
            </w:r>
          </w:p>
        </w:tc>
        <w:tc>
          <w:tcPr>
            <w:tcW w:w="4500" w:type="dxa"/>
            <w:tcBorders>
              <w:top w:val="nil"/>
              <w:left w:val="nil"/>
              <w:bottom w:val="nil"/>
              <w:right w:val="nil"/>
            </w:tcBorders>
            <w:tcMar>
              <w:top w:w="40" w:type="dxa"/>
              <w:left w:w="40" w:type="dxa"/>
              <w:bottom w:w="40" w:type="dxa"/>
              <w:right w:w="40" w:type="dxa"/>
            </w:tcMar>
            <w:vAlign w:val="bottom"/>
          </w:tcPr>
          <w:p w14:paraId="000009F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(12%)</w:t>
            </w:r>
          </w:p>
        </w:tc>
      </w:tr>
      <w:tr w:rsidR="00CB4215" w14:paraId="4C3DB540"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F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£40,001 - £50,000</w:t>
            </w:r>
          </w:p>
        </w:tc>
        <w:tc>
          <w:tcPr>
            <w:tcW w:w="4500" w:type="dxa"/>
            <w:tcBorders>
              <w:top w:val="nil"/>
              <w:left w:val="nil"/>
              <w:bottom w:val="nil"/>
              <w:right w:val="nil"/>
            </w:tcBorders>
            <w:tcMar>
              <w:top w:w="40" w:type="dxa"/>
              <w:left w:w="40" w:type="dxa"/>
              <w:bottom w:w="40" w:type="dxa"/>
              <w:right w:w="40" w:type="dxa"/>
            </w:tcMar>
            <w:vAlign w:val="bottom"/>
          </w:tcPr>
          <w:p w14:paraId="000009F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(18%)</w:t>
            </w:r>
          </w:p>
        </w:tc>
      </w:tr>
      <w:tr w:rsidR="00CB4215" w14:paraId="765F3947"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9F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Above £60,000</w:t>
            </w:r>
          </w:p>
        </w:tc>
        <w:tc>
          <w:tcPr>
            <w:tcW w:w="4500" w:type="dxa"/>
            <w:tcBorders>
              <w:top w:val="nil"/>
              <w:left w:val="nil"/>
              <w:bottom w:val="nil"/>
              <w:right w:val="nil"/>
            </w:tcBorders>
            <w:tcMar>
              <w:top w:w="40" w:type="dxa"/>
              <w:left w:w="40" w:type="dxa"/>
              <w:bottom w:w="40" w:type="dxa"/>
              <w:right w:w="40" w:type="dxa"/>
            </w:tcMar>
            <w:vAlign w:val="bottom"/>
          </w:tcPr>
          <w:p w14:paraId="00000A0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(18%)</w:t>
            </w:r>
          </w:p>
        </w:tc>
      </w:tr>
      <w:tr w:rsidR="00CB4215" w14:paraId="3E25619D" w14:textId="77777777">
        <w:tc>
          <w:tcPr>
            <w:tcW w:w="4485" w:type="dxa"/>
            <w:tcBorders>
              <w:top w:val="nil"/>
              <w:left w:val="nil"/>
              <w:bottom w:val="nil"/>
              <w:right w:val="nil"/>
            </w:tcBorders>
            <w:tcMar>
              <w:top w:w="40" w:type="dxa"/>
              <w:left w:w="40" w:type="dxa"/>
              <w:bottom w:w="40" w:type="dxa"/>
              <w:right w:w="40" w:type="dxa"/>
            </w:tcMar>
            <w:vAlign w:val="bottom"/>
          </w:tcPr>
          <w:p w14:paraId="00000A01" w14:textId="77777777" w:rsidR="00CB4215" w:rsidRDefault="000530B4">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i/>
              </w:rPr>
              <w:t>Health condition (n = 17, note some participants selected multiple answers)</w:t>
            </w:r>
          </w:p>
        </w:tc>
        <w:tc>
          <w:tcPr>
            <w:tcW w:w="4500" w:type="dxa"/>
            <w:tcBorders>
              <w:top w:val="nil"/>
              <w:left w:val="nil"/>
              <w:bottom w:val="nil"/>
              <w:right w:val="nil"/>
            </w:tcBorders>
            <w:tcMar>
              <w:top w:w="40" w:type="dxa"/>
              <w:left w:w="40" w:type="dxa"/>
              <w:bottom w:w="40" w:type="dxa"/>
              <w:right w:w="40" w:type="dxa"/>
            </w:tcMar>
            <w:vAlign w:val="bottom"/>
          </w:tcPr>
          <w:p w14:paraId="00000A02" w14:textId="77777777" w:rsidR="00CB4215" w:rsidRDefault="00CB4215">
            <w:pPr>
              <w:widowControl w:val="0"/>
              <w:spacing w:line="240" w:lineRule="auto"/>
              <w:rPr>
                <w:rFonts w:ascii="Times New Roman" w:eastAsia="Times New Roman" w:hAnsi="Times New Roman" w:cs="Times New Roman"/>
              </w:rPr>
            </w:pPr>
          </w:p>
        </w:tc>
      </w:tr>
      <w:tr w:rsidR="00CB4215" w14:paraId="3B1E9196"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A0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Chronic Fatigue Syndrome</w:t>
            </w:r>
          </w:p>
        </w:tc>
        <w:tc>
          <w:tcPr>
            <w:tcW w:w="4500" w:type="dxa"/>
            <w:tcBorders>
              <w:top w:val="nil"/>
              <w:left w:val="nil"/>
              <w:bottom w:val="nil"/>
              <w:right w:val="nil"/>
            </w:tcBorders>
            <w:tcMar>
              <w:top w:w="40" w:type="dxa"/>
              <w:left w:w="40" w:type="dxa"/>
              <w:bottom w:w="40" w:type="dxa"/>
              <w:right w:w="40" w:type="dxa"/>
            </w:tcMar>
            <w:vAlign w:val="bottom"/>
          </w:tcPr>
          <w:p w14:paraId="00000A0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(5%)</w:t>
            </w:r>
          </w:p>
        </w:tc>
      </w:tr>
      <w:tr w:rsidR="00CB4215" w14:paraId="1EC40142"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A0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Insomnia</w:t>
            </w:r>
          </w:p>
        </w:tc>
        <w:tc>
          <w:tcPr>
            <w:tcW w:w="4500" w:type="dxa"/>
            <w:tcBorders>
              <w:top w:val="nil"/>
              <w:left w:val="nil"/>
              <w:bottom w:val="nil"/>
              <w:right w:val="nil"/>
            </w:tcBorders>
            <w:tcMar>
              <w:top w:w="40" w:type="dxa"/>
              <w:left w:w="40" w:type="dxa"/>
              <w:bottom w:w="40" w:type="dxa"/>
              <w:right w:w="40" w:type="dxa"/>
            </w:tcMar>
            <w:vAlign w:val="bottom"/>
          </w:tcPr>
          <w:p w14:paraId="00000A0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(5%)</w:t>
            </w:r>
          </w:p>
        </w:tc>
      </w:tr>
      <w:tr w:rsidR="00CB4215" w14:paraId="60710BAE"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A0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Sleep apnoea</w:t>
            </w:r>
          </w:p>
        </w:tc>
        <w:tc>
          <w:tcPr>
            <w:tcW w:w="4500" w:type="dxa"/>
            <w:tcBorders>
              <w:top w:val="nil"/>
              <w:left w:val="nil"/>
              <w:bottom w:val="nil"/>
              <w:right w:val="nil"/>
            </w:tcBorders>
            <w:tcMar>
              <w:top w:w="40" w:type="dxa"/>
              <w:left w:w="40" w:type="dxa"/>
              <w:bottom w:w="40" w:type="dxa"/>
              <w:right w:w="40" w:type="dxa"/>
            </w:tcMar>
            <w:vAlign w:val="bottom"/>
          </w:tcPr>
          <w:p w14:paraId="00000A0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(5%)</w:t>
            </w:r>
          </w:p>
        </w:tc>
      </w:tr>
      <w:tr w:rsidR="00CB4215" w14:paraId="6BD9EFB8" w14:textId="77777777">
        <w:tc>
          <w:tcPr>
            <w:tcW w:w="4485" w:type="dxa"/>
            <w:tcBorders>
              <w:top w:val="nil"/>
              <w:left w:val="nil"/>
              <w:bottom w:val="nil"/>
              <w:right w:val="nil"/>
            </w:tcBorders>
            <w:tcMar>
              <w:top w:w="40" w:type="dxa"/>
              <w:left w:w="40" w:type="dxa"/>
              <w:bottom w:w="40" w:type="dxa"/>
              <w:right w:w="40" w:type="dxa"/>
            </w:tcMar>
            <w:vAlign w:val="bottom"/>
          </w:tcPr>
          <w:p w14:paraId="00000A09"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Crohn's disease</w:t>
            </w:r>
          </w:p>
        </w:tc>
        <w:tc>
          <w:tcPr>
            <w:tcW w:w="4500" w:type="dxa"/>
            <w:tcBorders>
              <w:top w:val="nil"/>
              <w:left w:val="nil"/>
              <w:bottom w:val="nil"/>
              <w:right w:val="nil"/>
            </w:tcBorders>
            <w:tcMar>
              <w:top w:w="40" w:type="dxa"/>
              <w:left w:w="40" w:type="dxa"/>
              <w:bottom w:w="40" w:type="dxa"/>
              <w:right w:w="40" w:type="dxa"/>
            </w:tcMar>
            <w:vAlign w:val="bottom"/>
          </w:tcPr>
          <w:p w14:paraId="00000A0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(5%)</w:t>
            </w:r>
          </w:p>
        </w:tc>
      </w:tr>
      <w:tr w:rsidR="00CB4215" w14:paraId="22CE5A0F" w14:textId="77777777">
        <w:tc>
          <w:tcPr>
            <w:tcW w:w="4485" w:type="dxa"/>
            <w:tcBorders>
              <w:top w:val="nil"/>
              <w:left w:val="nil"/>
              <w:bottom w:val="nil"/>
              <w:right w:val="nil"/>
            </w:tcBorders>
            <w:tcMar>
              <w:top w:w="40" w:type="dxa"/>
              <w:left w:w="40" w:type="dxa"/>
              <w:bottom w:w="40" w:type="dxa"/>
              <w:right w:w="40" w:type="dxa"/>
            </w:tcMar>
            <w:vAlign w:val="bottom"/>
          </w:tcPr>
          <w:p w14:paraId="00000A0B"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Gastroesophageal reflux disease </w:t>
            </w:r>
          </w:p>
        </w:tc>
        <w:tc>
          <w:tcPr>
            <w:tcW w:w="4500" w:type="dxa"/>
            <w:tcBorders>
              <w:top w:val="nil"/>
              <w:left w:val="nil"/>
              <w:bottom w:val="nil"/>
              <w:right w:val="nil"/>
            </w:tcBorders>
            <w:tcMar>
              <w:top w:w="40" w:type="dxa"/>
              <w:left w:w="40" w:type="dxa"/>
              <w:bottom w:w="40" w:type="dxa"/>
              <w:right w:w="40" w:type="dxa"/>
            </w:tcMar>
            <w:vAlign w:val="bottom"/>
          </w:tcPr>
          <w:p w14:paraId="00000A0C"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(5%)</w:t>
            </w:r>
          </w:p>
        </w:tc>
      </w:tr>
      <w:tr w:rsidR="00CB4215" w14:paraId="6161C0CC" w14:textId="77777777">
        <w:tc>
          <w:tcPr>
            <w:tcW w:w="4485" w:type="dxa"/>
            <w:tcBorders>
              <w:top w:val="nil"/>
              <w:left w:val="nil"/>
              <w:bottom w:val="nil"/>
              <w:right w:val="nil"/>
            </w:tcBorders>
            <w:tcMar>
              <w:top w:w="40" w:type="dxa"/>
              <w:left w:w="40" w:type="dxa"/>
              <w:bottom w:w="40" w:type="dxa"/>
              <w:right w:w="40" w:type="dxa"/>
            </w:tcMar>
            <w:vAlign w:val="bottom"/>
          </w:tcPr>
          <w:p w14:paraId="00000A0D"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Postural Orthostatic Tachycardia Syndrome</w:t>
            </w:r>
          </w:p>
        </w:tc>
        <w:tc>
          <w:tcPr>
            <w:tcW w:w="4500" w:type="dxa"/>
            <w:tcBorders>
              <w:top w:val="nil"/>
              <w:left w:val="nil"/>
              <w:bottom w:val="nil"/>
              <w:right w:val="nil"/>
            </w:tcBorders>
            <w:tcMar>
              <w:top w:w="40" w:type="dxa"/>
              <w:left w:w="40" w:type="dxa"/>
              <w:bottom w:w="40" w:type="dxa"/>
              <w:right w:w="40" w:type="dxa"/>
            </w:tcMar>
            <w:vAlign w:val="bottom"/>
          </w:tcPr>
          <w:p w14:paraId="00000A0E"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(5%)</w:t>
            </w:r>
          </w:p>
        </w:tc>
      </w:tr>
      <w:tr w:rsidR="00CB4215" w14:paraId="7E2E39A8" w14:textId="77777777">
        <w:tc>
          <w:tcPr>
            <w:tcW w:w="4485" w:type="dxa"/>
            <w:tcBorders>
              <w:top w:val="nil"/>
              <w:left w:val="nil"/>
              <w:bottom w:val="nil"/>
              <w:right w:val="nil"/>
            </w:tcBorders>
            <w:shd w:val="clear" w:color="auto" w:fill="FFFFFF"/>
            <w:tcMar>
              <w:top w:w="40" w:type="dxa"/>
              <w:left w:w="40" w:type="dxa"/>
              <w:bottom w:w="40" w:type="dxa"/>
              <w:right w:w="40" w:type="dxa"/>
            </w:tcMar>
            <w:vAlign w:val="bottom"/>
          </w:tcPr>
          <w:p w14:paraId="00000A0F"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Non-Epileptic Attack Disorder</w:t>
            </w:r>
          </w:p>
        </w:tc>
        <w:tc>
          <w:tcPr>
            <w:tcW w:w="4500" w:type="dxa"/>
            <w:tcBorders>
              <w:top w:val="nil"/>
              <w:left w:val="nil"/>
              <w:bottom w:val="nil"/>
              <w:right w:val="nil"/>
            </w:tcBorders>
            <w:tcMar>
              <w:top w:w="40" w:type="dxa"/>
              <w:left w:w="40" w:type="dxa"/>
              <w:bottom w:w="40" w:type="dxa"/>
              <w:right w:w="40" w:type="dxa"/>
            </w:tcMar>
            <w:vAlign w:val="bottom"/>
          </w:tcPr>
          <w:p w14:paraId="00000A10"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(5%)</w:t>
            </w:r>
          </w:p>
        </w:tc>
      </w:tr>
      <w:tr w:rsidR="00CB4215" w14:paraId="4E66E348" w14:textId="77777777">
        <w:tc>
          <w:tcPr>
            <w:tcW w:w="4485" w:type="dxa"/>
            <w:tcBorders>
              <w:top w:val="nil"/>
              <w:left w:val="nil"/>
              <w:bottom w:val="nil"/>
              <w:right w:val="nil"/>
            </w:tcBorders>
            <w:tcMar>
              <w:top w:w="40" w:type="dxa"/>
              <w:left w:w="40" w:type="dxa"/>
              <w:bottom w:w="40" w:type="dxa"/>
              <w:right w:w="40" w:type="dxa"/>
            </w:tcMar>
            <w:vAlign w:val="bottom"/>
          </w:tcPr>
          <w:p w14:paraId="00000A11"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Asthma</w:t>
            </w:r>
          </w:p>
        </w:tc>
        <w:tc>
          <w:tcPr>
            <w:tcW w:w="4500" w:type="dxa"/>
            <w:tcBorders>
              <w:top w:val="nil"/>
              <w:left w:val="nil"/>
              <w:bottom w:val="nil"/>
              <w:right w:val="nil"/>
            </w:tcBorders>
            <w:tcMar>
              <w:top w:w="40" w:type="dxa"/>
              <w:left w:w="40" w:type="dxa"/>
              <w:bottom w:w="40" w:type="dxa"/>
              <w:right w:w="40" w:type="dxa"/>
            </w:tcMar>
            <w:vAlign w:val="bottom"/>
          </w:tcPr>
          <w:p w14:paraId="00000A12"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(10%)</w:t>
            </w:r>
          </w:p>
        </w:tc>
      </w:tr>
      <w:tr w:rsidR="00CB4215" w14:paraId="5C2A27BB" w14:textId="77777777">
        <w:tc>
          <w:tcPr>
            <w:tcW w:w="4485" w:type="dxa"/>
            <w:tcBorders>
              <w:top w:val="nil"/>
              <w:left w:val="nil"/>
              <w:bottom w:val="nil"/>
              <w:right w:val="nil"/>
            </w:tcBorders>
            <w:tcMar>
              <w:top w:w="40" w:type="dxa"/>
              <w:left w:w="40" w:type="dxa"/>
              <w:bottom w:w="40" w:type="dxa"/>
              <w:right w:w="40" w:type="dxa"/>
            </w:tcMar>
            <w:vAlign w:val="bottom"/>
          </w:tcPr>
          <w:p w14:paraId="00000A13"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Depression</w:t>
            </w:r>
          </w:p>
        </w:tc>
        <w:tc>
          <w:tcPr>
            <w:tcW w:w="4500" w:type="dxa"/>
            <w:tcBorders>
              <w:top w:val="nil"/>
              <w:left w:val="nil"/>
              <w:bottom w:val="nil"/>
              <w:right w:val="nil"/>
            </w:tcBorders>
            <w:tcMar>
              <w:top w:w="40" w:type="dxa"/>
              <w:left w:w="40" w:type="dxa"/>
              <w:bottom w:w="40" w:type="dxa"/>
              <w:right w:w="40" w:type="dxa"/>
            </w:tcMar>
            <w:vAlign w:val="bottom"/>
          </w:tcPr>
          <w:p w14:paraId="00000A14"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(5%)</w:t>
            </w:r>
          </w:p>
        </w:tc>
      </w:tr>
      <w:tr w:rsidR="00CB4215" w14:paraId="58432452" w14:textId="77777777">
        <w:tc>
          <w:tcPr>
            <w:tcW w:w="4485" w:type="dxa"/>
            <w:tcBorders>
              <w:top w:val="nil"/>
              <w:left w:val="nil"/>
              <w:bottom w:val="nil"/>
              <w:right w:val="nil"/>
            </w:tcBorders>
            <w:tcMar>
              <w:top w:w="40" w:type="dxa"/>
              <w:left w:w="40" w:type="dxa"/>
              <w:bottom w:w="40" w:type="dxa"/>
              <w:right w:w="40" w:type="dxa"/>
            </w:tcMar>
            <w:vAlign w:val="bottom"/>
          </w:tcPr>
          <w:p w14:paraId="00000A15"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High Blood pressure</w:t>
            </w:r>
          </w:p>
        </w:tc>
        <w:tc>
          <w:tcPr>
            <w:tcW w:w="4500" w:type="dxa"/>
            <w:tcBorders>
              <w:top w:val="nil"/>
              <w:left w:val="nil"/>
              <w:bottom w:val="nil"/>
              <w:right w:val="nil"/>
            </w:tcBorders>
            <w:tcMar>
              <w:top w:w="40" w:type="dxa"/>
              <w:left w:w="40" w:type="dxa"/>
              <w:bottom w:w="40" w:type="dxa"/>
              <w:right w:w="40" w:type="dxa"/>
            </w:tcMar>
            <w:vAlign w:val="bottom"/>
          </w:tcPr>
          <w:p w14:paraId="00000A16"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(5%)</w:t>
            </w:r>
          </w:p>
        </w:tc>
      </w:tr>
      <w:tr w:rsidR="00CB4215" w14:paraId="22D55381" w14:textId="77777777">
        <w:tc>
          <w:tcPr>
            <w:tcW w:w="4485" w:type="dxa"/>
            <w:tcBorders>
              <w:top w:val="nil"/>
              <w:left w:val="nil"/>
              <w:bottom w:val="nil"/>
              <w:right w:val="nil"/>
            </w:tcBorders>
            <w:tcMar>
              <w:top w:w="40" w:type="dxa"/>
              <w:left w:w="40" w:type="dxa"/>
              <w:bottom w:w="40" w:type="dxa"/>
              <w:right w:w="40" w:type="dxa"/>
            </w:tcMar>
            <w:vAlign w:val="bottom"/>
          </w:tcPr>
          <w:p w14:paraId="00000A17"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None apply</w:t>
            </w:r>
          </w:p>
        </w:tc>
        <w:tc>
          <w:tcPr>
            <w:tcW w:w="4500" w:type="dxa"/>
            <w:tcBorders>
              <w:top w:val="nil"/>
              <w:left w:val="nil"/>
              <w:bottom w:val="nil"/>
              <w:right w:val="nil"/>
            </w:tcBorders>
            <w:tcMar>
              <w:top w:w="40" w:type="dxa"/>
              <w:left w:w="40" w:type="dxa"/>
              <w:bottom w:w="40" w:type="dxa"/>
              <w:right w:w="40" w:type="dxa"/>
            </w:tcMar>
            <w:vAlign w:val="bottom"/>
          </w:tcPr>
          <w:p w14:paraId="00000A18"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 (45%)</w:t>
            </w:r>
          </w:p>
        </w:tc>
      </w:tr>
      <w:tr w:rsidR="00CB4215" w14:paraId="6CF13D0C" w14:textId="77777777">
        <w:tc>
          <w:tcPr>
            <w:tcW w:w="4485" w:type="dxa"/>
            <w:tcBorders>
              <w:top w:val="nil"/>
              <w:left w:val="nil"/>
              <w:bottom w:val="single" w:sz="8" w:space="0" w:color="000000"/>
              <w:right w:val="nil"/>
            </w:tcBorders>
            <w:tcMar>
              <w:top w:w="40" w:type="dxa"/>
              <w:left w:w="40" w:type="dxa"/>
              <w:bottom w:w="40" w:type="dxa"/>
              <w:right w:w="40" w:type="dxa"/>
            </w:tcMar>
            <w:vAlign w:val="bottom"/>
          </w:tcPr>
          <w:p w14:paraId="00000A19" w14:textId="77777777" w:rsidR="00CB4215" w:rsidRDefault="000530B4">
            <w:pPr>
              <w:widowControl w:val="0"/>
              <w:spacing w:line="240" w:lineRule="auto"/>
              <w:rPr>
                <w:rFonts w:ascii="Times New Roman" w:eastAsia="Times New Roman" w:hAnsi="Times New Roman" w:cs="Times New Roman"/>
                <w:b/>
                <w:i/>
                <w:vertAlign w:val="superscript"/>
              </w:rPr>
            </w:pPr>
            <w:r>
              <w:rPr>
                <w:rFonts w:ascii="Times New Roman" w:eastAsia="Times New Roman" w:hAnsi="Times New Roman" w:cs="Times New Roman"/>
                <w:b/>
                <w:i/>
              </w:rPr>
              <w:t xml:space="preserve">Night Eating Questionnaire (NEQ) (n = </w:t>
            </w:r>
            <w:proofErr w:type="gramStart"/>
            <w:r>
              <w:rPr>
                <w:rFonts w:ascii="Times New Roman" w:eastAsia="Times New Roman" w:hAnsi="Times New Roman" w:cs="Times New Roman"/>
                <w:b/>
                <w:i/>
              </w:rPr>
              <w:t>17)</w:t>
            </w:r>
            <w:r>
              <w:rPr>
                <w:rFonts w:ascii="Times New Roman" w:eastAsia="Times New Roman" w:hAnsi="Times New Roman" w:cs="Times New Roman"/>
                <w:b/>
                <w:i/>
                <w:vertAlign w:val="superscript"/>
              </w:rPr>
              <w:t>c</w:t>
            </w:r>
            <w:proofErr w:type="gramEnd"/>
          </w:p>
        </w:tc>
        <w:tc>
          <w:tcPr>
            <w:tcW w:w="4500" w:type="dxa"/>
            <w:tcBorders>
              <w:top w:val="nil"/>
              <w:left w:val="nil"/>
              <w:bottom w:val="single" w:sz="8" w:space="0" w:color="000000"/>
              <w:right w:val="nil"/>
            </w:tcBorders>
            <w:tcMar>
              <w:top w:w="40" w:type="dxa"/>
              <w:left w:w="40" w:type="dxa"/>
              <w:bottom w:w="40" w:type="dxa"/>
              <w:right w:w="40" w:type="dxa"/>
            </w:tcMar>
            <w:vAlign w:val="bottom"/>
          </w:tcPr>
          <w:p w14:paraId="00000A1A" w14:textId="77777777" w:rsidR="00CB4215" w:rsidRDefault="000530B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17.12 ± 6.57</w:t>
            </w:r>
          </w:p>
        </w:tc>
      </w:tr>
    </w:tbl>
    <w:p w14:paraId="00000A1B" w14:textId="77777777" w:rsidR="00CB4215" w:rsidRPr="00D03B56"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i/>
          <w:iCs/>
          <w:sz w:val="20"/>
          <w:szCs w:val="20"/>
        </w:rPr>
        <w:t>Note</w:t>
      </w:r>
      <w:r w:rsidRPr="00D03B56">
        <w:rPr>
          <w:rFonts w:ascii="Times New Roman" w:eastAsia="Times New Roman" w:hAnsi="Times New Roman" w:cs="Times New Roman"/>
          <w:sz w:val="20"/>
          <w:szCs w:val="20"/>
        </w:rPr>
        <w:t>: Regular day work refers to work during the daytime, e.g., from 9 AM to 5 PM.</w:t>
      </w:r>
    </w:p>
    <w:p w14:paraId="00000A1C" w14:textId="638DA383" w:rsidR="00CB4215" w:rsidRPr="00D03B56"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rPr>
        <w:t xml:space="preserve">Rotating shift work refers to work alternate night and daytime </w:t>
      </w:r>
      <w:hyperlink r:id="rId681">
        <w:r w:rsidRPr="00D03B56">
          <w:rPr>
            <w:rFonts w:ascii="Times New Roman" w:eastAsia="Times New Roman" w:hAnsi="Times New Roman" w:cs="Times New Roman"/>
            <w:color w:val="000000"/>
            <w:sz w:val="20"/>
            <w:szCs w:val="20"/>
          </w:rPr>
          <w:t>(</w:t>
        </w:r>
        <w:proofErr w:type="spellStart"/>
        <w:r w:rsidRPr="00D03B56">
          <w:rPr>
            <w:rFonts w:ascii="Times New Roman" w:eastAsia="Times New Roman" w:hAnsi="Times New Roman" w:cs="Times New Roman"/>
            <w:color w:val="000000"/>
            <w:sz w:val="20"/>
            <w:szCs w:val="20"/>
          </w:rPr>
          <w:t>Fujino</w:t>
        </w:r>
        <w:proofErr w:type="spellEnd"/>
        <w:r w:rsidRPr="00D03B56">
          <w:rPr>
            <w:rFonts w:ascii="Times New Roman" w:eastAsia="Times New Roman" w:hAnsi="Times New Roman" w:cs="Times New Roman"/>
            <w:color w:val="000000"/>
            <w:sz w:val="20"/>
            <w:szCs w:val="20"/>
          </w:rPr>
          <w:t xml:space="preserve"> et al. 2006)</w:t>
        </w:r>
      </w:hyperlink>
      <w:r w:rsidRPr="00D03B56">
        <w:rPr>
          <w:rFonts w:ascii="Times New Roman" w:eastAsia="Times New Roman" w:hAnsi="Times New Roman" w:cs="Times New Roman"/>
          <w:sz w:val="20"/>
          <w:szCs w:val="20"/>
        </w:rPr>
        <w:t>.</w:t>
      </w:r>
    </w:p>
    <w:p w14:paraId="00000A1E" w14:textId="3DE57C6B" w:rsidR="00CB4215" w:rsidRPr="00991698" w:rsidRDefault="000530B4">
      <w:pPr>
        <w:spacing w:line="240" w:lineRule="auto"/>
        <w:rPr>
          <w:rFonts w:ascii="Times New Roman" w:eastAsia="Times New Roman" w:hAnsi="Times New Roman" w:cs="Times New Roman"/>
          <w:sz w:val="20"/>
          <w:szCs w:val="20"/>
        </w:rPr>
      </w:pPr>
      <w:r w:rsidRPr="00D03B56">
        <w:rPr>
          <w:rFonts w:ascii="Times New Roman" w:eastAsia="Times New Roman" w:hAnsi="Times New Roman" w:cs="Times New Roman"/>
          <w:sz w:val="20"/>
          <w:szCs w:val="20"/>
        </w:rPr>
        <w:t>Night Eating Questionnaire (NEQ) was used to assess night eating syndrome, using a cut-off</w:t>
      </w:r>
      <w:r w:rsidR="00991698" w:rsidRPr="00D03B56">
        <w:rPr>
          <w:rFonts w:ascii="Times New Roman" w:eastAsia="Times New Roman" w:hAnsi="Times New Roman" w:cs="Times New Roman"/>
          <w:sz w:val="20"/>
          <w:szCs w:val="20"/>
        </w:rPr>
        <w:t xml:space="preserve"> </w:t>
      </w:r>
      <w:sdt>
        <w:sdtPr>
          <w:rPr>
            <w:rFonts w:ascii="Times New Roman" w:hAnsi="Times New Roman" w:cs="Times New Roman"/>
            <w:sz w:val="20"/>
            <w:szCs w:val="20"/>
          </w:rPr>
          <w:tag w:val="goog_rdk_56"/>
          <w:id w:val="-75591480"/>
        </w:sdtPr>
        <w:sdtEndPr/>
        <w:sdtContent>
          <w:r w:rsidR="00991698" w:rsidRPr="00D03B56">
            <w:rPr>
              <w:rFonts w:ascii="Times New Roman" w:eastAsia="Gungsuh" w:hAnsi="Times New Roman" w:cs="Times New Roman"/>
              <w:sz w:val="20"/>
              <w:szCs w:val="20"/>
            </w:rPr>
            <w:t xml:space="preserve">score of ≥25 to screen for possible night eating syndrome </w:t>
          </w:r>
        </w:sdtContent>
      </w:sdt>
      <w:hyperlink r:id="rId682">
        <w:r w:rsidRPr="00D03B56">
          <w:rPr>
            <w:rFonts w:ascii="Times New Roman" w:eastAsia="Times New Roman" w:hAnsi="Times New Roman" w:cs="Times New Roman"/>
            <w:color w:val="000000"/>
            <w:sz w:val="20"/>
            <w:szCs w:val="20"/>
          </w:rPr>
          <w:t>(Allison et al.2008)</w:t>
        </w:r>
      </w:hyperlink>
      <w:r w:rsidRPr="00D03B56">
        <w:rPr>
          <w:rFonts w:ascii="Times New Roman" w:eastAsia="Times New Roman" w:hAnsi="Times New Roman" w:cs="Times New Roman"/>
          <w:sz w:val="20"/>
          <w:szCs w:val="20"/>
        </w:rPr>
        <w:t>.</w:t>
      </w:r>
      <w:r w:rsidRPr="00991698">
        <w:rPr>
          <w:rFonts w:ascii="Times New Roman" w:eastAsia="Times New Roman" w:hAnsi="Times New Roman" w:cs="Times New Roman"/>
          <w:sz w:val="20"/>
          <w:szCs w:val="20"/>
        </w:rPr>
        <w:t xml:space="preserve"> </w:t>
      </w:r>
    </w:p>
    <w:p w14:paraId="00000A1F" w14:textId="77777777" w:rsidR="00CB4215" w:rsidRDefault="00CB4215">
      <w:pPr>
        <w:spacing w:line="240" w:lineRule="auto"/>
        <w:rPr>
          <w:rFonts w:ascii="Times New Roman" w:eastAsia="Times New Roman" w:hAnsi="Times New Roman" w:cs="Times New Roman"/>
        </w:rPr>
      </w:pPr>
    </w:p>
    <w:p w14:paraId="00000A20"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6.6.2 Factors Contributing to Late Evening Eating</w:t>
      </w:r>
    </w:p>
    <w:p w14:paraId="00000A21" w14:textId="77777777" w:rsidR="00CB4215" w:rsidRDefault="00CB4215"/>
    <w:p w14:paraId="00000A22"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core themes on reasons for late evening eating were identified: internal signals influencing late evening eating; external and situational drivers of late evening eating; social influences, and behavioural and emotional influences on late evening eating. Themes, sub-themes and example quotes are presented in Table 6.2. </w:t>
      </w:r>
    </w:p>
    <w:p w14:paraId="00000A23" w14:textId="77777777" w:rsidR="00CB4215" w:rsidRDefault="000530B4">
      <w:pPr>
        <w:pStyle w:val="Heading5"/>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6.6.2.1</w:t>
      </w:r>
      <w:r>
        <w:rPr>
          <w:rFonts w:ascii="Times New Roman" w:eastAsia="Times New Roman" w:hAnsi="Times New Roman" w:cs="Times New Roman"/>
          <w:b/>
          <w:i/>
          <w:color w:val="000000"/>
          <w:sz w:val="24"/>
          <w:szCs w:val="24"/>
        </w:rPr>
        <w:t xml:space="preserve"> Theme 1: Internal signals influencing late evening eating </w:t>
      </w:r>
    </w:p>
    <w:p w14:paraId="00000A24" w14:textId="77777777" w:rsidR="00CB4215" w:rsidRDefault="00CB4215"/>
    <w:p w14:paraId="00000A2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participants linked late evening eating habits to physiological triggers and bodily cues, such as feeling hungry in the evening. Some participants also referred to eating late in the evening due to hunger and increased gastric acid, which made them uncomfortable. For instance: </w:t>
      </w:r>
    </w:p>
    <w:p w14:paraId="00000A26"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“Usually in the evening, I feel </w:t>
      </w:r>
      <w:proofErr w:type="gramStart"/>
      <w:r>
        <w:rPr>
          <w:rFonts w:ascii="Times New Roman" w:eastAsia="Times New Roman" w:hAnsi="Times New Roman" w:cs="Times New Roman"/>
          <w:i/>
          <w:sz w:val="24"/>
          <w:szCs w:val="24"/>
        </w:rPr>
        <w:t>some kind of hunger</w:t>
      </w:r>
      <w:proofErr w:type="gramEnd"/>
      <w:r>
        <w:rPr>
          <w:rFonts w:ascii="Times New Roman" w:eastAsia="Times New Roman" w:hAnsi="Times New Roman" w:cs="Times New Roman"/>
          <w:i/>
          <w:sz w:val="24"/>
          <w:szCs w:val="24"/>
        </w:rPr>
        <w:t xml:space="preserve"> because I'm a little bit early for dinner. I have dinner at 6 pm. I think it's quite a bit early, so that leads me to other meals in the evening because I feel hungry.”</w:t>
      </w:r>
      <w:r>
        <w:rPr>
          <w:rFonts w:ascii="Times New Roman" w:eastAsia="Times New Roman" w:hAnsi="Times New Roman" w:cs="Times New Roman"/>
          <w:sz w:val="24"/>
          <w:szCs w:val="24"/>
        </w:rPr>
        <w:t xml:space="preserve"> (P178)</w:t>
      </w:r>
    </w:p>
    <w:p w14:paraId="00000A27" w14:textId="77777777" w:rsidR="00CB4215" w:rsidRDefault="00CB4215">
      <w:pPr>
        <w:spacing w:line="480" w:lineRule="auto"/>
        <w:rPr>
          <w:rFonts w:ascii="Times New Roman" w:eastAsia="Times New Roman" w:hAnsi="Times New Roman" w:cs="Times New Roman"/>
          <w:sz w:val="24"/>
          <w:szCs w:val="24"/>
        </w:rPr>
      </w:pPr>
    </w:p>
    <w:p w14:paraId="00000A28"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“Okay, the main factor is actually that I have got something like stomach acid. Indigestion I think, indigestion in my stomach, so, that's the reason why I usually need to eat at night because if not I will be hungry and then my stomach acid is going to be higher.”</w:t>
      </w:r>
      <w:r>
        <w:rPr>
          <w:rFonts w:ascii="Times New Roman" w:eastAsia="Times New Roman" w:hAnsi="Times New Roman" w:cs="Times New Roman"/>
          <w:sz w:val="24"/>
          <w:szCs w:val="24"/>
        </w:rPr>
        <w:t xml:space="preserve"> (P111)</w:t>
      </w:r>
    </w:p>
    <w:p w14:paraId="00000A29" w14:textId="77777777" w:rsidR="00CB4215" w:rsidRDefault="00CB4215">
      <w:pPr>
        <w:widowControl w:val="0"/>
        <w:spacing w:line="480" w:lineRule="auto"/>
        <w:rPr>
          <w:rFonts w:ascii="Times New Roman" w:eastAsia="Times New Roman" w:hAnsi="Times New Roman" w:cs="Times New Roman"/>
          <w:sz w:val="24"/>
          <w:szCs w:val="24"/>
        </w:rPr>
      </w:pPr>
    </w:p>
    <w:p w14:paraId="00000A2A"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 I need to get full up to make my stomach not empty. We have the acid in the stomach, and I think because of it, my stomach has become hungry and there is some gas here so I'm feeling uncomfortable.” </w:t>
      </w:r>
      <w:r>
        <w:rPr>
          <w:rFonts w:ascii="Times New Roman" w:eastAsia="Times New Roman" w:hAnsi="Times New Roman" w:cs="Times New Roman"/>
          <w:sz w:val="24"/>
          <w:szCs w:val="24"/>
        </w:rPr>
        <w:t>(P148)</w:t>
      </w:r>
    </w:p>
    <w:p w14:paraId="00000A2B" w14:textId="77777777" w:rsidR="00CB4215" w:rsidRDefault="00CB4215">
      <w:pPr>
        <w:spacing w:line="480" w:lineRule="auto"/>
        <w:rPr>
          <w:rFonts w:ascii="Calibri" w:eastAsia="Calibri" w:hAnsi="Calibri" w:cs="Calibri"/>
          <w:sz w:val="24"/>
          <w:szCs w:val="24"/>
        </w:rPr>
      </w:pPr>
    </w:p>
    <w:p w14:paraId="00000A2C" w14:textId="77777777" w:rsidR="00CB4215" w:rsidRDefault="000530B4">
      <w:pPr>
        <w:pStyle w:val="Heading5"/>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6.6.2.2</w:t>
      </w:r>
      <w:r>
        <w:rPr>
          <w:rFonts w:ascii="Times New Roman" w:eastAsia="Times New Roman" w:hAnsi="Times New Roman" w:cs="Times New Roman"/>
          <w:b/>
          <w:i/>
          <w:color w:val="000000"/>
          <w:sz w:val="24"/>
          <w:szCs w:val="24"/>
        </w:rPr>
        <w:t xml:space="preserve"> Theme 2: External and situational drivers of late evening eating</w:t>
      </w:r>
    </w:p>
    <w:p w14:paraId="00000A2D"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t xml:space="preserve">6.6.2.2.1 </w:t>
      </w:r>
      <w:r>
        <w:rPr>
          <w:rFonts w:ascii="Times New Roman" w:eastAsia="Times New Roman" w:hAnsi="Times New Roman" w:cs="Times New Roman"/>
          <w:b/>
          <w:color w:val="000000"/>
          <w:sz w:val="24"/>
          <w:szCs w:val="24"/>
        </w:rPr>
        <w:t xml:space="preserve">Sub-theme: Evening time constraints </w:t>
      </w:r>
    </w:p>
    <w:p w14:paraId="00000A2E" w14:textId="77777777" w:rsidR="00CB4215" w:rsidRDefault="00CB4215"/>
    <w:p w14:paraId="00000A2F"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participants highlighted the significance of time in their late evening eating patterns. Meal preparation and the multiple steps involved, from preparing the ingredients to </w:t>
      </w:r>
      <w:proofErr w:type="gramStart"/>
      <w:r>
        <w:rPr>
          <w:rFonts w:ascii="Times New Roman" w:eastAsia="Times New Roman" w:hAnsi="Times New Roman" w:cs="Times New Roman"/>
          <w:sz w:val="24"/>
          <w:szCs w:val="24"/>
        </w:rPr>
        <w:t>actually cooking</w:t>
      </w:r>
      <w:proofErr w:type="gramEnd"/>
      <w:r>
        <w:rPr>
          <w:rFonts w:ascii="Times New Roman" w:eastAsia="Times New Roman" w:hAnsi="Times New Roman" w:cs="Times New Roman"/>
          <w:sz w:val="24"/>
          <w:szCs w:val="24"/>
        </w:rPr>
        <w:t xml:space="preserve"> was referred to as time-consuming by multiple participants. Moreover, they stated </w:t>
      </w:r>
      <w:r>
        <w:rPr>
          <w:rFonts w:ascii="Times New Roman" w:eastAsia="Times New Roman" w:hAnsi="Times New Roman" w:cs="Times New Roman"/>
          <w:sz w:val="24"/>
          <w:szCs w:val="24"/>
        </w:rPr>
        <w:lastRenderedPageBreak/>
        <w:t xml:space="preserve">that post-work activities such as cleaning and organising meant it was late by the time, they started meal preparations.  </w:t>
      </w:r>
    </w:p>
    <w:p w14:paraId="00000A30"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“By the time I've finished work and then I've tidied up and got myself sorted, and then figured out what I'm going to cook, and then cook my tea by the time I've actually done all of that and then sat down, it tends to be quite late.” </w:t>
      </w:r>
      <w:r>
        <w:rPr>
          <w:rFonts w:ascii="Times New Roman" w:eastAsia="Times New Roman" w:hAnsi="Times New Roman" w:cs="Times New Roman"/>
          <w:sz w:val="24"/>
          <w:szCs w:val="24"/>
        </w:rPr>
        <w:t>(P181)</w:t>
      </w:r>
    </w:p>
    <w:p w14:paraId="00000A31" w14:textId="77777777" w:rsidR="00CB4215" w:rsidRDefault="00CB4215">
      <w:pPr>
        <w:widowControl w:val="0"/>
        <w:spacing w:line="240" w:lineRule="auto"/>
        <w:rPr>
          <w:rFonts w:ascii="Times New Roman" w:eastAsia="Times New Roman" w:hAnsi="Times New Roman" w:cs="Times New Roman"/>
          <w:sz w:val="24"/>
          <w:szCs w:val="24"/>
        </w:rPr>
      </w:pPr>
    </w:p>
    <w:p w14:paraId="00000A32"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t>6.6.2.2.2</w:t>
      </w:r>
      <w:r>
        <w:rPr>
          <w:rFonts w:ascii="Times New Roman" w:eastAsia="Times New Roman" w:hAnsi="Times New Roman" w:cs="Times New Roman"/>
          <w:b/>
          <w:color w:val="000000"/>
          <w:sz w:val="24"/>
          <w:szCs w:val="24"/>
        </w:rPr>
        <w:t xml:space="preserve"> Sub-theme: Work-related late evening eating patterns </w:t>
      </w:r>
    </w:p>
    <w:p w14:paraId="00000A33" w14:textId="77777777" w:rsidR="00CB4215" w:rsidRDefault="00CB4215"/>
    <w:p w14:paraId="00000A34"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work schedule was identified as a potential factor resulting in late evening eating habits. Participants described how their work affected the timing of their evening meals. Most participants reported that work-related commitments, such as arriving home late or continuing work tasks into the night, led to late evening meals.</w:t>
      </w:r>
    </w:p>
    <w:p w14:paraId="00000A35"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“It's main work that impacts why I eat so late, I usually don't finish until seven o'clock.”</w:t>
      </w:r>
      <w:r>
        <w:rPr>
          <w:rFonts w:ascii="Times New Roman" w:eastAsia="Times New Roman" w:hAnsi="Times New Roman" w:cs="Times New Roman"/>
          <w:sz w:val="24"/>
          <w:szCs w:val="24"/>
        </w:rPr>
        <w:t xml:space="preserve"> (P170)</w:t>
      </w:r>
    </w:p>
    <w:p w14:paraId="00000A36" w14:textId="77777777" w:rsidR="00CB4215" w:rsidRDefault="00CB4215">
      <w:pPr>
        <w:widowControl w:val="0"/>
        <w:spacing w:line="480" w:lineRule="auto"/>
        <w:rPr>
          <w:rFonts w:ascii="Times New Roman" w:eastAsia="Times New Roman" w:hAnsi="Times New Roman" w:cs="Times New Roman"/>
          <w:sz w:val="24"/>
          <w:szCs w:val="24"/>
        </w:rPr>
      </w:pPr>
    </w:p>
    <w:p w14:paraId="00000A37"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finish working at 6:00 or 7:00. And at night usually because I'm still awake until midnight sometimes doing my work or doing my part-time job, this is the reason also after using my brain for thinking and then I eat some snacks at midnight.” </w:t>
      </w:r>
      <w:r>
        <w:rPr>
          <w:rFonts w:ascii="Times New Roman" w:eastAsia="Times New Roman" w:hAnsi="Times New Roman" w:cs="Times New Roman"/>
          <w:sz w:val="24"/>
          <w:szCs w:val="24"/>
        </w:rPr>
        <w:t>(P111)</w:t>
      </w:r>
    </w:p>
    <w:p w14:paraId="00000A38" w14:textId="77777777" w:rsidR="00CB4215" w:rsidRDefault="00CB4215">
      <w:pPr>
        <w:widowControl w:val="0"/>
        <w:spacing w:line="480" w:lineRule="auto"/>
        <w:rPr>
          <w:rFonts w:ascii="Times New Roman" w:eastAsia="Times New Roman" w:hAnsi="Times New Roman" w:cs="Times New Roman"/>
          <w:sz w:val="24"/>
          <w:szCs w:val="24"/>
        </w:rPr>
      </w:pPr>
    </w:p>
    <w:p w14:paraId="00000A39"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“My transport, because I live in Chester, but I work in the Wrexham Industrial Estate, so it takes 1 hour and 30 minutes by bus, and sometimes the bus is late. That's the reason why I've been eating late.”</w:t>
      </w:r>
      <w:r>
        <w:rPr>
          <w:rFonts w:ascii="Times New Roman" w:eastAsia="Times New Roman" w:hAnsi="Times New Roman" w:cs="Times New Roman"/>
          <w:sz w:val="24"/>
          <w:szCs w:val="24"/>
        </w:rPr>
        <w:t xml:space="preserve"> (P124)</w:t>
      </w:r>
    </w:p>
    <w:p w14:paraId="00000A3A" w14:textId="77777777" w:rsidR="00CB4215" w:rsidRDefault="00CB4215">
      <w:pPr>
        <w:widowControl w:val="0"/>
        <w:spacing w:line="240" w:lineRule="auto"/>
        <w:rPr>
          <w:rFonts w:ascii="Times New Roman" w:eastAsia="Times New Roman" w:hAnsi="Times New Roman" w:cs="Times New Roman"/>
          <w:sz w:val="24"/>
          <w:szCs w:val="24"/>
        </w:rPr>
      </w:pPr>
    </w:p>
    <w:p w14:paraId="00000A3B"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t>6.6.2.2.3</w:t>
      </w:r>
      <w:r>
        <w:rPr>
          <w:rFonts w:ascii="Times New Roman" w:eastAsia="Times New Roman" w:hAnsi="Times New Roman" w:cs="Times New Roman"/>
          <w:b/>
          <w:color w:val="000000"/>
          <w:sz w:val="24"/>
          <w:szCs w:val="24"/>
        </w:rPr>
        <w:t xml:space="preserve"> Sub-theme: Seasonal impact on evening eating</w:t>
      </w:r>
    </w:p>
    <w:p w14:paraId="00000A3C" w14:textId="77777777" w:rsidR="00CB4215" w:rsidRDefault="00CB4215"/>
    <w:p w14:paraId="00000A3D"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reported that their evening eating was affected by seasonal changes, especially the variable times of sunset. Many people appeared to time their evening meals around the time of sunset, resulting in different eating schedules between winter and summer, with evening meals tending to be later in the summer than winter.</w:t>
      </w:r>
    </w:p>
    <w:p w14:paraId="00000A3E"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“Sometimes I forget to eat, like, the evening meal. Usually, I eat around 6 and 7, but because of the summer, I forget. And then, 'This is already 9,' so I eat, like, very late. And then during the winter, for example, 4 pm is already dark, I feel already hungry because of that.” </w:t>
      </w:r>
      <w:r>
        <w:rPr>
          <w:rFonts w:ascii="Times New Roman" w:eastAsia="Times New Roman" w:hAnsi="Times New Roman" w:cs="Times New Roman"/>
          <w:sz w:val="24"/>
          <w:szCs w:val="24"/>
        </w:rPr>
        <w:t>(P166)</w:t>
      </w:r>
    </w:p>
    <w:p w14:paraId="00000A3F" w14:textId="77777777" w:rsidR="00CB4215" w:rsidRDefault="00CB4215">
      <w:pPr>
        <w:widowControl w:val="0"/>
        <w:spacing w:line="240" w:lineRule="auto"/>
        <w:rPr>
          <w:rFonts w:ascii="Times New Roman" w:eastAsia="Times New Roman" w:hAnsi="Times New Roman" w:cs="Times New Roman"/>
          <w:sz w:val="24"/>
          <w:szCs w:val="24"/>
        </w:rPr>
      </w:pPr>
    </w:p>
    <w:p w14:paraId="00000A40"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lastRenderedPageBreak/>
        <w:t>6.6.2.2.4</w:t>
      </w:r>
      <w:r>
        <w:rPr>
          <w:rFonts w:ascii="Times New Roman" w:eastAsia="Times New Roman" w:hAnsi="Times New Roman" w:cs="Times New Roman"/>
          <w:b/>
          <w:color w:val="000000"/>
          <w:sz w:val="24"/>
          <w:szCs w:val="24"/>
        </w:rPr>
        <w:t xml:space="preserve"> Sub-theme: Travel contexts influencing evening eating flexibility</w:t>
      </w:r>
    </w:p>
    <w:p w14:paraId="00000A41" w14:textId="77777777" w:rsidR="00CB4215" w:rsidRDefault="00CB4215"/>
    <w:p w14:paraId="00000A42" w14:textId="77777777" w:rsidR="00CB4215" w:rsidRDefault="000530B4">
      <w:pPr>
        <w:widowControl w:val="0"/>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participants talked about how their evening eating schedule was more flexible when they were travelling or on holiday compared to their regular routine. Furthermore, it was observed that some individuals tend to eat earlier in the evening, as they planned to dine out with their family and booked tables for specific hours.</w:t>
      </w:r>
    </w:p>
    <w:p w14:paraId="00000A43"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“We've just recently come back from holiday and we were having our evening meal while we were on holiday, like around 18:30 to 19:00.”</w:t>
      </w:r>
      <w:r>
        <w:rPr>
          <w:rFonts w:ascii="Times New Roman" w:eastAsia="Times New Roman" w:hAnsi="Times New Roman" w:cs="Times New Roman"/>
          <w:sz w:val="24"/>
          <w:szCs w:val="24"/>
        </w:rPr>
        <w:t xml:space="preserve"> (P169)</w:t>
      </w:r>
    </w:p>
    <w:p w14:paraId="00000A44" w14:textId="77777777" w:rsidR="00CB4215" w:rsidRDefault="00CB4215">
      <w:pPr>
        <w:widowControl w:val="0"/>
        <w:spacing w:line="480" w:lineRule="auto"/>
        <w:rPr>
          <w:rFonts w:ascii="Times New Roman" w:eastAsia="Times New Roman" w:hAnsi="Times New Roman" w:cs="Times New Roman"/>
          <w:sz w:val="24"/>
          <w:szCs w:val="24"/>
        </w:rPr>
      </w:pPr>
    </w:p>
    <w:p w14:paraId="00000A45"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“Yes, when I'm travelling that is, I'm not cooking for myself, then I tend to eat early definitely. There will be a set time depending on where I am or things like that. I know where I'm going, I've got the hotel booked, everything booked then I have a set time to go and eat. Then I will be eating early because I eat because it's dinner time. It's open, I will eat.”</w:t>
      </w:r>
      <w:r>
        <w:rPr>
          <w:rFonts w:ascii="Times New Roman" w:eastAsia="Times New Roman" w:hAnsi="Times New Roman" w:cs="Times New Roman"/>
          <w:sz w:val="24"/>
          <w:szCs w:val="24"/>
        </w:rPr>
        <w:t xml:space="preserve"> (P174)</w:t>
      </w:r>
    </w:p>
    <w:p w14:paraId="00000A46" w14:textId="77777777" w:rsidR="00CB4215" w:rsidRDefault="00CB4215">
      <w:pPr>
        <w:widowControl w:val="0"/>
        <w:spacing w:line="480" w:lineRule="auto"/>
        <w:rPr>
          <w:rFonts w:ascii="Times New Roman" w:eastAsia="Times New Roman" w:hAnsi="Times New Roman" w:cs="Times New Roman"/>
          <w:sz w:val="24"/>
          <w:szCs w:val="24"/>
        </w:rPr>
      </w:pPr>
    </w:p>
    <w:p w14:paraId="00000A47"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think when we are travelling when we are on holiday there are some places where you know the food. For example, if we were in Wales lots of good places do start shutting off at 8, so we will book a table at half 6. So, when you are travelling you eat a bit early.” </w:t>
      </w:r>
      <w:r>
        <w:rPr>
          <w:rFonts w:ascii="Times New Roman" w:eastAsia="Times New Roman" w:hAnsi="Times New Roman" w:cs="Times New Roman"/>
          <w:sz w:val="24"/>
          <w:szCs w:val="24"/>
        </w:rPr>
        <w:t>(P180)</w:t>
      </w:r>
    </w:p>
    <w:p w14:paraId="00000A48" w14:textId="77777777" w:rsidR="00CB4215" w:rsidRDefault="00CB4215">
      <w:pPr>
        <w:widowControl w:val="0"/>
        <w:spacing w:line="240" w:lineRule="auto"/>
        <w:rPr>
          <w:rFonts w:ascii="Times New Roman" w:eastAsia="Times New Roman" w:hAnsi="Times New Roman" w:cs="Times New Roman"/>
          <w:sz w:val="24"/>
          <w:szCs w:val="24"/>
        </w:rPr>
      </w:pPr>
    </w:p>
    <w:p w14:paraId="00000A49"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t>6.6.2.2.5</w:t>
      </w:r>
      <w:r>
        <w:rPr>
          <w:rFonts w:ascii="Times New Roman" w:eastAsia="Times New Roman" w:hAnsi="Times New Roman" w:cs="Times New Roman"/>
          <w:b/>
          <w:color w:val="000000"/>
          <w:sz w:val="24"/>
          <w:szCs w:val="24"/>
        </w:rPr>
        <w:t xml:space="preserve"> Sub-theme: Challenge resisting tempting food due to easy access</w:t>
      </w:r>
    </w:p>
    <w:p w14:paraId="00000A4A" w14:textId="77777777" w:rsidR="00CB4215" w:rsidRDefault="00CB4215"/>
    <w:p w14:paraId="00000A4B"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 accessibility of tempting foods was also highlighted as a potential influence on evening eating habits. Numerous participants stated that temptation increased when tempting foods were easily accessible.</w:t>
      </w:r>
    </w:p>
    <w:p w14:paraId="00000A4C"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“It's easy to get all of the tempting food that I want, yes, because I store it in an easy place so I can get it easily and eat it directly without thinking.”</w:t>
      </w:r>
      <w:r>
        <w:rPr>
          <w:rFonts w:ascii="Times New Roman" w:eastAsia="Times New Roman" w:hAnsi="Times New Roman" w:cs="Times New Roman"/>
          <w:sz w:val="24"/>
          <w:szCs w:val="24"/>
        </w:rPr>
        <w:t xml:space="preserve"> (P171)</w:t>
      </w:r>
    </w:p>
    <w:p w14:paraId="00000A4D" w14:textId="77777777" w:rsidR="00CB4215" w:rsidRDefault="00CB4215">
      <w:pPr>
        <w:widowControl w:val="0"/>
        <w:spacing w:line="240" w:lineRule="auto"/>
        <w:rPr>
          <w:rFonts w:ascii="Times New Roman" w:eastAsia="Times New Roman" w:hAnsi="Times New Roman" w:cs="Times New Roman"/>
          <w:sz w:val="24"/>
          <w:szCs w:val="24"/>
        </w:rPr>
      </w:pPr>
    </w:p>
    <w:p w14:paraId="00000A4E"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probably feel tempted to eat the easy-access food from the cupboard and snack before I have my main meal.”</w:t>
      </w:r>
      <w:r>
        <w:rPr>
          <w:rFonts w:ascii="Times New Roman" w:eastAsia="Times New Roman" w:hAnsi="Times New Roman" w:cs="Times New Roman"/>
          <w:sz w:val="24"/>
          <w:szCs w:val="24"/>
        </w:rPr>
        <w:t xml:space="preserve"> (P105)</w:t>
      </w:r>
    </w:p>
    <w:p w14:paraId="00000A4F" w14:textId="77777777" w:rsidR="00CB4215" w:rsidRDefault="00CB4215">
      <w:pPr>
        <w:widowControl w:val="0"/>
        <w:spacing w:line="240" w:lineRule="auto"/>
        <w:rPr>
          <w:rFonts w:ascii="Times New Roman" w:eastAsia="Times New Roman" w:hAnsi="Times New Roman" w:cs="Times New Roman"/>
          <w:sz w:val="24"/>
          <w:szCs w:val="24"/>
        </w:rPr>
      </w:pPr>
    </w:p>
    <w:p w14:paraId="00000A50"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will generally go and get something to eat if it's there, like, and snack on through the night.”</w:t>
      </w:r>
      <w:r>
        <w:rPr>
          <w:rFonts w:ascii="Times New Roman" w:eastAsia="Times New Roman" w:hAnsi="Times New Roman" w:cs="Times New Roman"/>
          <w:sz w:val="24"/>
          <w:szCs w:val="24"/>
        </w:rPr>
        <w:t xml:space="preserve"> (P170)</w:t>
      </w:r>
    </w:p>
    <w:p w14:paraId="00000A51" w14:textId="77777777" w:rsidR="00CB4215" w:rsidRDefault="00CB4215">
      <w:pPr>
        <w:widowControl w:val="0"/>
        <w:spacing w:line="240" w:lineRule="auto"/>
        <w:rPr>
          <w:rFonts w:ascii="Times New Roman" w:eastAsia="Times New Roman" w:hAnsi="Times New Roman" w:cs="Times New Roman"/>
          <w:sz w:val="24"/>
          <w:szCs w:val="24"/>
        </w:rPr>
      </w:pPr>
    </w:p>
    <w:p w14:paraId="00000A52"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t>6.6.2.2.6</w:t>
      </w:r>
      <w:r>
        <w:rPr>
          <w:rFonts w:ascii="Times New Roman" w:eastAsia="Times New Roman" w:hAnsi="Times New Roman" w:cs="Times New Roman"/>
          <w:b/>
          <w:color w:val="000000"/>
          <w:sz w:val="24"/>
          <w:szCs w:val="24"/>
        </w:rPr>
        <w:t xml:space="preserve"> Sub-theme 2: Proximity-driven temptation management</w:t>
      </w:r>
    </w:p>
    <w:p w14:paraId="00000A53" w14:textId="77777777" w:rsidR="00CB4215" w:rsidRDefault="00CB4215"/>
    <w:p w14:paraId="00000A54"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Nevertheless, not all participants reported yielding to the temptation to eat easily available foods. A small number of participants commented that they were not tempted by tempting </w:t>
      </w:r>
      <w:r>
        <w:rPr>
          <w:rFonts w:ascii="Times New Roman" w:eastAsia="Times New Roman" w:hAnsi="Times New Roman" w:cs="Times New Roman"/>
          <w:sz w:val="24"/>
          <w:szCs w:val="24"/>
        </w:rPr>
        <w:lastRenderedPageBreak/>
        <w:t>foods. Several stated that they had the ability to manage such temptations and consumed only when there were remaining calories to reach their calorie goal within their dietary intake.</w:t>
      </w:r>
    </w:p>
    <w:p w14:paraId="00000A55"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I can manage it, yes, because I like to cook, so I tend to within the options to have more healthy options. I'm not a person who eats fast food. So, in that sense it's helpful, but sometimes, for me crisps or nuts that have salt or things like that, I know it's not healthy or are empty calories, those are the more problematic things, or sweets, ice-cream or something. But I think generally it's not that strong.”</w:t>
      </w:r>
      <w:r>
        <w:rPr>
          <w:rFonts w:ascii="Times New Roman" w:eastAsia="Times New Roman" w:hAnsi="Times New Roman" w:cs="Times New Roman"/>
          <w:sz w:val="24"/>
          <w:szCs w:val="24"/>
        </w:rPr>
        <w:t xml:space="preserve"> (P165)</w:t>
      </w:r>
    </w:p>
    <w:p w14:paraId="00000A56" w14:textId="77777777" w:rsidR="00CB4215" w:rsidRDefault="00CB4215">
      <w:pPr>
        <w:widowControl w:val="0"/>
        <w:spacing w:line="240" w:lineRule="auto"/>
        <w:rPr>
          <w:rFonts w:ascii="Times New Roman" w:eastAsia="Times New Roman" w:hAnsi="Times New Roman" w:cs="Times New Roman"/>
          <w:sz w:val="24"/>
          <w:szCs w:val="24"/>
        </w:rPr>
      </w:pPr>
    </w:p>
    <w:p w14:paraId="00000A57"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“It is easy to access. I mean I guess I'm trying to be a bit better recently. I'm calorie counting so I'm trying to avoid, like, once I've had my meal. I can still have snacks if I've got calories left but it helps to try and not eat as much. I wouldn't say I really go out to the shop or anything. I am close to shops, but I wouldn't go out too late unless I really needed something. But I do have a lot of snacks in my cupboard”. </w:t>
      </w:r>
      <w:r>
        <w:rPr>
          <w:rFonts w:ascii="Times New Roman" w:eastAsia="Times New Roman" w:hAnsi="Times New Roman" w:cs="Times New Roman"/>
          <w:sz w:val="24"/>
          <w:szCs w:val="24"/>
        </w:rPr>
        <w:t>(P197)</w:t>
      </w:r>
    </w:p>
    <w:p w14:paraId="00000A58" w14:textId="77777777" w:rsidR="00CB4215" w:rsidRDefault="00CB4215">
      <w:pPr>
        <w:widowControl w:val="0"/>
        <w:spacing w:line="240" w:lineRule="auto"/>
        <w:rPr>
          <w:rFonts w:ascii="Times New Roman" w:eastAsia="Times New Roman" w:hAnsi="Times New Roman" w:cs="Times New Roman"/>
          <w:sz w:val="24"/>
          <w:szCs w:val="24"/>
        </w:rPr>
      </w:pPr>
    </w:p>
    <w:p w14:paraId="00000A59" w14:textId="77777777" w:rsidR="00CB4215" w:rsidRDefault="000530B4">
      <w:pPr>
        <w:pStyle w:val="Heading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6.6.2.3 </w:t>
      </w:r>
      <w:r>
        <w:rPr>
          <w:rFonts w:ascii="Times New Roman" w:eastAsia="Times New Roman" w:hAnsi="Times New Roman" w:cs="Times New Roman"/>
          <w:b/>
          <w:i/>
          <w:color w:val="000000"/>
          <w:sz w:val="24"/>
          <w:szCs w:val="24"/>
        </w:rPr>
        <w:t>Theme 3: Social Influences</w:t>
      </w:r>
      <w:r>
        <w:rPr>
          <w:rFonts w:ascii="Times New Roman" w:eastAsia="Times New Roman" w:hAnsi="Times New Roman" w:cs="Times New Roman"/>
          <w:b/>
          <w:color w:val="000000"/>
          <w:sz w:val="24"/>
          <w:szCs w:val="24"/>
        </w:rPr>
        <w:t xml:space="preserve"> </w:t>
      </w:r>
    </w:p>
    <w:p w14:paraId="00000A5A" w14:textId="77777777" w:rsidR="00CB4215" w:rsidRDefault="00CB4215"/>
    <w:p w14:paraId="00000A5B"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social context, particularly interactions with family and flatmates, emerged as a factor influencing evening eating patterns.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participants described scenarios where family routines led to eating meals late in the evening. A few adjusted their evening eating times to match their family’s.</w:t>
      </w:r>
    </w:p>
    <w:p w14:paraId="00000A5C"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usually wait for my husband or he'll wait for me, and we usually eat late in the evening once we've done everything that needs to be done for the day and we kind of like eat his meal and then we'll settle down.”</w:t>
      </w:r>
      <w:r>
        <w:rPr>
          <w:rFonts w:ascii="Times New Roman" w:eastAsia="Times New Roman" w:hAnsi="Times New Roman" w:cs="Times New Roman"/>
          <w:sz w:val="24"/>
          <w:szCs w:val="24"/>
        </w:rPr>
        <w:t xml:space="preserve"> (P169)</w:t>
      </w:r>
    </w:p>
    <w:p w14:paraId="00000A5D" w14:textId="77777777" w:rsidR="00CB4215" w:rsidRDefault="00CB4215">
      <w:pPr>
        <w:widowControl w:val="0"/>
        <w:spacing w:line="240" w:lineRule="auto"/>
        <w:rPr>
          <w:rFonts w:ascii="Times New Roman" w:eastAsia="Times New Roman" w:hAnsi="Times New Roman" w:cs="Times New Roman"/>
          <w:sz w:val="24"/>
          <w:szCs w:val="24"/>
        </w:rPr>
      </w:pPr>
    </w:p>
    <w:p w14:paraId="00000A5E"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Probably quite heavily. I live with my partner and he also doesn't get in from work until </w:t>
      </w:r>
      <w:proofErr w:type="gramStart"/>
      <w:r>
        <w:rPr>
          <w:rFonts w:ascii="Times New Roman" w:eastAsia="Times New Roman" w:hAnsi="Times New Roman" w:cs="Times New Roman"/>
          <w:i/>
          <w:sz w:val="24"/>
          <w:szCs w:val="24"/>
        </w:rPr>
        <w:t>later on</w:t>
      </w:r>
      <w:proofErr w:type="gramEnd"/>
      <w:r>
        <w:rPr>
          <w:rFonts w:ascii="Times New Roman" w:eastAsia="Times New Roman" w:hAnsi="Times New Roman" w:cs="Times New Roman"/>
          <w:i/>
          <w:sz w:val="24"/>
          <w:szCs w:val="24"/>
        </w:rPr>
        <w:t>. So, he probably doesn't get in until about 7 o'clock. So, that influences it quite heavily as well.</w:t>
      </w:r>
      <w:r>
        <w:rPr>
          <w:rFonts w:ascii="Times New Roman" w:eastAsia="Times New Roman" w:hAnsi="Times New Roman" w:cs="Times New Roman"/>
          <w:sz w:val="24"/>
          <w:szCs w:val="24"/>
        </w:rPr>
        <w:t>” (P105)</w:t>
      </w:r>
    </w:p>
    <w:p w14:paraId="00000A5F" w14:textId="77777777" w:rsidR="00CB4215" w:rsidRDefault="00CB4215">
      <w:pPr>
        <w:widowControl w:val="0"/>
        <w:spacing w:line="480" w:lineRule="auto"/>
        <w:rPr>
          <w:rFonts w:ascii="Calibri" w:eastAsia="Calibri" w:hAnsi="Calibri" w:cs="Calibri"/>
          <w:sz w:val="24"/>
          <w:szCs w:val="24"/>
        </w:rPr>
      </w:pPr>
    </w:p>
    <w:p w14:paraId="00000A60"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living with flatmates influenced some participants' evening meal choices. The smell of cooking food often stimulated interest in eating in the evening.</w:t>
      </w:r>
    </w:p>
    <w:p w14:paraId="00000A61"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“It's only my friends who also cook at night because they are on schedule. And they usually share it with their flatmates, so usually they ask me to get the taste of it, and because they are sometimes cooking in the evening, and I smell the food and I become interested in that food, I try it recently.”</w:t>
      </w:r>
      <w:r>
        <w:rPr>
          <w:rFonts w:ascii="Times New Roman" w:eastAsia="Times New Roman" w:hAnsi="Times New Roman" w:cs="Times New Roman"/>
          <w:sz w:val="24"/>
          <w:szCs w:val="24"/>
        </w:rPr>
        <w:t xml:space="preserve"> (P148) </w:t>
      </w:r>
    </w:p>
    <w:p w14:paraId="00000A62" w14:textId="77777777" w:rsidR="00CB4215" w:rsidRDefault="00CB4215">
      <w:pPr>
        <w:widowControl w:val="0"/>
        <w:spacing w:line="240" w:lineRule="auto"/>
        <w:rPr>
          <w:rFonts w:ascii="Times New Roman" w:eastAsia="Times New Roman" w:hAnsi="Times New Roman" w:cs="Times New Roman"/>
          <w:sz w:val="24"/>
          <w:szCs w:val="24"/>
        </w:rPr>
      </w:pPr>
    </w:p>
    <w:p w14:paraId="00000A63" w14:textId="77777777" w:rsidR="00CB4215" w:rsidRDefault="000530B4">
      <w:pPr>
        <w:pStyle w:val="Heading5"/>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lastRenderedPageBreak/>
        <w:t>6.6.2.4</w:t>
      </w:r>
      <w:r>
        <w:rPr>
          <w:rFonts w:ascii="Times New Roman" w:eastAsia="Times New Roman" w:hAnsi="Times New Roman" w:cs="Times New Roman"/>
          <w:b/>
          <w:i/>
          <w:color w:val="000000"/>
          <w:sz w:val="24"/>
          <w:szCs w:val="24"/>
        </w:rPr>
        <w:t xml:space="preserve"> Theme 4: Behavioural and emotional influences on late evening eating </w:t>
      </w:r>
    </w:p>
    <w:p w14:paraId="00000A64"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t>6.6.2.4.1</w:t>
      </w:r>
      <w:r>
        <w:rPr>
          <w:rFonts w:ascii="Times New Roman" w:eastAsia="Times New Roman" w:hAnsi="Times New Roman" w:cs="Times New Roman"/>
          <w:b/>
          <w:color w:val="000000"/>
          <w:sz w:val="24"/>
          <w:szCs w:val="24"/>
        </w:rPr>
        <w:t xml:space="preserve"> Sub-theme: Habitual evening eating schedule</w:t>
      </w:r>
    </w:p>
    <w:p w14:paraId="00000A65" w14:textId="77777777" w:rsidR="00CB4215" w:rsidRDefault="00CB4215"/>
    <w:p w14:paraId="00000A6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participants' late-night eating was deeply ingrained in their daily routines, leading to a persistent pattern of late evening consumption. Participants reported that their evening meal schedule corresponded to their daily habits and personal preferences.</w:t>
      </w:r>
    </w:p>
    <w:p w14:paraId="00000A67" w14:textId="77777777" w:rsidR="00CB4215" w:rsidRDefault="000530B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“Usually, it takes around every day. It's like it becomes a habit, so I usually have that meal around 8pm and 9pm, and the very, very last meal or snack I have maybe around 9.30. That's the last meal.” (P178)</w:t>
      </w:r>
    </w:p>
    <w:p w14:paraId="00000A68" w14:textId="77777777" w:rsidR="00CB4215" w:rsidRDefault="00CB4215">
      <w:pPr>
        <w:widowControl w:val="0"/>
        <w:spacing w:line="240" w:lineRule="auto"/>
        <w:rPr>
          <w:rFonts w:ascii="Times New Roman" w:eastAsia="Times New Roman" w:hAnsi="Times New Roman" w:cs="Times New Roman"/>
          <w:i/>
          <w:sz w:val="24"/>
          <w:szCs w:val="24"/>
        </w:rPr>
      </w:pPr>
    </w:p>
    <w:p w14:paraId="00000A69"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think it's a habit thing </w:t>
      </w:r>
      <w:proofErr w:type="gramStart"/>
      <w:r>
        <w:rPr>
          <w:rFonts w:ascii="Times New Roman" w:eastAsia="Times New Roman" w:hAnsi="Times New Roman" w:cs="Times New Roman"/>
          <w:i/>
          <w:sz w:val="24"/>
          <w:szCs w:val="24"/>
        </w:rPr>
        <w:t>and also</w:t>
      </w:r>
      <w:proofErr w:type="gramEnd"/>
      <w:r>
        <w:rPr>
          <w:rFonts w:ascii="Times New Roman" w:eastAsia="Times New Roman" w:hAnsi="Times New Roman" w:cs="Times New Roman"/>
          <w:i/>
          <w:sz w:val="24"/>
          <w:szCs w:val="24"/>
        </w:rPr>
        <w:t xml:space="preserve">, you know, when I come back from work around 6:00 I do some stuff in my home. I take care of certain things and then I cook, that takes time, and then when I finally have dinner it's later. It's usually two hours after I at least come home.” </w:t>
      </w:r>
      <w:r>
        <w:rPr>
          <w:rFonts w:ascii="Times New Roman" w:eastAsia="Times New Roman" w:hAnsi="Times New Roman" w:cs="Times New Roman"/>
          <w:sz w:val="24"/>
          <w:szCs w:val="24"/>
        </w:rPr>
        <w:t>(P165)</w:t>
      </w:r>
    </w:p>
    <w:p w14:paraId="00000A6A" w14:textId="77777777" w:rsidR="00CB4215" w:rsidRDefault="00CB4215">
      <w:pPr>
        <w:widowControl w:val="0"/>
        <w:spacing w:line="240" w:lineRule="auto"/>
        <w:rPr>
          <w:rFonts w:ascii="Times New Roman" w:eastAsia="Times New Roman" w:hAnsi="Times New Roman" w:cs="Times New Roman"/>
          <w:sz w:val="24"/>
          <w:szCs w:val="24"/>
        </w:rPr>
      </w:pPr>
    </w:p>
    <w:p w14:paraId="00000A6B"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t>6.6.2.4.2</w:t>
      </w:r>
      <w:r>
        <w:rPr>
          <w:rFonts w:ascii="Times New Roman" w:eastAsia="Times New Roman" w:hAnsi="Times New Roman" w:cs="Times New Roman"/>
          <w:b/>
          <w:color w:val="000000"/>
          <w:sz w:val="24"/>
          <w:szCs w:val="24"/>
        </w:rPr>
        <w:t xml:space="preserve"> Sub-theme: Emotion-driven late evening eating</w:t>
      </w:r>
    </w:p>
    <w:p w14:paraId="00000A6C" w14:textId="77777777" w:rsidR="00CB4215" w:rsidRDefault="00CB4215"/>
    <w:p w14:paraId="00000A6D"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participants also reported that emotional triggers influenced late evening eating. Several participants described that emotions like sadness, disappointment and anxiety can affect eating habits in the evening.</w:t>
      </w:r>
    </w:p>
    <w:p w14:paraId="00000A6E"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“I'm an emotional eater, so if I am sad about something, I would go and look for my comfort food and eat it.”</w:t>
      </w:r>
      <w:r>
        <w:rPr>
          <w:rFonts w:ascii="Times New Roman" w:eastAsia="Times New Roman" w:hAnsi="Times New Roman" w:cs="Times New Roman"/>
          <w:sz w:val="24"/>
          <w:szCs w:val="24"/>
        </w:rPr>
        <w:t xml:space="preserve"> (P180)</w:t>
      </w:r>
    </w:p>
    <w:p w14:paraId="00000A6F" w14:textId="77777777" w:rsidR="00CB4215" w:rsidRDefault="00CB4215">
      <w:pPr>
        <w:widowControl w:val="0"/>
        <w:spacing w:line="240" w:lineRule="auto"/>
        <w:rPr>
          <w:rFonts w:ascii="Times New Roman" w:eastAsia="Times New Roman" w:hAnsi="Times New Roman" w:cs="Times New Roman"/>
          <w:sz w:val="24"/>
          <w:szCs w:val="24"/>
        </w:rPr>
      </w:pPr>
    </w:p>
    <w:p w14:paraId="00000A70"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“Or if I'm feeling a bit anxious or something like that, I might get something, like I might eat more.”</w:t>
      </w:r>
      <w:r>
        <w:rPr>
          <w:rFonts w:ascii="Times New Roman" w:eastAsia="Times New Roman" w:hAnsi="Times New Roman" w:cs="Times New Roman"/>
          <w:sz w:val="24"/>
          <w:szCs w:val="24"/>
        </w:rPr>
        <w:t xml:space="preserve"> (P188)</w:t>
      </w:r>
    </w:p>
    <w:p w14:paraId="00000A71" w14:textId="77777777" w:rsidR="00CB4215" w:rsidRDefault="00CB4215">
      <w:pPr>
        <w:widowControl w:val="0"/>
        <w:spacing w:line="240" w:lineRule="auto"/>
        <w:rPr>
          <w:rFonts w:ascii="Times New Roman" w:eastAsia="Times New Roman" w:hAnsi="Times New Roman" w:cs="Times New Roman"/>
          <w:sz w:val="24"/>
          <w:szCs w:val="24"/>
        </w:rPr>
      </w:pPr>
    </w:p>
    <w:p w14:paraId="00000A72"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t>6.6.2.4.3</w:t>
      </w:r>
      <w:r>
        <w:rPr>
          <w:rFonts w:ascii="Times New Roman" w:eastAsia="Times New Roman" w:hAnsi="Times New Roman" w:cs="Times New Roman"/>
          <w:b/>
          <w:color w:val="000000"/>
          <w:sz w:val="24"/>
          <w:szCs w:val="24"/>
        </w:rPr>
        <w:t xml:space="preserve"> Sub-theme: Stress-induced late evening eating</w:t>
      </w:r>
    </w:p>
    <w:p w14:paraId="00000A73" w14:textId="77777777" w:rsidR="00CB4215" w:rsidRDefault="00CB4215"/>
    <w:p w14:paraId="00000A74"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participants also reported that increased stress levels, whether due to work or personal challenges, led them to seek the comfort of food in the evening.</w:t>
      </w:r>
    </w:p>
    <w:p w14:paraId="00000A75"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 yes, if I have any stress, it would be later in the evening because I tend to work on my dissertation to reduce the stress, to finish some remaining job or remaining task. </w:t>
      </w:r>
      <w:proofErr w:type="gramStart"/>
      <w:r>
        <w:rPr>
          <w:rFonts w:ascii="Times New Roman" w:eastAsia="Times New Roman" w:hAnsi="Times New Roman" w:cs="Times New Roman"/>
          <w:i/>
          <w:sz w:val="24"/>
          <w:szCs w:val="24"/>
        </w:rPr>
        <w:t>So</w:t>
      </w:r>
      <w:proofErr w:type="gramEnd"/>
      <w:r>
        <w:rPr>
          <w:rFonts w:ascii="Times New Roman" w:eastAsia="Times New Roman" w:hAnsi="Times New Roman" w:cs="Times New Roman"/>
          <w:i/>
          <w:sz w:val="24"/>
          <w:szCs w:val="24"/>
        </w:rPr>
        <w:t xml:space="preserve"> because of the schedule, I need to push back my evening meal, dinner schedule.” </w:t>
      </w:r>
      <w:r>
        <w:rPr>
          <w:rFonts w:ascii="Times New Roman" w:eastAsia="Times New Roman" w:hAnsi="Times New Roman" w:cs="Times New Roman"/>
          <w:sz w:val="24"/>
          <w:szCs w:val="24"/>
        </w:rPr>
        <w:t>(P148)</w:t>
      </w:r>
    </w:p>
    <w:p w14:paraId="00000A76" w14:textId="77777777" w:rsidR="00CB4215" w:rsidRDefault="00CB4215">
      <w:pPr>
        <w:widowControl w:val="0"/>
        <w:spacing w:line="240" w:lineRule="auto"/>
        <w:rPr>
          <w:rFonts w:ascii="Times New Roman" w:eastAsia="Times New Roman" w:hAnsi="Times New Roman" w:cs="Times New Roman"/>
          <w:sz w:val="24"/>
          <w:szCs w:val="24"/>
        </w:rPr>
      </w:pPr>
    </w:p>
    <w:p w14:paraId="00000A77"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I eat more; I do eat more in the evening when like I'm stressed.”</w:t>
      </w:r>
      <w:r>
        <w:rPr>
          <w:rFonts w:ascii="Times New Roman" w:eastAsia="Times New Roman" w:hAnsi="Times New Roman" w:cs="Times New Roman"/>
          <w:sz w:val="24"/>
          <w:szCs w:val="24"/>
        </w:rPr>
        <w:t xml:space="preserve"> (P188)</w:t>
      </w:r>
    </w:p>
    <w:p w14:paraId="00000A78" w14:textId="77777777" w:rsidR="00CB4215" w:rsidRDefault="00CB4215">
      <w:pPr>
        <w:widowControl w:val="0"/>
        <w:spacing w:line="240" w:lineRule="auto"/>
        <w:rPr>
          <w:rFonts w:ascii="Times New Roman" w:eastAsia="Times New Roman" w:hAnsi="Times New Roman" w:cs="Times New Roman"/>
          <w:sz w:val="24"/>
          <w:szCs w:val="24"/>
        </w:rPr>
      </w:pPr>
    </w:p>
    <w:p w14:paraId="00000A79"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“With stresses, like, I recently had a very big stress in my life about 3 weeks ago, and I noticed I was eating more as a distraction.”</w:t>
      </w:r>
      <w:r>
        <w:rPr>
          <w:rFonts w:ascii="Times New Roman" w:eastAsia="Times New Roman" w:hAnsi="Times New Roman" w:cs="Times New Roman"/>
          <w:sz w:val="24"/>
          <w:szCs w:val="24"/>
        </w:rPr>
        <w:t xml:space="preserve"> (P120)</w:t>
      </w:r>
    </w:p>
    <w:p w14:paraId="00000A7A" w14:textId="77777777" w:rsidR="00CB4215" w:rsidRDefault="00CB4215">
      <w:pPr>
        <w:widowControl w:val="0"/>
        <w:spacing w:line="240" w:lineRule="auto"/>
        <w:rPr>
          <w:rFonts w:ascii="Times New Roman" w:eastAsia="Times New Roman" w:hAnsi="Times New Roman" w:cs="Times New Roman"/>
          <w:sz w:val="24"/>
          <w:szCs w:val="24"/>
        </w:rPr>
      </w:pPr>
    </w:p>
    <w:p w14:paraId="00000A7B"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lastRenderedPageBreak/>
        <w:t>6.6.2.4.4</w:t>
      </w:r>
      <w:r>
        <w:rPr>
          <w:rFonts w:ascii="Times New Roman" w:eastAsia="Times New Roman" w:hAnsi="Times New Roman" w:cs="Times New Roman"/>
          <w:b/>
          <w:color w:val="000000"/>
          <w:sz w:val="24"/>
          <w:szCs w:val="24"/>
        </w:rPr>
        <w:t xml:space="preserve"> Sub-theme: Boredom-induced late evening eating</w:t>
      </w:r>
    </w:p>
    <w:p w14:paraId="00000A7C" w14:textId="77777777" w:rsidR="00CB4215" w:rsidRDefault="00CB4215"/>
    <w:p w14:paraId="00000A7D"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noted that when they were bored or not engaged in activities, they tended to look for food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distract themselves.</w:t>
      </w:r>
    </w:p>
    <w:p w14:paraId="00000A7E"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 I think for me personally, in the evenings, because you're more relaxed, let's just say, you know, you're at home, you're comfortable, I think partly it's boredom if I'm open and honest. </w:t>
      </w:r>
      <w:proofErr w:type="gramStart"/>
      <w:r>
        <w:rPr>
          <w:rFonts w:ascii="Times New Roman" w:eastAsia="Times New Roman" w:hAnsi="Times New Roman" w:cs="Times New Roman"/>
          <w:i/>
          <w:sz w:val="24"/>
          <w:szCs w:val="24"/>
        </w:rPr>
        <w:t>So</w:t>
      </w:r>
      <w:proofErr w:type="gramEnd"/>
      <w:r>
        <w:rPr>
          <w:rFonts w:ascii="Times New Roman" w:eastAsia="Times New Roman" w:hAnsi="Times New Roman" w:cs="Times New Roman"/>
          <w:i/>
          <w:sz w:val="24"/>
          <w:szCs w:val="24"/>
        </w:rPr>
        <w:t xml:space="preserve"> I boredom eat, I think it's a bit of a comfort thing, for myself.”</w:t>
      </w:r>
      <w:r>
        <w:rPr>
          <w:rFonts w:ascii="Times New Roman" w:eastAsia="Times New Roman" w:hAnsi="Times New Roman" w:cs="Times New Roman"/>
          <w:sz w:val="24"/>
          <w:szCs w:val="24"/>
        </w:rPr>
        <w:t xml:space="preserve"> (P120)</w:t>
      </w:r>
    </w:p>
    <w:p w14:paraId="00000A7F" w14:textId="77777777" w:rsidR="00CB4215" w:rsidRDefault="00CB4215">
      <w:pPr>
        <w:widowControl w:val="0"/>
        <w:spacing w:line="240" w:lineRule="auto"/>
        <w:rPr>
          <w:rFonts w:ascii="Times New Roman" w:eastAsia="Times New Roman" w:hAnsi="Times New Roman" w:cs="Times New Roman"/>
          <w:sz w:val="24"/>
          <w:szCs w:val="24"/>
        </w:rPr>
      </w:pPr>
    </w:p>
    <w:p w14:paraId="00000A80"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tend to be when I'm watching TV, so to be honest I think part of it is perhaps a little bit out of boredom. You know, I'm watching TV and I think it's not very good whatever I'm watching and I'm bored and I say, 'Yes, I'll get something to eat.” </w:t>
      </w:r>
      <w:r>
        <w:rPr>
          <w:rFonts w:ascii="Times New Roman" w:eastAsia="Times New Roman" w:hAnsi="Times New Roman" w:cs="Times New Roman"/>
          <w:sz w:val="24"/>
          <w:szCs w:val="24"/>
        </w:rPr>
        <w:t>(P181)</w:t>
      </w:r>
    </w:p>
    <w:p w14:paraId="00000A81" w14:textId="77777777" w:rsidR="00CB4215" w:rsidRDefault="00CB4215">
      <w:pPr>
        <w:widowControl w:val="0"/>
        <w:spacing w:line="240" w:lineRule="auto"/>
        <w:rPr>
          <w:rFonts w:ascii="Times New Roman" w:eastAsia="Times New Roman" w:hAnsi="Times New Roman" w:cs="Times New Roman"/>
          <w:sz w:val="24"/>
          <w:szCs w:val="24"/>
        </w:rPr>
      </w:pPr>
    </w:p>
    <w:p w14:paraId="00000A82"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t>6.6.2.4.5</w:t>
      </w:r>
      <w:r>
        <w:rPr>
          <w:rFonts w:ascii="Times New Roman" w:eastAsia="Times New Roman" w:hAnsi="Times New Roman" w:cs="Times New Roman"/>
          <w:b/>
          <w:color w:val="000000"/>
          <w:sz w:val="24"/>
          <w:szCs w:val="24"/>
        </w:rPr>
        <w:t xml:space="preserve"> Sub-theme: Tiredness-induced late evening eating</w:t>
      </w:r>
    </w:p>
    <w:p w14:paraId="00000A83" w14:textId="77777777" w:rsidR="00CB4215" w:rsidRDefault="00CB4215"/>
    <w:p w14:paraId="00000A84"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described the influence of fatigue on evening eating habits. Several participants reported that they were more likely to eat in the evening when they felt tired.</w:t>
      </w:r>
    </w:p>
    <w:p w14:paraId="00000A85"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“But I just obviously, yes like tiredness I think is obviously quite a, it's not really an emotion, but like the fatigue side of it, I think emotionally fatigue is exhausting. So, I do think that that comes into it quite a lot with how I'm eating.”</w:t>
      </w:r>
      <w:r>
        <w:rPr>
          <w:rFonts w:ascii="Times New Roman" w:eastAsia="Times New Roman" w:hAnsi="Times New Roman" w:cs="Times New Roman"/>
          <w:sz w:val="24"/>
          <w:szCs w:val="24"/>
        </w:rPr>
        <w:t xml:space="preserve"> (P188)</w:t>
      </w:r>
    </w:p>
    <w:p w14:paraId="00000A86" w14:textId="77777777" w:rsidR="00CB4215" w:rsidRDefault="00CB4215">
      <w:pPr>
        <w:widowControl w:val="0"/>
        <w:spacing w:line="240" w:lineRule="auto"/>
        <w:rPr>
          <w:rFonts w:ascii="Times New Roman" w:eastAsia="Times New Roman" w:hAnsi="Times New Roman" w:cs="Times New Roman"/>
          <w:sz w:val="24"/>
          <w:szCs w:val="24"/>
        </w:rPr>
      </w:pPr>
    </w:p>
    <w:p w14:paraId="00000A87" w14:textId="77777777" w:rsidR="00CB4215" w:rsidRDefault="000530B4">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b/>
          <w:i w:val="0"/>
          <w:color w:val="000000"/>
          <w:sz w:val="24"/>
          <w:szCs w:val="24"/>
        </w:rPr>
        <w:t>6.6.2.4.6</w:t>
      </w:r>
      <w:r>
        <w:rPr>
          <w:rFonts w:ascii="Times New Roman" w:eastAsia="Times New Roman" w:hAnsi="Times New Roman" w:cs="Times New Roman"/>
          <w:b/>
          <w:color w:val="000000"/>
          <w:sz w:val="24"/>
          <w:szCs w:val="24"/>
        </w:rPr>
        <w:t xml:space="preserve"> Sub-theme: Variety of feelings after late evening eating</w:t>
      </w:r>
    </w:p>
    <w:p w14:paraId="00000A88" w14:textId="77777777" w:rsidR="00CB4215" w:rsidRDefault="00CB4215"/>
    <w:p w14:paraId="00000A89"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participants expressed different feelings after eating late in the evening. Some participants felt guilty, recognising the potential health implications of eating close to bedtime. Others, however, associated eating late at night with a feeling of satisfaction and contentment.</w:t>
      </w:r>
    </w:p>
    <w:p w14:paraId="00000A8A"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feel quite guilty because I know for a fact that eating late at night is not good, especially around when I'll sleep, but there's no other way I can do it.”</w:t>
      </w:r>
      <w:r>
        <w:rPr>
          <w:rFonts w:ascii="Times New Roman" w:eastAsia="Times New Roman" w:hAnsi="Times New Roman" w:cs="Times New Roman"/>
          <w:sz w:val="24"/>
          <w:szCs w:val="24"/>
        </w:rPr>
        <w:t xml:space="preserve"> (P124)</w:t>
      </w:r>
    </w:p>
    <w:p w14:paraId="00000A8B" w14:textId="77777777" w:rsidR="00CB4215" w:rsidRDefault="00CB4215">
      <w:pPr>
        <w:widowControl w:val="0"/>
        <w:spacing w:line="240" w:lineRule="auto"/>
        <w:rPr>
          <w:rFonts w:ascii="Times New Roman" w:eastAsia="Times New Roman" w:hAnsi="Times New Roman" w:cs="Times New Roman"/>
          <w:sz w:val="24"/>
          <w:szCs w:val="24"/>
        </w:rPr>
      </w:pPr>
    </w:p>
    <w:p w14:paraId="00000A8C"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“Most of the time I feel good, especially when you have your favourite meal. Like, I really like to get a cup of noodles like instant noodles, anything like that, and when you have that in the evening it's very, very delicious and defining for me, so yes it's really nice to have that.”</w:t>
      </w:r>
      <w:r>
        <w:rPr>
          <w:rFonts w:ascii="Times New Roman" w:eastAsia="Times New Roman" w:hAnsi="Times New Roman" w:cs="Times New Roman"/>
          <w:sz w:val="24"/>
          <w:szCs w:val="24"/>
        </w:rPr>
        <w:t xml:space="preserve"> (P178)</w:t>
      </w:r>
    </w:p>
    <w:p w14:paraId="00000A8D" w14:textId="77777777" w:rsidR="00CB4215" w:rsidRDefault="00CB4215">
      <w:pPr>
        <w:widowControl w:val="0"/>
        <w:spacing w:line="240" w:lineRule="auto"/>
        <w:rPr>
          <w:rFonts w:ascii="Times New Roman" w:eastAsia="Times New Roman" w:hAnsi="Times New Roman" w:cs="Times New Roman"/>
          <w:sz w:val="24"/>
          <w:szCs w:val="24"/>
        </w:rPr>
      </w:pPr>
    </w:p>
    <w:p w14:paraId="7CBF1214" w14:textId="0A194C9F" w:rsidR="00713C6E" w:rsidRDefault="000530B4" w:rsidP="00713C6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need that food not only to make my stomach full but to make me more relaxed</w:t>
      </w:r>
      <w:r w:rsidR="00713C6E">
        <w:rPr>
          <w:rFonts w:ascii="Times New Roman" w:eastAsia="Times New Roman" w:hAnsi="Times New Roman" w:cs="Times New Roman"/>
          <w:i/>
          <w:sz w:val="24"/>
          <w:szCs w:val="24"/>
        </w:rPr>
        <w:t>.”</w:t>
      </w:r>
      <w:r w:rsidR="00713C6E">
        <w:rPr>
          <w:rFonts w:ascii="Times New Roman" w:eastAsia="Times New Roman" w:hAnsi="Times New Roman" w:cs="Times New Roman"/>
          <w:sz w:val="24"/>
          <w:szCs w:val="24"/>
        </w:rPr>
        <w:t xml:space="preserve"> (P148)</w:t>
      </w:r>
    </w:p>
    <w:p w14:paraId="00000A8E" w14:textId="49257457" w:rsidR="00CB4215" w:rsidRDefault="00CB4215">
      <w:pPr>
        <w:widowControl w:val="0"/>
        <w:spacing w:line="240" w:lineRule="auto"/>
        <w:rPr>
          <w:rFonts w:ascii="Times New Roman" w:eastAsia="Times New Roman" w:hAnsi="Times New Roman" w:cs="Times New Roman"/>
          <w:sz w:val="24"/>
          <w:szCs w:val="24"/>
        </w:rPr>
        <w:sectPr w:rsidR="00CB4215">
          <w:headerReference w:type="default" r:id="rId683"/>
          <w:pgSz w:w="11909" w:h="16834"/>
          <w:pgMar w:top="1440" w:right="1440" w:bottom="1440" w:left="1440" w:header="720" w:footer="720" w:gutter="0"/>
          <w:cols w:space="720"/>
        </w:sectPr>
      </w:pPr>
    </w:p>
    <w:p w14:paraId="00000A8F"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117" w:name="_heading=h.zu0gcz" w:colFirst="0" w:colLast="0"/>
      <w:bookmarkEnd w:id="117"/>
      <w:r w:rsidRPr="00D03B56">
        <w:rPr>
          <w:rFonts w:ascii="Times New Roman" w:eastAsia="Times New Roman" w:hAnsi="Times New Roman" w:cs="Times New Roman"/>
          <w:i/>
          <w:color w:val="000000"/>
          <w:sz w:val="20"/>
          <w:szCs w:val="20"/>
        </w:rPr>
        <w:lastRenderedPageBreak/>
        <w:t xml:space="preserve">Table 6.2. </w:t>
      </w:r>
      <w:r w:rsidRPr="00D03B56">
        <w:rPr>
          <w:rFonts w:ascii="Times New Roman" w:eastAsia="Times New Roman" w:hAnsi="Times New Roman" w:cs="Times New Roman"/>
          <w:color w:val="000000"/>
          <w:sz w:val="20"/>
          <w:szCs w:val="20"/>
        </w:rPr>
        <w:t>Themes, sub-themes and example quotes of factors contributing to late evening eating.</w:t>
      </w:r>
    </w:p>
    <w:tbl>
      <w:tblPr>
        <w:tblStyle w:val="af2"/>
        <w:tblW w:w="13892" w:type="dxa"/>
        <w:tblBorders>
          <w:insideH w:val="nil"/>
          <w:insideV w:val="nil"/>
        </w:tblBorders>
        <w:tblLayout w:type="fixed"/>
        <w:tblLook w:val="0600" w:firstRow="0" w:lastRow="0" w:firstColumn="0" w:lastColumn="0" w:noHBand="1" w:noVBand="1"/>
      </w:tblPr>
      <w:tblGrid>
        <w:gridCol w:w="2129"/>
        <w:gridCol w:w="2833"/>
        <w:gridCol w:w="8930"/>
      </w:tblGrid>
      <w:tr w:rsidR="00CB4215" w14:paraId="04EB3404" w14:textId="77777777">
        <w:trPr>
          <w:trHeight w:val="345"/>
        </w:trPr>
        <w:tc>
          <w:tcPr>
            <w:tcW w:w="2129" w:type="dxa"/>
            <w:tcBorders>
              <w:top w:val="single" w:sz="8" w:space="0" w:color="000000"/>
              <w:left w:val="nil"/>
              <w:bottom w:val="single" w:sz="8" w:space="0" w:color="000000"/>
              <w:right w:val="nil"/>
            </w:tcBorders>
            <w:tcMar>
              <w:top w:w="100" w:type="dxa"/>
              <w:left w:w="100" w:type="dxa"/>
              <w:bottom w:w="100" w:type="dxa"/>
              <w:right w:w="100" w:type="dxa"/>
            </w:tcMar>
          </w:tcPr>
          <w:p w14:paraId="00000A90"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Themes</w:t>
            </w:r>
          </w:p>
        </w:tc>
        <w:tc>
          <w:tcPr>
            <w:tcW w:w="2833" w:type="dxa"/>
            <w:tcBorders>
              <w:top w:val="single" w:sz="8" w:space="0" w:color="000000"/>
              <w:left w:val="nil"/>
              <w:bottom w:val="single" w:sz="8" w:space="0" w:color="000000"/>
              <w:right w:val="nil"/>
            </w:tcBorders>
            <w:tcMar>
              <w:top w:w="100" w:type="dxa"/>
              <w:left w:w="100" w:type="dxa"/>
              <w:bottom w:w="100" w:type="dxa"/>
              <w:right w:w="100" w:type="dxa"/>
            </w:tcMar>
          </w:tcPr>
          <w:p w14:paraId="00000A91"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Sub-themes</w:t>
            </w:r>
          </w:p>
        </w:tc>
        <w:tc>
          <w:tcPr>
            <w:tcW w:w="8930" w:type="dxa"/>
            <w:tcBorders>
              <w:top w:val="single" w:sz="8" w:space="0" w:color="000000"/>
              <w:left w:val="nil"/>
              <w:bottom w:val="single" w:sz="8" w:space="0" w:color="000000"/>
              <w:right w:val="nil"/>
            </w:tcBorders>
            <w:tcMar>
              <w:top w:w="100" w:type="dxa"/>
              <w:left w:w="100" w:type="dxa"/>
              <w:bottom w:w="100" w:type="dxa"/>
              <w:right w:w="100" w:type="dxa"/>
            </w:tcMar>
          </w:tcPr>
          <w:p w14:paraId="00000A92"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Example quotes</w:t>
            </w:r>
          </w:p>
        </w:tc>
      </w:tr>
      <w:tr w:rsidR="00CB4215" w14:paraId="4E373A85" w14:textId="77777777">
        <w:trPr>
          <w:trHeight w:val="163"/>
        </w:trPr>
        <w:tc>
          <w:tcPr>
            <w:tcW w:w="2129" w:type="dxa"/>
            <w:tcBorders>
              <w:top w:val="single" w:sz="8" w:space="0" w:color="000000"/>
              <w:left w:val="nil"/>
              <w:bottom w:val="nil"/>
              <w:right w:val="nil"/>
            </w:tcBorders>
            <w:tcMar>
              <w:top w:w="100" w:type="dxa"/>
              <w:left w:w="100" w:type="dxa"/>
              <w:bottom w:w="100" w:type="dxa"/>
              <w:right w:w="100" w:type="dxa"/>
            </w:tcMar>
          </w:tcPr>
          <w:p w14:paraId="00000A93"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Internal signals influencing late evening eating</w:t>
            </w:r>
          </w:p>
        </w:tc>
        <w:tc>
          <w:tcPr>
            <w:tcW w:w="2833" w:type="dxa"/>
            <w:tcBorders>
              <w:top w:val="single" w:sz="8" w:space="0" w:color="000000"/>
              <w:left w:val="nil"/>
              <w:bottom w:val="nil"/>
              <w:right w:val="nil"/>
            </w:tcBorders>
            <w:tcMar>
              <w:top w:w="100" w:type="dxa"/>
              <w:left w:w="100" w:type="dxa"/>
              <w:bottom w:w="100" w:type="dxa"/>
              <w:right w:w="100" w:type="dxa"/>
            </w:tcMar>
          </w:tcPr>
          <w:p w14:paraId="00000A94"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rPr>
              <w:t>Physiological triggers for late evening eating</w:t>
            </w:r>
          </w:p>
        </w:tc>
        <w:tc>
          <w:tcPr>
            <w:tcW w:w="8930" w:type="dxa"/>
            <w:tcBorders>
              <w:top w:val="single" w:sz="8" w:space="0" w:color="000000"/>
              <w:left w:val="nil"/>
              <w:bottom w:val="nil"/>
              <w:right w:val="nil"/>
            </w:tcBorders>
            <w:tcMar>
              <w:top w:w="100" w:type="dxa"/>
              <w:left w:w="100" w:type="dxa"/>
              <w:bottom w:w="100" w:type="dxa"/>
              <w:right w:w="100" w:type="dxa"/>
            </w:tcMar>
          </w:tcPr>
          <w:p w14:paraId="00000A95"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 xml:space="preserve">And because I'm hungry the food is so </w:t>
            </w:r>
            <w:proofErr w:type="gramStart"/>
            <w:r w:rsidRPr="00991698">
              <w:rPr>
                <w:rFonts w:ascii="Times New Roman" w:eastAsia="Times New Roman" w:hAnsi="Times New Roman" w:cs="Times New Roman"/>
                <w:i/>
              </w:rPr>
              <w:t>late</w:t>
            </w:r>
            <w:proofErr w:type="gramEnd"/>
            <w:r w:rsidRPr="00991698">
              <w:rPr>
                <w:rFonts w:ascii="Times New Roman" w:eastAsia="Times New Roman" w:hAnsi="Times New Roman" w:cs="Times New Roman"/>
                <w:i/>
              </w:rPr>
              <w:t xml:space="preserve"> I will eat something because your body needs something to be going</w:t>
            </w:r>
            <w:r w:rsidRPr="00991698">
              <w:rPr>
                <w:rFonts w:ascii="Times New Roman" w:eastAsia="Times New Roman" w:hAnsi="Times New Roman" w:cs="Times New Roman"/>
              </w:rPr>
              <w:t>.” (P180)</w:t>
            </w:r>
          </w:p>
          <w:p w14:paraId="00000A96"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rPr>
              <w:t>“</w:t>
            </w:r>
            <w:r w:rsidRPr="00991698">
              <w:rPr>
                <w:rFonts w:ascii="Times New Roman" w:eastAsia="Times New Roman" w:hAnsi="Times New Roman" w:cs="Times New Roman"/>
                <w:i/>
              </w:rPr>
              <w:t>I'm hungry quite a lot in the evening to be honest. That's why I probably snack as well because I still feel hungry later.</w:t>
            </w:r>
            <w:r w:rsidRPr="00991698">
              <w:rPr>
                <w:rFonts w:ascii="Times New Roman" w:eastAsia="Times New Roman" w:hAnsi="Times New Roman" w:cs="Times New Roman"/>
              </w:rPr>
              <w:t>” (P197)</w:t>
            </w:r>
          </w:p>
        </w:tc>
      </w:tr>
      <w:tr w:rsidR="00CB4215" w14:paraId="37CCDB94" w14:textId="77777777">
        <w:trPr>
          <w:trHeight w:val="740"/>
        </w:trPr>
        <w:tc>
          <w:tcPr>
            <w:tcW w:w="2129" w:type="dxa"/>
            <w:tcBorders>
              <w:top w:val="nil"/>
              <w:left w:val="nil"/>
              <w:bottom w:val="nil"/>
              <w:right w:val="nil"/>
            </w:tcBorders>
            <w:tcMar>
              <w:top w:w="100" w:type="dxa"/>
              <w:left w:w="100" w:type="dxa"/>
              <w:bottom w:w="100" w:type="dxa"/>
              <w:right w:w="100" w:type="dxa"/>
            </w:tcMar>
          </w:tcPr>
          <w:p w14:paraId="00000A97"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External and situational drivers of late evening eating</w:t>
            </w:r>
          </w:p>
        </w:tc>
        <w:tc>
          <w:tcPr>
            <w:tcW w:w="2833" w:type="dxa"/>
            <w:tcBorders>
              <w:top w:val="nil"/>
              <w:left w:val="nil"/>
              <w:bottom w:val="nil"/>
              <w:right w:val="nil"/>
            </w:tcBorders>
            <w:tcMar>
              <w:top w:w="100" w:type="dxa"/>
              <w:left w:w="100" w:type="dxa"/>
              <w:bottom w:w="100" w:type="dxa"/>
              <w:right w:w="100" w:type="dxa"/>
            </w:tcMar>
          </w:tcPr>
          <w:p w14:paraId="00000A98"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Evening time constraints</w:t>
            </w:r>
          </w:p>
        </w:tc>
        <w:tc>
          <w:tcPr>
            <w:tcW w:w="8930" w:type="dxa"/>
            <w:tcBorders>
              <w:top w:val="nil"/>
              <w:left w:val="nil"/>
              <w:bottom w:val="nil"/>
              <w:right w:val="nil"/>
            </w:tcBorders>
            <w:tcMar>
              <w:top w:w="100" w:type="dxa"/>
              <w:left w:w="100" w:type="dxa"/>
              <w:bottom w:w="100" w:type="dxa"/>
              <w:right w:w="100" w:type="dxa"/>
            </w:tcMar>
          </w:tcPr>
          <w:p w14:paraId="00000A99"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Our meals take 1 to 2 hours to cook, it's not like a fast cooking, you have to make things, you have to chop, cut and everything which is time consuming</w:t>
            </w:r>
            <w:proofErr w:type="gramStart"/>
            <w:r w:rsidRPr="00991698">
              <w:rPr>
                <w:rFonts w:ascii="Times New Roman" w:eastAsia="Times New Roman" w:hAnsi="Times New Roman" w:cs="Times New Roman"/>
              </w:rPr>
              <w:t>.”(</w:t>
            </w:r>
            <w:proofErr w:type="gramEnd"/>
            <w:r w:rsidRPr="00991698">
              <w:rPr>
                <w:rFonts w:ascii="Times New Roman" w:eastAsia="Times New Roman" w:hAnsi="Times New Roman" w:cs="Times New Roman"/>
              </w:rPr>
              <w:t>P180)</w:t>
            </w:r>
          </w:p>
          <w:p w14:paraId="00000A9A"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Trying to cook from scratch, also, pushes me back, rather than eating convenience food</w:t>
            </w:r>
            <w:r w:rsidRPr="00991698">
              <w:rPr>
                <w:rFonts w:ascii="Times New Roman" w:eastAsia="Times New Roman" w:hAnsi="Times New Roman" w:cs="Times New Roman"/>
              </w:rPr>
              <w:t>.” (P105)</w:t>
            </w:r>
          </w:p>
        </w:tc>
      </w:tr>
      <w:tr w:rsidR="00CB4215" w14:paraId="49109FBF"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9B"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nil"/>
              <w:right w:val="nil"/>
            </w:tcBorders>
            <w:tcMar>
              <w:top w:w="100" w:type="dxa"/>
              <w:left w:w="100" w:type="dxa"/>
              <w:bottom w:w="100" w:type="dxa"/>
              <w:right w:w="100" w:type="dxa"/>
            </w:tcMar>
          </w:tcPr>
          <w:p w14:paraId="00000A9C"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Work-related late evening eating patterns</w:t>
            </w:r>
          </w:p>
        </w:tc>
        <w:tc>
          <w:tcPr>
            <w:tcW w:w="8930" w:type="dxa"/>
            <w:tcBorders>
              <w:top w:val="nil"/>
              <w:left w:val="nil"/>
              <w:bottom w:val="nil"/>
              <w:right w:val="nil"/>
            </w:tcBorders>
            <w:tcMar>
              <w:top w:w="100" w:type="dxa"/>
              <w:left w:w="100" w:type="dxa"/>
              <w:bottom w:w="100" w:type="dxa"/>
              <w:right w:w="100" w:type="dxa"/>
            </w:tcMar>
          </w:tcPr>
          <w:p w14:paraId="00000A9D"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Working. I work in a different city, so I don't get home until late. So, that pushes me back to eat late. It's mainly the working factor because I work quite late.</w:t>
            </w:r>
            <w:r w:rsidRPr="00991698">
              <w:rPr>
                <w:rFonts w:ascii="Times New Roman" w:eastAsia="Times New Roman" w:hAnsi="Times New Roman" w:cs="Times New Roman"/>
              </w:rPr>
              <w:t>” (P105)</w:t>
            </w:r>
          </w:p>
          <w:p w14:paraId="00000A9E"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Work mainly. Because I don't get in until later.</w:t>
            </w:r>
            <w:r w:rsidRPr="00991698">
              <w:rPr>
                <w:rFonts w:ascii="Times New Roman" w:eastAsia="Times New Roman" w:hAnsi="Times New Roman" w:cs="Times New Roman"/>
              </w:rPr>
              <w:t>” (P180)</w:t>
            </w:r>
          </w:p>
        </w:tc>
      </w:tr>
      <w:tr w:rsidR="00CB4215" w14:paraId="1DCD3A35"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9F" w14:textId="77777777" w:rsidR="00CB4215" w:rsidRPr="00991698" w:rsidRDefault="00CB4215">
            <w:pPr>
              <w:widowControl w:val="0"/>
              <w:spacing w:line="240" w:lineRule="auto"/>
              <w:rPr>
                <w:rFonts w:ascii="Times New Roman" w:eastAsia="Times New Roman" w:hAnsi="Times New Roman" w:cs="Times New Roman"/>
              </w:rPr>
            </w:pPr>
          </w:p>
          <w:p w14:paraId="00000AA0"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nil"/>
              <w:right w:val="nil"/>
            </w:tcBorders>
            <w:tcMar>
              <w:top w:w="100" w:type="dxa"/>
              <w:left w:w="100" w:type="dxa"/>
              <w:bottom w:w="100" w:type="dxa"/>
              <w:right w:w="100" w:type="dxa"/>
            </w:tcMar>
          </w:tcPr>
          <w:p w14:paraId="00000AA1"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Seasonal impact on evening eating</w:t>
            </w:r>
          </w:p>
        </w:tc>
        <w:tc>
          <w:tcPr>
            <w:tcW w:w="8930" w:type="dxa"/>
            <w:tcBorders>
              <w:top w:val="nil"/>
              <w:left w:val="nil"/>
              <w:bottom w:val="nil"/>
              <w:right w:val="nil"/>
            </w:tcBorders>
            <w:tcMar>
              <w:top w:w="100" w:type="dxa"/>
              <w:left w:w="100" w:type="dxa"/>
              <w:bottom w:w="100" w:type="dxa"/>
              <w:right w:w="100" w:type="dxa"/>
            </w:tcMar>
          </w:tcPr>
          <w:p w14:paraId="00000AA2"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It depends on the time of the year, I tend to have dinner when the sun is set, so, I don't tend to have dinner with the sunlight. So, in winter it's usually around 7:00 or 6:00 earliest, but usually, you know, in the summer or spring it's usually after 8:00/9:00</w:t>
            </w:r>
            <w:r w:rsidRPr="00991698">
              <w:rPr>
                <w:rFonts w:ascii="Times New Roman" w:eastAsia="Times New Roman" w:hAnsi="Times New Roman" w:cs="Times New Roman"/>
              </w:rPr>
              <w:t>.” (P165)</w:t>
            </w:r>
          </w:p>
          <w:p w14:paraId="00000AA3"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Maybe because especially in the summer the sunset is very late, other than the winter or autumn or spring, so it makes my food behaviour change also</w:t>
            </w:r>
            <w:r w:rsidRPr="00991698">
              <w:rPr>
                <w:rFonts w:ascii="Times New Roman" w:eastAsia="Times New Roman" w:hAnsi="Times New Roman" w:cs="Times New Roman"/>
              </w:rPr>
              <w:t>.” (P171)</w:t>
            </w:r>
          </w:p>
        </w:tc>
      </w:tr>
      <w:tr w:rsidR="00CB4215" w14:paraId="653EB23B"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A4"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nil"/>
              <w:right w:val="nil"/>
            </w:tcBorders>
            <w:tcMar>
              <w:top w:w="100" w:type="dxa"/>
              <w:left w:w="100" w:type="dxa"/>
              <w:bottom w:w="100" w:type="dxa"/>
              <w:right w:w="100" w:type="dxa"/>
            </w:tcMar>
          </w:tcPr>
          <w:p w14:paraId="00000AA5"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Travel contexts influencing evening eating flexibility</w:t>
            </w:r>
          </w:p>
        </w:tc>
        <w:tc>
          <w:tcPr>
            <w:tcW w:w="8930" w:type="dxa"/>
            <w:tcBorders>
              <w:top w:val="nil"/>
              <w:left w:val="nil"/>
              <w:bottom w:val="nil"/>
              <w:right w:val="nil"/>
            </w:tcBorders>
            <w:tcMar>
              <w:top w:w="100" w:type="dxa"/>
              <w:left w:w="100" w:type="dxa"/>
              <w:bottom w:w="100" w:type="dxa"/>
              <w:right w:w="100" w:type="dxa"/>
            </w:tcMar>
          </w:tcPr>
          <w:p w14:paraId="00000AA6"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Or if I'm on holiday I might eat earlier.</w:t>
            </w:r>
            <w:r w:rsidRPr="00991698">
              <w:rPr>
                <w:rFonts w:ascii="Times New Roman" w:eastAsia="Times New Roman" w:hAnsi="Times New Roman" w:cs="Times New Roman"/>
              </w:rPr>
              <w:t>” (P197)</w:t>
            </w:r>
          </w:p>
          <w:p w14:paraId="00000AA7"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So, during travelling I usually skip eating the evening meal. But, at home I will take it even though it's late.</w:t>
            </w:r>
            <w:r w:rsidRPr="00991698">
              <w:rPr>
                <w:rFonts w:ascii="Times New Roman" w:eastAsia="Times New Roman" w:hAnsi="Times New Roman" w:cs="Times New Roman"/>
              </w:rPr>
              <w:t>” (P148)</w:t>
            </w:r>
          </w:p>
        </w:tc>
      </w:tr>
      <w:tr w:rsidR="00CB4215" w14:paraId="31487D5E"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A8" w14:textId="77777777" w:rsidR="00CB4215" w:rsidRPr="00991698" w:rsidRDefault="00CB4215">
            <w:pPr>
              <w:widowControl w:val="0"/>
              <w:spacing w:line="240" w:lineRule="auto"/>
              <w:rPr>
                <w:rFonts w:ascii="Times New Roman" w:eastAsia="Times New Roman" w:hAnsi="Times New Roman" w:cs="Times New Roman"/>
              </w:rPr>
            </w:pPr>
          </w:p>
          <w:p w14:paraId="00000AA9"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nil"/>
              <w:right w:val="nil"/>
            </w:tcBorders>
            <w:tcMar>
              <w:top w:w="100" w:type="dxa"/>
              <w:left w:w="100" w:type="dxa"/>
              <w:bottom w:w="100" w:type="dxa"/>
              <w:right w:w="100" w:type="dxa"/>
            </w:tcMar>
          </w:tcPr>
          <w:p w14:paraId="00000AAA"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Challenge resisting tempting food due to easy access</w:t>
            </w:r>
          </w:p>
        </w:tc>
        <w:tc>
          <w:tcPr>
            <w:tcW w:w="8930" w:type="dxa"/>
            <w:tcBorders>
              <w:top w:val="nil"/>
              <w:left w:val="nil"/>
              <w:bottom w:val="nil"/>
              <w:right w:val="nil"/>
            </w:tcBorders>
            <w:tcMar>
              <w:top w:w="100" w:type="dxa"/>
              <w:left w:w="100" w:type="dxa"/>
              <w:bottom w:w="100" w:type="dxa"/>
              <w:right w:w="100" w:type="dxa"/>
            </w:tcMar>
          </w:tcPr>
          <w:p w14:paraId="00000AAB" w14:textId="765E206C"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Yes, I definitely easily get tempted by food</w:t>
            </w:r>
            <w:r w:rsidRPr="00991698">
              <w:rPr>
                <w:rFonts w:ascii="Times New Roman" w:eastAsia="Times New Roman" w:hAnsi="Times New Roman" w:cs="Times New Roman"/>
              </w:rPr>
              <w:t>.” (</w:t>
            </w:r>
            <w:r w:rsidR="00AC014F">
              <w:rPr>
                <w:rFonts w:ascii="Times New Roman" w:eastAsia="Times New Roman" w:hAnsi="Times New Roman" w:cs="Times New Roman"/>
              </w:rPr>
              <w:t>P</w:t>
            </w:r>
            <w:r w:rsidRPr="00991698">
              <w:rPr>
                <w:rFonts w:ascii="Times New Roman" w:eastAsia="Times New Roman" w:hAnsi="Times New Roman" w:cs="Times New Roman"/>
              </w:rPr>
              <w:t>120)</w:t>
            </w:r>
          </w:p>
          <w:p w14:paraId="00000AAC"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There's a shop outside my daughter's school, so if I am hungry, I will nip into the shop before I pick her up and buy a snack. Just because the shops there. If there wasn't a shop there, I probably wouldn't.</w:t>
            </w:r>
            <w:r w:rsidRPr="00991698">
              <w:rPr>
                <w:rFonts w:ascii="Times New Roman" w:eastAsia="Times New Roman" w:hAnsi="Times New Roman" w:cs="Times New Roman"/>
              </w:rPr>
              <w:t>” (P169)</w:t>
            </w:r>
          </w:p>
          <w:p w14:paraId="00000AAD"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i/>
              </w:rPr>
              <w:t>“We eat 1 Kit Kat or something you know and if there's a, we always stock up things at home, so there is a little pantry of biscuits, cakes and all those things. And because they are there it's difficult for me to resist.”</w:t>
            </w:r>
            <w:r w:rsidRPr="00991698">
              <w:rPr>
                <w:rFonts w:ascii="Times New Roman" w:eastAsia="Times New Roman" w:hAnsi="Times New Roman" w:cs="Times New Roman"/>
              </w:rPr>
              <w:t xml:space="preserve"> (P180)</w:t>
            </w:r>
          </w:p>
        </w:tc>
      </w:tr>
      <w:tr w:rsidR="00CB4215" w14:paraId="44FE4342"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AE"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nil"/>
              <w:right w:val="nil"/>
            </w:tcBorders>
            <w:tcMar>
              <w:top w:w="100" w:type="dxa"/>
              <w:left w:w="100" w:type="dxa"/>
              <w:bottom w:w="100" w:type="dxa"/>
              <w:right w:w="100" w:type="dxa"/>
            </w:tcMar>
          </w:tcPr>
          <w:p w14:paraId="00000AAF"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Proximity-driven temptation management</w:t>
            </w:r>
          </w:p>
        </w:tc>
        <w:tc>
          <w:tcPr>
            <w:tcW w:w="8930" w:type="dxa"/>
            <w:tcBorders>
              <w:top w:val="nil"/>
              <w:left w:val="nil"/>
              <w:bottom w:val="nil"/>
              <w:right w:val="nil"/>
            </w:tcBorders>
            <w:tcMar>
              <w:top w:w="100" w:type="dxa"/>
              <w:left w:w="100" w:type="dxa"/>
              <w:bottom w:w="100" w:type="dxa"/>
              <w:right w:w="100" w:type="dxa"/>
            </w:tcMar>
          </w:tcPr>
          <w:p w14:paraId="00000AB0"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 xml:space="preserve">It is easy to access. I mean I guess I'm trying to be a bit better recently. I'm calorie counting so I'm trying to avoid </w:t>
            </w:r>
            <w:proofErr w:type="gramStart"/>
            <w:r w:rsidRPr="00991698">
              <w:rPr>
                <w:rFonts w:ascii="Times New Roman" w:eastAsia="Times New Roman" w:hAnsi="Times New Roman" w:cs="Times New Roman"/>
                <w:i/>
              </w:rPr>
              <w:t>it, once</w:t>
            </w:r>
            <w:proofErr w:type="gramEnd"/>
            <w:r w:rsidRPr="00991698">
              <w:rPr>
                <w:rFonts w:ascii="Times New Roman" w:eastAsia="Times New Roman" w:hAnsi="Times New Roman" w:cs="Times New Roman"/>
                <w:i/>
              </w:rPr>
              <w:t xml:space="preserve"> I've had my meal. I can still have snacks if I've got calories left but it helps to try and not eat as much</w:t>
            </w:r>
            <w:r w:rsidRPr="00991698">
              <w:rPr>
                <w:rFonts w:ascii="Times New Roman" w:eastAsia="Times New Roman" w:hAnsi="Times New Roman" w:cs="Times New Roman"/>
              </w:rPr>
              <w:t>.” (P197)</w:t>
            </w:r>
          </w:p>
          <w:p w14:paraId="00000AB1"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But I don't always let myself eat it</w:t>
            </w:r>
            <w:r w:rsidRPr="00991698">
              <w:rPr>
                <w:rFonts w:ascii="Times New Roman" w:eastAsia="Times New Roman" w:hAnsi="Times New Roman" w:cs="Times New Roman"/>
              </w:rPr>
              <w:t>.” (P105)</w:t>
            </w:r>
          </w:p>
        </w:tc>
      </w:tr>
      <w:tr w:rsidR="00CB4215" w14:paraId="69671916" w14:textId="77777777">
        <w:trPr>
          <w:trHeight w:val="375"/>
        </w:trPr>
        <w:tc>
          <w:tcPr>
            <w:tcW w:w="2129" w:type="dxa"/>
            <w:tcBorders>
              <w:top w:val="nil"/>
              <w:left w:val="nil"/>
              <w:bottom w:val="nil"/>
              <w:right w:val="nil"/>
            </w:tcBorders>
            <w:tcMar>
              <w:top w:w="100" w:type="dxa"/>
              <w:left w:w="100" w:type="dxa"/>
              <w:bottom w:w="100" w:type="dxa"/>
              <w:right w:w="100" w:type="dxa"/>
            </w:tcMar>
          </w:tcPr>
          <w:p w14:paraId="00000AB2"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Social influences</w:t>
            </w:r>
          </w:p>
        </w:tc>
        <w:tc>
          <w:tcPr>
            <w:tcW w:w="2833" w:type="dxa"/>
            <w:tcBorders>
              <w:top w:val="nil"/>
              <w:left w:val="nil"/>
              <w:bottom w:val="nil"/>
              <w:right w:val="nil"/>
            </w:tcBorders>
            <w:tcMar>
              <w:top w:w="100" w:type="dxa"/>
              <w:left w:w="100" w:type="dxa"/>
              <w:bottom w:w="100" w:type="dxa"/>
              <w:right w:w="100" w:type="dxa"/>
            </w:tcMar>
          </w:tcPr>
          <w:p w14:paraId="00000AB3"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rPr>
              <w:t>Impact of the family on late evening eating</w:t>
            </w:r>
          </w:p>
        </w:tc>
        <w:tc>
          <w:tcPr>
            <w:tcW w:w="8930" w:type="dxa"/>
            <w:tcBorders>
              <w:top w:val="nil"/>
              <w:left w:val="nil"/>
              <w:bottom w:val="nil"/>
              <w:right w:val="nil"/>
            </w:tcBorders>
            <w:tcMar>
              <w:top w:w="100" w:type="dxa"/>
              <w:left w:w="100" w:type="dxa"/>
              <w:bottom w:w="100" w:type="dxa"/>
              <w:right w:w="100" w:type="dxa"/>
            </w:tcMar>
          </w:tcPr>
          <w:p w14:paraId="00000AB4"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 xml:space="preserve">Yes, because we </w:t>
            </w:r>
            <w:proofErr w:type="gramStart"/>
            <w:r w:rsidRPr="00991698">
              <w:rPr>
                <w:rFonts w:ascii="Times New Roman" w:eastAsia="Times New Roman" w:hAnsi="Times New Roman" w:cs="Times New Roman"/>
                <w:i/>
              </w:rPr>
              <w:t>have to</w:t>
            </w:r>
            <w:proofErr w:type="gramEnd"/>
            <w:r w:rsidRPr="00991698">
              <w:rPr>
                <w:rFonts w:ascii="Times New Roman" w:eastAsia="Times New Roman" w:hAnsi="Times New Roman" w:cs="Times New Roman"/>
                <w:i/>
              </w:rPr>
              <w:t xml:space="preserve"> cook for everyone then this makes us have to cook, just not, like, me, I can decide to have anything and just have dinner because of family. I </w:t>
            </w:r>
            <w:proofErr w:type="gramStart"/>
            <w:r w:rsidRPr="00991698">
              <w:rPr>
                <w:rFonts w:ascii="Times New Roman" w:eastAsia="Times New Roman" w:hAnsi="Times New Roman" w:cs="Times New Roman"/>
                <w:i/>
              </w:rPr>
              <w:t>have to</w:t>
            </w:r>
            <w:proofErr w:type="gramEnd"/>
            <w:r w:rsidRPr="00991698">
              <w:rPr>
                <w:rFonts w:ascii="Times New Roman" w:eastAsia="Times New Roman" w:hAnsi="Times New Roman" w:cs="Times New Roman"/>
                <w:i/>
              </w:rPr>
              <w:t xml:space="preserve"> have proper food. It’s one of the reasons I have to eat a bit late because of cooking proper food for everyone to be able to enjoy.</w:t>
            </w:r>
            <w:r w:rsidRPr="00991698">
              <w:rPr>
                <w:rFonts w:ascii="Times New Roman" w:eastAsia="Times New Roman" w:hAnsi="Times New Roman" w:cs="Times New Roman"/>
              </w:rPr>
              <w:t>” (P174)</w:t>
            </w:r>
          </w:p>
          <w:p w14:paraId="00000AB5"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rPr>
              <w:t>“I</w:t>
            </w:r>
            <w:r w:rsidRPr="00991698">
              <w:rPr>
                <w:rFonts w:ascii="Times New Roman" w:eastAsia="Times New Roman" w:hAnsi="Times New Roman" w:cs="Times New Roman"/>
                <w:i/>
              </w:rPr>
              <w:t xml:space="preserve"> live with my brother as well who gets in late from work, so I don't really try and cook any earlier otherwise it's too early for him as well.</w:t>
            </w:r>
            <w:r w:rsidRPr="00991698">
              <w:rPr>
                <w:rFonts w:ascii="Times New Roman" w:eastAsia="Times New Roman" w:hAnsi="Times New Roman" w:cs="Times New Roman"/>
              </w:rPr>
              <w:t>” (P197)</w:t>
            </w:r>
          </w:p>
        </w:tc>
      </w:tr>
      <w:tr w:rsidR="00CB4215" w14:paraId="333A403A"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B6"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nil"/>
              <w:right w:val="nil"/>
            </w:tcBorders>
            <w:tcMar>
              <w:top w:w="100" w:type="dxa"/>
              <w:left w:w="100" w:type="dxa"/>
              <w:bottom w:w="100" w:type="dxa"/>
              <w:right w:w="100" w:type="dxa"/>
            </w:tcMar>
          </w:tcPr>
          <w:p w14:paraId="00000AB7"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Impact of flatmates on late evening eating</w:t>
            </w:r>
          </w:p>
        </w:tc>
        <w:tc>
          <w:tcPr>
            <w:tcW w:w="8930" w:type="dxa"/>
            <w:tcBorders>
              <w:top w:val="nil"/>
              <w:left w:val="nil"/>
              <w:bottom w:val="nil"/>
              <w:right w:val="nil"/>
            </w:tcBorders>
            <w:tcMar>
              <w:top w:w="100" w:type="dxa"/>
              <w:left w:w="100" w:type="dxa"/>
              <w:bottom w:w="100" w:type="dxa"/>
              <w:right w:w="100" w:type="dxa"/>
            </w:tcMar>
          </w:tcPr>
          <w:p w14:paraId="00000AB8"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But, when I arrived in the UK and my flatmate ate during the night I was, like, 'Okay, I want to eat as well.' For example, when I take water in the kitchen and one of my flatmates cooks noodles or something, and then the smell starts to fill the kitchen, and it's, like, 'Okay, I think I can take one.' So, that influences me directly.</w:t>
            </w:r>
            <w:r w:rsidRPr="00991698">
              <w:rPr>
                <w:rFonts w:ascii="Times New Roman" w:eastAsia="Times New Roman" w:hAnsi="Times New Roman" w:cs="Times New Roman"/>
              </w:rPr>
              <w:t>” (P166)</w:t>
            </w:r>
          </w:p>
        </w:tc>
      </w:tr>
      <w:tr w:rsidR="00CB4215" w14:paraId="5CBEC5BD"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B9"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b/>
              </w:rPr>
              <w:t>Behavioural and emotional influences on late evening eating</w:t>
            </w:r>
          </w:p>
        </w:tc>
        <w:tc>
          <w:tcPr>
            <w:tcW w:w="2833" w:type="dxa"/>
            <w:tcBorders>
              <w:top w:val="nil"/>
              <w:left w:val="nil"/>
              <w:bottom w:val="nil"/>
              <w:right w:val="nil"/>
            </w:tcBorders>
            <w:tcMar>
              <w:top w:w="100" w:type="dxa"/>
              <w:left w:w="100" w:type="dxa"/>
              <w:bottom w:w="100" w:type="dxa"/>
              <w:right w:w="100" w:type="dxa"/>
            </w:tcMar>
          </w:tcPr>
          <w:p w14:paraId="00000ABA"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Habitual evening eating schedule</w:t>
            </w:r>
          </w:p>
        </w:tc>
        <w:tc>
          <w:tcPr>
            <w:tcW w:w="8930" w:type="dxa"/>
            <w:tcBorders>
              <w:top w:val="nil"/>
              <w:left w:val="nil"/>
              <w:bottom w:val="nil"/>
              <w:right w:val="nil"/>
            </w:tcBorders>
            <w:tcMar>
              <w:top w:w="100" w:type="dxa"/>
              <w:left w:w="100" w:type="dxa"/>
              <w:bottom w:w="100" w:type="dxa"/>
              <w:right w:w="100" w:type="dxa"/>
            </w:tcMar>
          </w:tcPr>
          <w:p w14:paraId="00000ABB" w14:textId="77777777" w:rsidR="00CB4215" w:rsidRPr="00991698" w:rsidRDefault="000530B4">
            <w:pPr>
              <w:widowControl w:val="0"/>
              <w:spacing w:line="240" w:lineRule="auto"/>
              <w:rPr>
                <w:rFonts w:ascii="Times New Roman" w:eastAsia="Times New Roman" w:hAnsi="Times New Roman" w:cs="Times New Roman"/>
                <w:i/>
              </w:rPr>
            </w:pPr>
            <w:r w:rsidRPr="00991698">
              <w:rPr>
                <w:rFonts w:ascii="Times New Roman" w:eastAsia="Times New Roman" w:hAnsi="Times New Roman" w:cs="Times New Roman"/>
                <w:i/>
              </w:rPr>
              <w:t>“I'm, like, a night owl, so I'm very active in the night, so my brain is working better in the night. So, usually, I will do my hard thinking work during the night. So, that's why it takes more energy, it needs more energy, so that's why I eat in the evening.” (P166)</w:t>
            </w:r>
          </w:p>
          <w:p w14:paraId="00000ABC"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 xml:space="preserve">And then my time eating is </w:t>
            </w:r>
            <w:proofErr w:type="gramStart"/>
            <w:r w:rsidRPr="00991698">
              <w:rPr>
                <w:rFonts w:ascii="Times New Roman" w:eastAsia="Times New Roman" w:hAnsi="Times New Roman" w:cs="Times New Roman"/>
                <w:i/>
              </w:rPr>
              <w:t>actually more</w:t>
            </w:r>
            <w:proofErr w:type="gramEnd"/>
            <w:r w:rsidRPr="00991698">
              <w:rPr>
                <w:rFonts w:ascii="Times New Roman" w:eastAsia="Times New Roman" w:hAnsi="Times New Roman" w:cs="Times New Roman"/>
                <w:i/>
              </w:rPr>
              <w:t xml:space="preserve"> influenced by what time I wake up at that day, and then, for example, if I wake up at 8:00 so I eat at 9:00, and then after 4 hours I eat again, and then 12:00 and then 4:00pm and then 8:00pm, something like that. So, the influential things, I think, is my wake-up time.</w:t>
            </w:r>
            <w:r w:rsidRPr="00991698">
              <w:rPr>
                <w:rFonts w:ascii="Times New Roman" w:eastAsia="Times New Roman" w:hAnsi="Times New Roman" w:cs="Times New Roman"/>
              </w:rPr>
              <w:t>” (P111)</w:t>
            </w:r>
          </w:p>
        </w:tc>
      </w:tr>
      <w:tr w:rsidR="00CB4215" w14:paraId="1DB4C73E"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BD"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nil"/>
              <w:right w:val="nil"/>
            </w:tcBorders>
            <w:tcMar>
              <w:top w:w="100" w:type="dxa"/>
              <w:left w:w="100" w:type="dxa"/>
              <w:bottom w:w="100" w:type="dxa"/>
              <w:right w:w="100" w:type="dxa"/>
            </w:tcMar>
          </w:tcPr>
          <w:p w14:paraId="00000ABE"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 xml:space="preserve">Emotion-driven late evening eating </w:t>
            </w:r>
          </w:p>
        </w:tc>
        <w:tc>
          <w:tcPr>
            <w:tcW w:w="8930" w:type="dxa"/>
            <w:tcBorders>
              <w:top w:val="nil"/>
              <w:left w:val="nil"/>
              <w:bottom w:val="nil"/>
              <w:right w:val="nil"/>
            </w:tcBorders>
            <w:tcMar>
              <w:top w:w="100" w:type="dxa"/>
              <w:left w:w="100" w:type="dxa"/>
              <w:bottom w:w="100" w:type="dxa"/>
              <w:right w:w="100" w:type="dxa"/>
            </w:tcMar>
          </w:tcPr>
          <w:p w14:paraId="00000ABF"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Whenever, for example, I get very, very disappointed by my supervisor's comments, I will not eat lunch. And then evening is the only meal that I take to cope with those kinds of bad comments, and, okay, I eat and go back to sleep.</w:t>
            </w:r>
            <w:r w:rsidRPr="00991698">
              <w:rPr>
                <w:rFonts w:ascii="Times New Roman" w:eastAsia="Times New Roman" w:hAnsi="Times New Roman" w:cs="Times New Roman"/>
              </w:rPr>
              <w:t>” (P166)</w:t>
            </w:r>
          </w:p>
          <w:p w14:paraId="00000AC0"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Emotional, yes. Sometimes when I want to eat something sweet or something fresh, maybe juice or I'm in the mood of eating something sweet. So, usually sometimes I crave chocolate as well, chocolate or strawberry milk or something. Yes, sometimes my mood influences my decision in eating</w:t>
            </w:r>
            <w:r w:rsidRPr="00991698">
              <w:rPr>
                <w:rFonts w:ascii="Times New Roman" w:eastAsia="Times New Roman" w:hAnsi="Times New Roman" w:cs="Times New Roman"/>
              </w:rPr>
              <w:t>.” (P111)</w:t>
            </w:r>
          </w:p>
        </w:tc>
      </w:tr>
      <w:tr w:rsidR="00CB4215" w14:paraId="3B4C585C"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C1"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nil"/>
              <w:right w:val="nil"/>
            </w:tcBorders>
            <w:tcMar>
              <w:top w:w="100" w:type="dxa"/>
              <w:left w:w="100" w:type="dxa"/>
              <w:bottom w:w="100" w:type="dxa"/>
              <w:right w:w="100" w:type="dxa"/>
            </w:tcMar>
          </w:tcPr>
          <w:p w14:paraId="00000AC2"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Stress-induced late evening eating</w:t>
            </w:r>
          </w:p>
        </w:tc>
        <w:tc>
          <w:tcPr>
            <w:tcW w:w="8930" w:type="dxa"/>
            <w:tcBorders>
              <w:top w:val="nil"/>
              <w:left w:val="nil"/>
              <w:bottom w:val="nil"/>
              <w:right w:val="nil"/>
            </w:tcBorders>
            <w:tcMar>
              <w:top w:w="100" w:type="dxa"/>
              <w:left w:w="100" w:type="dxa"/>
              <w:bottom w:w="100" w:type="dxa"/>
              <w:right w:w="100" w:type="dxa"/>
            </w:tcMar>
          </w:tcPr>
          <w:p w14:paraId="00000AC3"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Yes, usually, because I am feeling under pressure by the dissertation deadline, and because my dissertation is quite hard, so I get stressed. And I tend to eat a lot in the evening.</w:t>
            </w:r>
            <w:r w:rsidRPr="00991698">
              <w:rPr>
                <w:rFonts w:ascii="Times New Roman" w:eastAsia="Times New Roman" w:hAnsi="Times New Roman" w:cs="Times New Roman"/>
              </w:rPr>
              <w:t>” (P148)</w:t>
            </w:r>
          </w:p>
          <w:p w14:paraId="00000AC4" w14:textId="77777777" w:rsidR="00CB4215" w:rsidRPr="00991698" w:rsidRDefault="000530B4">
            <w:pPr>
              <w:widowControl w:val="0"/>
              <w:spacing w:line="240" w:lineRule="auto"/>
              <w:rPr>
                <w:rFonts w:ascii="Times New Roman" w:eastAsia="Times New Roman" w:hAnsi="Times New Roman" w:cs="Times New Roman"/>
                <w:i/>
              </w:rPr>
            </w:pPr>
            <w:r w:rsidRPr="00991698">
              <w:rPr>
                <w:rFonts w:ascii="Times New Roman" w:eastAsia="Times New Roman" w:hAnsi="Times New Roman" w:cs="Times New Roman"/>
                <w:i/>
              </w:rPr>
              <w:lastRenderedPageBreak/>
              <w:t>“Like, stress, even the slightest bit recently.” (P121)</w:t>
            </w:r>
          </w:p>
        </w:tc>
      </w:tr>
      <w:tr w:rsidR="00CB4215" w14:paraId="7AE69C28"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C5"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nil"/>
              <w:right w:val="nil"/>
            </w:tcBorders>
            <w:tcMar>
              <w:top w:w="100" w:type="dxa"/>
              <w:left w:w="100" w:type="dxa"/>
              <w:bottom w:w="100" w:type="dxa"/>
              <w:right w:w="100" w:type="dxa"/>
            </w:tcMar>
          </w:tcPr>
          <w:p w14:paraId="00000AC6"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Boredom-induced late evening eating</w:t>
            </w:r>
          </w:p>
        </w:tc>
        <w:tc>
          <w:tcPr>
            <w:tcW w:w="8930" w:type="dxa"/>
            <w:tcBorders>
              <w:top w:val="nil"/>
              <w:left w:val="nil"/>
              <w:bottom w:val="nil"/>
              <w:right w:val="nil"/>
            </w:tcBorders>
            <w:tcMar>
              <w:top w:w="100" w:type="dxa"/>
              <w:left w:w="100" w:type="dxa"/>
              <w:bottom w:w="100" w:type="dxa"/>
              <w:right w:w="100" w:type="dxa"/>
            </w:tcMar>
          </w:tcPr>
          <w:p w14:paraId="00000AC7"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At that moment usually, I feel bored. Usually, I'm not quite a bit hungry, but I feel bored, and I need to taste something in my mouth, and I like to chew something in my mouth, so I feel like looking for a snack.</w:t>
            </w:r>
            <w:r w:rsidRPr="00991698">
              <w:rPr>
                <w:rFonts w:ascii="Times New Roman" w:eastAsia="Times New Roman" w:hAnsi="Times New Roman" w:cs="Times New Roman"/>
              </w:rPr>
              <w:t>” (P178)</w:t>
            </w:r>
          </w:p>
        </w:tc>
      </w:tr>
      <w:tr w:rsidR="00CB4215" w14:paraId="7C01A975" w14:textId="77777777">
        <w:trPr>
          <w:trHeight w:val="500"/>
        </w:trPr>
        <w:tc>
          <w:tcPr>
            <w:tcW w:w="2129" w:type="dxa"/>
            <w:tcBorders>
              <w:top w:val="nil"/>
              <w:left w:val="nil"/>
              <w:bottom w:val="nil"/>
              <w:right w:val="nil"/>
            </w:tcBorders>
            <w:tcMar>
              <w:top w:w="100" w:type="dxa"/>
              <w:left w:w="100" w:type="dxa"/>
              <w:bottom w:w="100" w:type="dxa"/>
              <w:right w:w="100" w:type="dxa"/>
            </w:tcMar>
          </w:tcPr>
          <w:p w14:paraId="00000AC8"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nil"/>
              <w:right w:val="nil"/>
            </w:tcBorders>
            <w:tcMar>
              <w:top w:w="100" w:type="dxa"/>
              <w:left w:w="100" w:type="dxa"/>
              <w:bottom w:w="100" w:type="dxa"/>
              <w:right w:w="100" w:type="dxa"/>
            </w:tcMar>
          </w:tcPr>
          <w:p w14:paraId="00000AC9"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Tiredness-induced late evening eating</w:t>
            </w:r>
          </w:p>
        </w:tc>
        <w:tc>
          <w:tcPr>
            <w:tcW w:w="8930" w:type="dxa"/>
            <w:tcBorders>
              <w:top w:val="nil"/>
              <w:left w:val="nil"/>
              <w:bottom w:val="nil"/>
              <w:right w:val="nil"/>
            </w:tcBorders>
            <w:tcMar>
              <w:top w:w="100" w:type="dxa"/>
              <w:left w:w="100" w:type="dxa"/>
              <w:bottom w:w="100" w:type="dxa"/>
              <w:right w:w="100" w:type="dxa"/>
            </w:tcMar>
          </w:tcPr>
          <w:p w14:paraId="00000ACA"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 xml:space="preserve">If I'm tired and I'm just feeling a bit, like, I can't be bothered to go and make very much, crisps </w:t>
            </w:r>
            <w:proofErr w:type="gramStart"/>
            <w:r w:rsidRPr="00991698">
              <w:rPr>
                <w:rFonts w:ascii="Times New Roman" w:eastAsia="Times New Roman" w:hAnsi="Times New Roman" w:cs="Times New Roman"/>
                <w:i/>
              </w:rPr>
              <w:t>is</w:t>
            </w:r>
            <w:proofErr w:type="gramEnd"/>
            <w:r w:rsidRPr="00991698">
              <w:rPr>
                <w:rFonts w:ascii="Times New Roman" w:eastAsia="Times New Roman" w:hAnsi="Times New Roman" w:cs="Times New Roman"/>
                <w:i/>
              </w:rPr>
              <w:t xml:space="preserve"> an easy option to just grab out of the cupboard</w:t>
            </w:r>
            <w:r w:rsidRPr="00991698">
              <w:rPr>
                <w:rFonts w:ascii="Times New Roman" w:eastAsia="Times New Roman" w:hAnsi="Times New Roman" w:cs="Times New Roman"/>
              </w:rPr>
              <w:t>.” (P181)</w:t>
            </w:r>
          </w:p>
        </w:tc>
      </w:tr>
      <w:tr w:rsidR="00CB4215" w14:paraId="66CEE251" w14:textId="77777777">
        <w:trPr>
          <w:trHeight w:val="500"/>
        </w:trPr>
        <w:tc>
          <w:tcPr>
            <w:tcW w:w="2129" w:type="dxa"/>
            <w:tcBorders>
              <w:top w:val="nil"/>
              <w:left w:val="nil"/>
              <w:bottom w:val="single" w:sz="8" w:space="0" w:color="000000"/>
              <w:right w:val="nil"/>
            </w:tcBorders>
            <w:tcMar>
              <w:top w:w="100" w:type="dxa"/>
              <w:left w:w="100" w:type="dxa"/>
              <w:bottom w:w="100" w:type="dxa"/>
              <w:right w:w="100" w:type="dxa"/>
            </w:tcMar>
          </w:tcPr>
          <w:p w14:paraId="00000ACB" w14:textId="77777777" w:rsidR="00CB4215" w:rsidRPr="00991698" w:rsidRDefault="00CB4215">
            <w:pPr>
              <w:widowControl w:val="0"/>
              <w:spacing w:line="240" w:lineRule="auto"/>
              <w:rPr>
                <w:rFonts w:ascii="Times New Roman" w:eastAsia="Times New Roman" w:hAnsi="Times New Roman" w:cs="Times New Roman"/>
              </w:rPr>
            </w:pPr>
          </w:p>
        </w:tc>
        <w:tc>
          <w:tcPr>
            <w:tcW w:w="2833" w:type="dxa"/>
            <w:tcBorders>
              <w:top w:val="nil"/>
              <w:left w:val="nil"/>
              <w:bottom w:val="single" w:sz="8" w:space="0" w:color="000000"/>
              <w:right w:val="nil"/>
            </w:tcBorders>
            <w:tcMar>
              <w:top w:w="100" w:type="dxa"/>
              <w:left w:w="100" w:type="dxa"/>
              <w:bottom w:w="100" w:type="dxa"/>
              <w:right w:w="100" w:type="dxa"/>
            </w:tcMar>
          </w:tcPr>
          <w:p w14:paraId="00000ACC"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 xml:space="preserve">Variety of feelings after late evening eating </w:t>
            </w:r>
          </w:p>
        </w:tc>
        <w:tc>
          <w:tcPr>
            <w:tcW w:w="8930" w:type="dxa"/>
            <w:tcBorders>
              <w:top w:val="nil"/>
              <w:left w:val="nil"/>
              <w:bottom w:val="single" w:sz="8" w:space="0" w:color="000000"/>
              <w:right w:val="nil"/>
            </w:tcBorders>
            <w:tcMar>
              <w:top w:w="100" w:type="dxa"/>
              <w:left w:w="100" w:type="dxa"/>
              <w:bottom w:w="100" w:type="dxa"/>
              <w:right w:w="100" w:type="dxa"/>
            </w:tcMar>
          </w:tcPr>
          <w:p w14:paraId="00000ACD"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Well, actually, I'm quite feeling guilty about eating at night, but not necessarily guilty because I know that the calorie counting and what my body needs is usually the same. So, I maybe feel guilty</w:t>
            </w:r>
            <w:r w:rsidRPr="00991698">
              <w:rPr>
                <w:rFonts w:ascii="Times New Roman" w:eastAsia="Times New Roman" w:hAnsi="Times New Roman" w:cs="Times New Roman"/>
              </w:rPr>
              <w:t>.” (P148)</w:t>
            </w:r>
          </w:p>
          <w:p w14:paraId="00000ACE"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I feel satisfied, and then I feel okay. It makes me calm, and then I feel that I'm sleepy, and then I can go to sleep</w:t>
            </w:r>
            <w:r w:rsidRPr="00991698">
              <w:rPr>
                <w:rFonts w:ascii="Times New Roman" w:eastAsia="Times New Roman" w:hAnsi="Times New Roman" w:cs="Times New Roman"/>
              </w:rPr>
              <w:t>.” (P166)</w:t>
            </w:r>
          </w:p>
        </w:tc>
      </w:tr>
    </w:tbl>
    <w:p w14:paraId="00000ACF" w14:textId="77777777" w:rsidR="00CB4215" w:rsidRDefault="00CB4215">
      <w:pPr>
        <w:spacing w:line="480" w:lineRule="auto"/>
        <w:rPr>
          <w:rFonts w:ascii="Calibri" w:eastAsia="Calibri" w:hAnsi="Calibri" w:cs="Calibri"/>
          <w:sz w:val="24"/>
          <w:szCs w:val="24"/>
        </w:rPr>
        <w:sectPr w:rsidR="00CB4215" w:rsidSect="00713C6E">
          <w:pgSz w:w="16834" w:h="11909" w:orient="landscape"/>
          <w:pgMar w:top="1440" w:right="1440" w:bottom="1440" w:left="1440" w:header="720" w:footer="720" w:gutter="0"/>
          <w:cols w:space="720"/>
        </w:sectPr>
      </w:pPr>
    </w:p>
    <w:p w14:paraId="00000AD0"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6.6.3 Barriers and enablers to changing to earlier evening eating</w:t>
      </w:r>
    </w:p>
    <w:p w14:paraId="00000AD1" w14:textId="77777777" w:rsidR="00CB4215" w:rsidRDefault="00CB4215"/>
    <w:p w14:paraId="00000AD2" w14:textId="77777777" w:rsidR="00CB4215" w:rsidRDefault="00CB4215"/>
    <w:p w14:paraId="00000AD3" w14:textId="77777777" w:rsidR="00CB4215" w:rsidRDefault="000530B4">
      <w:pPr>
        <w:spacing w:line="480" w:lineRule="auto"/>
        <w:rPr>
          <w:rFonts w:ascii="Times New Roman" w:eastAsia="Times New Roman" w:hAnsi="Times New Roman" w:cs="Times New Roman"/>
          <w:sz w:val="24"/>
          <w:szCs w:val="24"/>
        </w:rPr>
        <w:sectPr w:rsidR="00CB4215" w:rsidSect="00713C6E">
          <w:pgSz w:w="11909" w:h="16834"/>
          <w:pgMar w:top="1440" w:right="1440" w:bottom="1440" w:left="1440" w:header="720" w:footer="720" w:gutter="0"/>
          <w:cols w:space="720"/>
        </w:sectPr>
      </w:pPr>
      <w:r>
        <w:rPr>
          <w:rFonts w:ascii="Times New Roman" w:eastAsia="Times New Roman" w:hAnsi="Times New Roman" w:cs="Times New Roman"/>
          <w:sz w:val="24"/>
          <w:szCs w:val="24"/>
        </w:rPr>
        <w:t>Six core themes on barriers and enablers to changing to earlier evening eating were identified, including understanding and perception of evening eating habits, physiological drivers, social influences, time and scheduling constraints, behavioural and emotional associations with late evening eating and willingness to change. These themes were then deductively mapped to six COM-B constructs (psychological capability, physical capability, social opportunity, physical opportunity, automatic motivation and reflective motivation), as detailed in Table 6.3.</w:t>
      </w:r>
    </w:p>
    <w:p w14:paraId="00000AD4" w14:textId="77777777" w:rsidR="00CB4215" w:rsidRDefault="000530B4">
      <w:pPr>
        <w:keepNext/>
        <w:pBdr>
          <w:top w:val="nil"/>
          <w:left w:val="nil"/>
          <w:bottom w:val="nil"/>
          <w:right w:val="nil"/>
          <w:between w:val="nil"/>
        </w:pBdr>
        <w:spacing w:line="240" w:lineRule="auto"/>
        <w:rPr>
          <w:rFonts w:ascii="Times New Roman" w:eastAsia="Times New Roman" w:hAnsi="Times New Roman" w:cs="Times New Roman"/>
          <w:color w:val="000000"/>
          <w:sz w:val="20"/>
          <w:szCs w:val="20"/>
        </w:rPr>
      </w:pPr>
      <w:bookmarkStart w:id="118" w:name="_heading=h.3jtnz0s" w:colFirst="0" w:colLast="0"/>
      <w:bookmarkEnd w:id="118"/>
      <w:r w:rsidRPr="00D03B56">
        <w:rPr>
          <w:rFonts w:ascii="Times New Roman" w:eastAsia="Times New Roman" w:hAnsi="Times New Roman" w:cs="Times New Roman"/>
          <w:i/>
          <w:color w:val="000000"/>
          <w:sz w:val="20"/>
          <w:szCs w:val="20"/>
        </w:rPr>
        <w:lastRenderedPageBreak/>
        <w:t xml:space="preserve">Table 6.3. </w:t>
      </w:r>
      <w:r w:rsidRPr="00D03B56">
        <w:rPr>
          <w:rFonts w:ascii="Times New Roman" w:eastAsia="Times New Roman" w:hAnsi="Times New Roman" w:cs="Times New Roman"/>
          <w:color w:val="000000"/>
          <w:sz w:val="20"/>
          <w:szCs w:val="20"/>
        </w:rPr>
        <w:t>COM-B analysis of the barriers and enablers of changing to earlier eating timings.</w:t>
      </w:r>
      <w:r>
        <w:rPr>
          <w:rFonts w:ascii="Times New Roman" w:eastAsia="Times New Roman" w:hAnsi="Times New Roman" w:cs="Times New Roman"/>
          <w:color w:val="000000"/>
          <w:sz w:val="20"/>
          <w:szCs w:val="20"/>
        </w:rPr>
        <w:t xml:space="preserve"> </w:t>
      </w:r>
    </w:p>
    <w:tbl>
      <w:tblPr>
        <w:tblStyle w:val="af3"/>
        <w:tblW w:w="13892" w:type="dxa"/>
        <w:tblBorders>
          <w:insideH w:val="nil"/>
          <w:insideV w:val="nil"/>
        </w:tblBorders>
        <w:tblLayout w:type="fixed"/>
        <w:tblLook w:val="0600" w:firstRow="0" w:lastRow="0" w:firstColumn="0" w:lastColumn="0" w:noHBand="1" w:noVBand="1"/>
      </w:tblPr>
      <w:tblGrid>
        <w:gridCol w:w="1701"/>
        <w:gridCol w:w="2410"/>
        <w:gridCol w:w="3544"/>
        <w:gridCol w:w="6237"/>
      </w:tblGrid>
      <w:tr w:rsidR="00CB4215" w14:paraId="29CD1E29" w14:textId="77777777">
        <w:trPr>
          <w:trHeight w:val="345"/>
        </w:trPr>
        <w:tc>
          <w:tcPr>
            <w:tcW w:w="1701" w:type="dxa"/>
            <w:tcBorders>
              <w:top w:val="single" w:sz="8" w:space="0" w:color="000000"/>
              <w:left w:val="nil"/>
              <w:bottom w:val="single" w:sz="8" w:space="0" w:color="000000"/>
              <w:right w:val="nil"/>
            </w:tcBorders>
            <w:tcMar>
              <w:top w:w="100" w:type="dxa"/>
              <w:left w:w="100" w:type="dxa"/>
              <w:bottom w:w="100" w:type="dxa"/>
              <w:right w:w="100" w:type="dxa"/>
            </w:tcMar>
          </w:tcPr>
          <w:p w14:paraId="00000AD5"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COM-B construct</w:t>
            </w:r>
          </w:p>
        </w:tc>
        <w:tc>
          <w:tcPr>
            <w:tcW w:w="2410" w:type="dxa"/>
            <w:tcBorders>
              <w:top w:val="single" w:sz="8" w:space="0" w:color="000000"/>
              <w:left w:val="nil"/>
              <w:bottom w:val="single" w:sz="8" w:space="0" w:color="000000"/>
              <w:right w:val="nil"/>
            </w:tcBorders>
            <w:tcMar>
              <w:top w:w="100" w:type="dxa"/>
              <w:left w:w="100" w:type="dxa"/>
              <w:bottom w:w="100" w:type="dxa"/>
              <w:right w:w="100" w:type="dxa"/>
            </w:tcMar>
          </w:tcPr>
          <w:p w14:paraId="00000AD6"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Themes</w:t>
            </w:r>
          </w:p>
        </w:tc>
        <w:tc>
          <w:tcPr>
            <w:tcW w:w="3544" w:type="dxa"/>
            <w:tcBorders>
              <w:top w:val="single" w:sz="8" w:space="0" w:color="000000"/>
              <w:left w:val="nil"/>
              <w:bottom w:val="single" w:sz="8" w:space="0" w:color="000000"/>
              <w:right w:val="nil"/>
            </w:tcBorders>
            <w:tcMar>
              <w:top w:w="100" w:type="dxa"/>
              <w:left w:w="100" w:type="dxa"/>
              <w:bottom w:w="100" w:type="dxa"/>
              <w:right w:w="100" w:type="dxa"/>
            </w:tcMar>
          </w:tcPr>
          <w:p w14:paraId="00000AD7" w14:textId="77777777" w:rsidR="00CB4215" w:rsidRPr="00991698" w:rsidRDefault="000530B4">
            <w:pPr>
              <w:spacing w:line="240" w:lineRule="auto"/>
              <w:rPr>
                <w:rFonts w:ascii="Times New Roman" w:eastAsia="Times New Roman" w:hAnsi="Times New Roman" w:cs="Times New Roman"/>
              </w:rPr>
            </w:pPr>
            <w:r w:rsidRPr="00991698">
              <w:rPr>
                <w:rFonts w:ascii="Times New Roman" w:eastAsia="Times New Roman" w:hAnsi="Times New Roman" w:cs="Times New Roman"/>
              </w:rPr>
              <w:t xml:space="preserve">Barriers and enablers of changing to earlier eating timings </w:t>
            </w:r>
          </w:p>
        </w:tc>
        <w:tc>
          <w:tcPr>
            <w:tcW w:w="6237" w:type="dxa"/>
            <w:tcBorders>
              <w:top w:val="single" w:sz="8" w:space="0" w:color="000000"/>
              <w:left w:val="nil"/>
              <w:bottom w:val="single" w:sz="8" w:space="0" w:color="000000"/>
              <w:right w:val="nil"/>
            </w:tcBorders>
            <w:tcMar>
              <w:top w:w="100" w:type="dxa"/>
              <w:left w:w="100" w:type="dxa"/>
              <w:bottom w:w="100" w:type="dxa"/>
              <w:right w:w="100" w:type="dxa"/>
            </w:tcMar>
          </w:tcPr>
          <w:p w14:paraId="00000AD8"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Example quotes</w:t>
            </w:r>
          </w:p>
        </w:tc>
      </w:tr>
      <w:tr w:rsidR="00CB4215" w14:paraId="3D0AD17A" w14:textId="77777777">
        <w:trPr>
          <w:trHeight w:val="313"/>
        </w:trPr>
        <w:tc>
          <w:tcPr>
            <w:tcW w:w="1701" w:type="dxa"/>
            <w:tcBorders>
              <w:top w:val="single" w:sz="8" w:space="0" w:color="000000"/>
              <w:left w:val="nil"/>
              <w:bottom w:val="nil"/>
              <w:right w:val="nil"/>
            </w:tcBorders>
            <w:tcMar>
              <w:top w:w="100" w:type="dxa"/>
              <w:left w:w="100" w:type="dxa"/>
              <w:bottom w:w="100" w:type="dxa"/>
              <w:right w:w="100" w:type="dxa"/>
            </w:tcMar>
          </w:tcPr>
          <w:p w14:paraId="00000AD9"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Psychological capability</w:t>
            </w:r>
          </w:p>
        </w:tc>
        <w:tc>
          <w:tcPr>
            <w:tcW w:w="2410" w:type="dxa"/>
            <w:tcBorders>
              <w:top w:val="single" w:sz="8" w:space="0" w:color="000000"/>
              <w:left w:val="nil"/>
              <w:bottom w:val="nil"/>
              <w:right w:val="nil"/>
            </w:tcBorders>
            <w:tcMar>
              <w:top w:w="100" w:type="dxa"/>
              <w:left w:w="100" w:type="dxa"/>
              <w:bottom w:w="100" w:type="dxa"/>
              <w:right w:w="100" w:type="dxa"/>
            </w:tcMar>
          </w:tcPr>
          <w:p w14:paraId="00000ADA"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Understanding and perception of evening eating habits</w:t>
            </w:r>
          </w:p>
        </w:tc>
        <w:tc>
          <w:tcPr>
            <w:tcW w:w="3544" w:type="dxa"/>
            <w:tcBorders>
              <w:top w:val="single" w:sz="8" w:space="0" w:color="000000"/>
              <w:left w:val="nil"/>
              <w:bottom w:val="nil"/>
              <w:right w:val="nil"/>
            </w:tcBorders>
            <w:tcMar>
              <w:top w:w="100" w:type="dxa"/>
              <w:left w:w="100" w:type="dxa"/>
              <w:bottom w:w="100" w:type="dxa"/>
              <w:right w:w="100" w:type="dxa"/>
            </w:tcMar>
          </w:tcPr>
          <w:p w14:paraId="00000ADB"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rPr>
              <w:t>Barrier: High variability with the perception of late evening eating time</w:t>
            </w:r>
          </w:p>
        </w:tc>
        <w:tc>
          <w:tcPr>
            <w:tcW w:w="6237" w:type="dxa"/>
            <w:tcBorders>
              <w:top w:val="single" w:sz="8" w:space="0" w:color="000000"/>
              <w:left w:val="nil"/>
              <w:bottom w:val="nil"/>
              <w:right w:val="nil"/>
            </w:tcBorders>
            <w:tcMar>
              <w:top w:w="100" w:type="dxa"/>
              <w:left w:w="100" w:type="dxa"/>
              <w:bottom w:w="100" w:type="dxa"/>
              <w:right w:w="100" w:type="dxa"/>
            </w:tcMar>
          </w:tcPr>
          <w:p w14:paraId="00000ADC"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After 8:30</w:t>
            </w:r>
            <w:r w:rsidRPr="00991698">
              <w:rPr>
                <w:rFonts w:ascii="Times New Roman" w:eastAsia="Times New Roman" w:hAnsi="Times New Roman" w:cs="Times New Roman"/>
              </w:rPr>
              <w:t>”. (P111)</w:t>
            </w:r>
          </w:p>
          <w:p w14:paraId="00000ADD"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Well, I think after 10:00/10:30 that's too late</w:t>
            </w:r>
            <w:r w:rsidRPr="00991698">
              <w:rPr>
                <w:rFonts w:ascii="Times New Roman" w:eastAsia="Times New Roman" w:hAnsi="Times New Roman" w:cs="Times New Roman"/>
              </w:rPr>
              <w:t>”. (P165)</w:t>
            </w:r>
          </w:p>
          <w:p w14:paraId="00000ADE"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rPr>
              <w:t>“</w:t>
            </w:r>
            <w:r w:rsidRPr="00991698">
              <w:rPr>
                <w:rFonts w:ascii="Times New Roman" w:eastAsia="Times New Roman" w:hAnsi="Times New Roman" w:cs="Times New Roman"/>
                <w:i/>
              </w:rPr>
              <w:t>I'd say 9 o'clock</w:t>
            </w:r>
            <w:r w:rsidRPr="00991698">
              <w:rPr>
                <w:rFonts w:ascii="Times New Roman" w:eastAsia="Times New Roman" w:hAnsi="Times New Roman" w:cs="Times New Roman"/>
              </w:rPr>
              <w:t>”. (P169)</w:t>
            </w:r>
          </w:p>
        </w:tc>
      </w:tr>
      <w:tr w:rsidR="00CB4215" w14:paraId="63131334"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ADF" w14:textId="77777777" w:rsidR="00CB4215" w:rsidRPr="00991698" w:rsidRDefault="00CB4215">
            <w:pPr>
              <w:widowControl w:val="0"/>
              <w:spacing w:line="240" w:lineRule="auto"/>
              <w:rPr>
                <w:rFonts w:ascii="Times New Roman" w:eastAsia="Times New Roman" w:hAnsi="Times New Roman" w:cs="Times New Roman"/>
                <w:b/>
              </w:rPr>
            </w:pPr>
          </w:p>
        </w:tc>
        <w:tc>
          <w:tcPr>
            <w:tcW w:w="2410" w:type="dxa"/>
            <w:tcBorders>
              <w:top w:val="nil"/>
              <w:left w:val="nil"/>
              <w:bottom w:val="nil"/>
              <w:right w:val="nil"/>
            </w:tcBorders>
            <w:tcMar>
              <w:top w:w="100" w:type="dxa"/>
              <w:left w:w="100" w:type="dxa"/>
              <w:bottom w:w="100" w:type="dxa"/>
              <w:right w:w="100" w:type="dxa"/>
            </w:tcMar>
          </w:tcPr>
          <w:p w14:paraId="00000AE0" w14:textId="77777777" w:rsidR="00CB4215" w:rsidRPr="00991698" w:rsidRDefault="00CB4215">
            <w:pPr>
              <w:widowControl w:val="0"/>
              <w:spacing w:line="240" w:lineRule="auto"/>
              <w:rPr>
                <w:rFonts w:ascii="Times New Roman" w:eastAsia="Times New Roman" w:hAnsi="Times New Roman" w:cs="Times New Roman"/>
                <w:b/>
              </w:rPr>
            </w:pPr>
          </w:p>
        </w:tc>
        <w:tc>
          <w:tcPr>
            <w:tcW w:w="3544" w:type="dxa"/>
            <w:tcBorders>
              <w:top w:val="nil"/>
              <w:left w:val="nil"/>
              <w:bottom w:val="nil"/>
              <w:right w:val="nil"/>
            </w:tcBorders>
            <w:tcMar>
              <w:top w:w="100" w:type="dxa"/>
              <w:left w:w="100" w:type="dxa"/>
              <w:bottom w:w="100" w:type="dxa"/>
              <w:right w:w="100" w:type="dxa"/>
            </w:tcMar>
          </w:tcPr>
          <w:p w14:paraId="00000AE1"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Barrier: Uncertainty about the benefit of eating earlier</w:t>
            </w:r>
          </w:p>
        </w:tc>
        <w:tc>
          <w:tcPr>
            <w:tcW w:w="6237" w:type="dxa"/>
            <w:tcBorders>
              <w:top w:val="nil"/>
              <w:left w:val="nil"/>
              <w:bottom w:val="nil"/>
              <w:right w:val="nil"/>
            </w:tcBorders>
            <w:tcMar>
              <w:top w:w="100" w:type="dxa"/>
              <w:left w:w="100" w:type="dxa"/>
              <w:bottom w:w="100" w:type="dxa"/>
              <w:right w:w="100" w:type="dxa"/>
            </w:tcMar>
          </w:tcPr>
          <w:p w14:paraId="00000AE2"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I don't know if there would be any benefit. I don't know if there are. I do feel personally that if I eat that early, I might feel hungry later</w:t>
            </w:r>
            <w:r w:rsidRPr="00991698">
              <w:rPr>
                <w:rFonts w:ascii="Times New Roman" w:eastAsia="Times New Roman" w:hAnsi="Times New Roman" w:cs="Times New Roman"/>
              </w:rPr>
              <w:t>”. (P165)</w:t>
            </w:r>
          </w:p>
          <w:p w14:paraId="00000AE3"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I think I'm not really sure about that</w:t>
            </w:r>
            <w:r w:rsidRPr="00991698">
              <w:rPr>
                <w:rFonts w:ascii="Times New Roman" w:eastAsia="Times New Roman" w:hAnsi="Times New Roman" w:cs="Times New Roman"/>
              </w:rPr>
              <w:t>”. (P166)</w:t>
            </w:r>
          </w:p>
        </w:tc>
      </w:tr>
      <w:tr w:rsidR="00CB4215" w14:paraId="6DD4A295"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AE4" w14:textId="77777777" w:rsidR="00CB4215" w:rsidRPr="00991698" w:rsidRDefault="00CB4215">
            <w:pPr>
              <w:widowControl w:val="0"/>
              <w:spacing w:line="240" w:lineRule="auto"/>
              <w:rPr>
                <w:rFonts w:ascii="Times New Roman" w:eastAsia="Times New Roman" w:hAnsi="Times New Roman" w:cs="Times New Roman"/>
                <w:b/>
              </w:rPr>
            </w:pPr>
          </w:p>
        </w:tc>
        <w:tc>
          <w:tcPr>
            <w:tcW w:w="2410" w:type="dxa"/>
            <w:tcBorders>
              <w:top w:val="nil"/>
              <w:left w:val="nil"/>
              <w:bottom w:val="nil"/>
              <w:right w:val="nil"/>
            </w:tcBorders>
            <w:tcMar>
              <w:top w:w="100" w:type="dxa"/>
              <w:left w:w="100" w:type="dxa"/>
              <w:bottom w:w="100" w:type="dxa"/>
              <w:right w:w="100" w:type="dxa"/>
            </w:tcMar>
          </w:tcPr>
          <w:p w14:paraId="00000AE5" w14:textId="77777777" w:rsidR="00CB4215" w:rsidRPr="00991698" w:rsidRDefault="00CB4215">
            <w:pPr>
              <w:widowControl w:val="0"/>
              <w:spacing w:line="240" w:lineRule="auto"/>
              <w:rPr>
                <w:rFonts w:ascii="Times New Roman" w:eastAsia="Times New Roman" w:hAnsi="Times New Roman" w:cs="Times New Roman"/>
                <w:b/>
              </w:rPr>
            </w:pPr>
          </w:p>
        </w:tc>
        <w:tc>
          <w:tcPr>
            <w:tcW w:w="3544" w:type="dxa"/>
            <w:tcBorders>
              <w:top w:val="nil"/>
              <w:left w:val="nil"/>
              <w:bottom w:val="nil"/>
              <w:right w:val="nil"/>
            </w:tcBorders>
            <w:tcMar>
              <w:top w:w="100" w:type="dxa"/>
              <w:left w:w="100" w:type="dxa"/>
              <w:bottom w:w="100" w:type="dxa"/>
              <w:right w:w="100" w:type="dxa"/>
            </w:tcMar>
          </w:tcPr>
          <w:p w14:paraId="00000AE6"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Enabler: Information on the reasons for the perception of late evening eating time</w:t>
            </w:r>
          </w:p>
        </w:tc>
        <w:tc>
          <w:tcPr>
            <w:tcW w:w="6237" w:type="dxa"/>
            <w:tcBorders>
              <w:top w:val="nil"/>
              <w:left w:val="nil"/>
              <w:bottom w:val="nil"/>
              <w:right w:val="nil"/>
            </w:tcBorders>
            <w:tcMar>
              <w:top w:w="100" w:type="dxa"/>
              <w:left w:w="100" w:type="dxa"/>
              <w:bottom w:w="100" w:type="dxa"/>
              <w:right w:w="100" w:type="dxa"/>
            </w:tcMar>
          </w:tcPr>
          <w:p w14:paraId="00000AE7"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I think it's a lot because I eat so late. Yes, it makes me tired, but I can't settle. And still, I can't settle, and it weighs heavy on my stomach and I tend not to sleep</w:t>
            </w:r>
            <w:r w:rsidRPr="00991698">
              <w:rPr>
                <w:rFonts w:ascii="Times New Roman" w:eastAsia="Times New Roman" w:hAnsi="Times New Roman" w:cs="Times New Roman"/>
              </w:rPr>
              <w:t>”. (P121)</w:t>
            </w:r>
          </w:p>
          <w:p w14:paraId="00000AE8"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Because it's near the time to go to bed. That means you will not digest before going to bed</w:t>
            </w:r>
            <w:r w:rsidRPr="00991698">
              <w:rPr>
                <w:rFonts w:ascii="Times New Roman" w:eastAsia="Times New Roman" w:hAnsi="Times New Roman" w:cs="Times New Roman"/>
              </w:rPr>
              <w:t>”. (P174)</w:t>
            </w:r>
          </w:p>
        </w:tc>
      </w:tr>
      <w:tr w:rsidR="00CB4215" w14:paraId="116E0F2A" w14:textId="77777777">
        <w:trPr>
          <w:trHeight w:val="627"/>
        </w:trPr>
        <w:tc>
          <w:tcPr>
            <w:tcW w:w="1701" w:type="dxa"/>
            <w:tcBorders>
              <w:top w:val="nil"/>
              <w:left w:val="nil"/>
              <w:bottom w:val="nil"/>
              <w:right w:val="nil"/>
            </w:tcBorders>
            <w:tcMar>
              <w:top w:w="100" w:type="dxa"/>
              <w:left w:w="100" w:type="dxa"/>
              <w:bottom w:w="100" w:type="dxa"/>
              <w:right w:w="100" w:type="dxa"/>
            </w:tcMar>
          </w:tcPr>
          <w:p w14:paraId="00000AE9" w14:textId="77777777" w:rsidR="00CB4215" w:rsidRPr="00991698" w:rsidRDefault="00CB4215">
            <w:pPr>
              <w:widowControl w:val="0"/>
              <w:spacing w:line="240" w:lineRule="auto"/>
              <w:rPr>
                <w:rFonts w:ascii="Times New Roman" w:eastAsia="Times New Roman" w:hAnsi="Times New Roman" w:cs="Times New Roman"/>
                <w:b/>
              </w:rPr>
            </w:pPr>
          </w:p>
        </w:tc>
        <w:tc>
          <w:tcPr>
            <w:tcW w:w="2410" w:type="dxa"/>
            <w:tcBorders>
              <w:top w:val="nil"/>
              <w:left w:val="nil"/>
              <w:bottom w:val="nil"/>
              <w:right w:val="nil"/>
            </w:tcBorders>
            <w:tcMar>
              <w:top w:w="100" w:type="dxa"/>
              <w:left w:w="100" w:type="dxa"/>
              <w:bottom w:w="100" w:type="dxa"/>
              <w:right w:w="100" w:type="dxa"/>
            </w:tcMar>
          </w:tcPr>
          <w:p w14:paraId="00000AEA" w14:textId="77777777" w:rsidR="00CB4215" w:rsidRPr="00991698" w:rsidRDefault="00CB4215">
            <w:pPr>
              <w:widowControl w:val="0"/>
              <w:spacing w:line="240" w:lineRule="auto"/>
              <w:rPr>
                <w:rFonts w:ascii="Times New Roman" w:eastAsia="Times New Roman" w:hAnsi="Times New Roman" w:cs="Times New Roman"/>
                <w:b/>
              </w:rPr>
            </w:pPr>
          </w:p>
        </w:tc>
        <w:tc>
          <w:tcPr>
            <w:tcW w:w="3544" w:type="dxa"/>
            <w:tcBorders>
              <w:top w:val="nil"/>
              <w:left w:val="nil"/>
              <w:bottom w:val="nil"/>
              <w:right w:val="nil"/>
            </w:tcBorders>
            <w:tcMar>
              <w:top w:w="100" w:type="dxa"/>
              <w:left w:w="100" w:type="dxa"/>
              <w:bottom w:w="100" w:type="dxa"/>
              <w:right w:w="100" w:type="dxa"/>
            </w:tcMar>
          </w:tcPr>
          <w:p w14:paraId="00000AEB"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 xml:space="preserve">Enabler: Raising awareness about the benefits of early evening eating </w:t>
            </w:r>
          </w:p>
        </w:tc>
        <w:tc>
          <w:tcPr>
            <w:tcW w:w="6237" w:type="dxa"/>
            <w:tcBorders>
              <w:top w:val="nil"/>
              <w:left w:val="nil"/>
              <w:bottom w:val="nil"/>
              <w:right w:val="nil"/>
            </w:tcBorders>
            <w:tcMar>
              <w:top w:w="100" w:type="dxa"/>
              <w:left w:w="100" w:type="dxa"/>
              <w:bottom w:w="100" w:type="dxa"/>
              <w:right w:w="100" w:type="dxa"/>
            </w:tcMar>
          </w:tcPr>
          <w:p w14:paraId="00000AEC"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Maybe if somebody was telling me the benefits of it, maybe some more understanding about why it would be good to eat earlier, that might be helpful</w:t>
            </w:r>
            <w:r w:rsidRPr="00991698">
              <w:rPr>
                <w:rFonts w:ascii="Times New Roman" w:eastAsia="Times New Roman" w:hAnsi="Times New Roman" w:cs="Times New Roman"/>
              </w:rPr>
              <w:t>”. (P105)</w:t>
            </w:r>
          </w:p>
          <w:p w14:paraId="00000AED"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If there are any disadvantages, maybe pointing that out might help people to be aware that that's not a healthy habit for example. But I think it would have to be, you know, if there's clear evidence that that's the case then I would</w:t>
            </w:r>
            <w:r w:rsidRPr="00991698">
              <w:rPr>
                <w:rFonts w:ascii="Times New Roman" w:eastAsia="Times New Roman" w:hAnsi="Times New Roman" w:cs="Times New Roman"/>
              </w:rPr>
              <w:t>”. (P165)</w:t>
            </w:r>
          </w:p>
        </w:tc>
      </w:tr>
      <w:tr w:rsidR="00CB4215" w14:paraId="46487A6D"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AEE"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Physical capability</w:t>
            </w:r>
          </w:p>
        </w:tc>
        <w:tc>
          <w:tcPr>
            <w:tcW w:w="2410" w:type="dxa"/>
            <w:tcBorders>
              <w:top w:val="nil"/>
              <w:left w:val="nil"/>
              <w:bottom w:val="nil"/>
              <w:right w:val="nil"/>
            </w:tcBorders>
            <w:tcMar>
              <w:top w:w="100" w:type="dxa"/>
              <w:left w:w="100" w:type="dxa"/>
              <w:bottom w:w="100" w:type="dxa"/>
              <w:right w:w="100" w:type="dxa"/>
            </w:tcMar>
          </w:tcPr>
          <w:p w14:paraId="00000AEF"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Physiological drivers</w:t>
            </w:r>
          </w:p>
        </w:tc>
        <w:tc>
          <w:tcPr>
            <w:tcW w:w="3544" w:type="dxa"/>
            <w:tcBorders>
              <w:top w:val="nil"/>
              <w:left w:val="nil"/>
              <w:bottom w:val="nil"/>
              <w:right w:val="nil"/>
            </w:tcBorders>
            <w:tcMar>
              <w:top w:w="100" w:type="dxa"/>
              <w:left w:w="100" w:type="dxa"/>
              <w:bottom w:w="100" w:type="dxa"/>
              <w:right w:w="100" w:type="dxa"/>
            </w:tcMar>
          </w:tcPr>
          <w:p w14:paraId="00000AF0"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 xml:space="preserve">Barrier: Bodily signals leading to late evening eating </w:t>
            </w:r>
          </w:p>
        </w:tc>
        <w:tc>
          <w:tcPr>
            <w:tcW w:w="6237" w:type="dxa"/>
            <w:tcBorders>
              <w:top w:val="nil"/>
              <w:left w:val="nil"/>
              <w:bottom w:val="nil"/>
              <w:right w:val="nil"/>
            </w:tcBorders>
            <w:tcMar>
              <w:top w:w="100" w:type="dxa"/>
              <w:left w:w="100" w:type="dxa"/>
              <w:bottom w:w="100" w:type="dxa"/>
              <w:right w:w="100" w:type="dxa"/>
            </w:tcMar>
          </w:tcPr>
          <w:p w14:paraId="00000AF1" w14:textId="77777777" w:rsidR="00CB4215" w:rsidRPr="00991698" w:rsidRDefault="000530B4">
            <w:pPr>
              <w:widowControl w:val="0"/>
              <w:spacing w:line="240" w:lineRule="auto"/>
              <w:rPr>
                <w:rFonts w:ascii="Times New Roman" w:eastAsia="Times New Roman" w:hAnsi="Times New Roman" w:cs="Times New Roman"/>
                <w:i/>
              </w:rPr>
            </w:pPr>
            <w:r w:rsidRPr="00991698">
              <w:rPr>
                <w:rFonts w:ascii="Times New Roman" w:eastAsia="Times New Roman" w:hAnsi="Times New Roman" w:cs="Times New Roman"/>
              </w:rPr>
              <w:t>“</w:t>
            </w:r>
            <w:r w:rsidRPr="00991698">
              <w:rPr>
                <w:rFonts w:ascii="Times New Roman" w:eastAsia="Times New Roman" w:hAnsi="Times New Roman" w:cs="Times New Roman"/>
                <w:i/>
              </w:rPr>
              <w:t>And I'm not sure whether my stomach's reaction actually needs to be fulfilled or I need to bear it, because it feels like a spike on the stomach during late night that makes me uncomfortable, and then that's why I take some meal to make it better”. (P166)</w:t>
            </w:r>
          </w:p>
          <w:p w14:paraId="00000AF2"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i/>
              </w:rPr>
              <w:t>“And feeling hungry again later</w:t>
            </w:r>
            <w:r w:rsidRPr="00991698">
              <w:rPr>
                <w:rFonts w:ascii="Times New Roman" w:eastAsia="Times New Roman" w:hAnsi="Times New Roman" w:cs="Times New Roman"/>
              </w:rPr>
              <w:t>”. (P197)</w:t>
            </w:r>
          </w:p>
        </w:tc>
      </w:tr>
      <w:tr w:rsidR="00CB4215" w14:paraId="658D7BF7" w14:textId="77777777">
        <w:trPr>
          <w:trHeight w:val="740"/>
        </w:trPr>
        <w:tc>
          <w:tcPr>
            <w:tcW w:w="1701" w:type="dxa"/>
            <w:tcBorders>
              <w:top w:val="nil"/>
              <w:left w:val="nil"/>
              <w:bottom w:val="nil"/>
              <w:right w:val="nil"/>
            </w:tcBorders>
            <w:tcMar>
              <w:top w:w="100" w:type="dxa"/>
              <w:left w:w="100" w:type="dxa"/>
              <w:bottom w:w="100" w:type="dxa"/>
              <w:right w:w="100" w:type="dxa"/>
            </w:tcMar>
          </w:tcPr>
          <w:p w14:paraId="00000AF3"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Social opportunity</w:t>
            </w:r>
          </w:p>
        </w:tc>
        <w:tc>
          <w:tcPr>
            <w:tcW w:w="2410" w:type="dxa"/>
            <w:tcBorders>
              <w:top w:val="nil"/>
              <w:left w:val="nil"/>
              <w:bottom w:val="nil"/>
              <w:right w:val="nil"/>
            </w:tcBorders>
            <w:tcMar>
              <w:top w:w="100" w:type="dxa"/>
              <w:left w:w="100" w:type="dxa"/>
              <w:bottom w:w="100" w:type="dxa"/>
              <w:right w:w="100" w:type="dxa"/>
            </w:tcMar>
          </w:tcPr>
          <w:p w14:paraId="00000AF4"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Social influences</w:t>
            </w:r>
          </w:p>
        </w:tc>
        <w:tc>
          <w:tcPr>
            <w:tcW w:w="3544" w:type="dxa"/>
            <w:tcBorders>
              <w:top w:val="nil"/>
              <w:left w:val="nil"/>
              <w:bottom w:val="nil"/>
              <w:right w:val="nil"/>
            </w:tcBorders>
            <w:tcMar>
              <w:top w:w="100" w:type="dxa"/>
              <w:left w:w="100" w:type="dxa"/>
              <w:bottom w:w="100" w:type="dxa"/>
              <w:right w:w="100" w:type="dxa"/>
            </w:tcMar>
          </w:tcPr>
          <w:p w14:paraId="00000AF5"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 xml:space="preserve">Barrier: Interpersonal influence </w:t>
            </w:r>
          </w:p>
        </w:tc>
        <w:tc>
          <w:tcPr>
            <w:tcW w:w="6237" w:type="dxa"/>
            <w:tcBorders>
              <w:top w:val="nil"/>
              <w:left w:val="nil"/>
              <w:bottom w:val="nil"/>
              <w:right w:val="nil"/>
            </w:tcBorders>
            <w:tcMar>
              <w:top w:w="100" w:type="dxa"/>
              <w:left w:w="100" w:type="dxa"/>
              <w:bottom w:w="100" w:type="dxa"/>
              <w:right w:w="100" w:type="dxa"/>
            </w:tcMar>
          </w:tcPr>
          <w:p w14:paraId="00000AF6"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 xml:space="preserve">Yes, I guess if I was going to my mum's, it would be difficult for me to try and eat earlier. Because I always eat at eight, nine, ten o'clock, I'd have to make a </w:t>
            </w:r>
            <w:proofErr w:type="gramStart"/>
            <w:r w:rsidRPr="00991698">
              <w:rPr>
                <w:rFonts w:ascii="Times New Roman" w:eastAsia="Times New Roman" w:hAnsi="Times New Roman" w:cs="Times New Roman"/>
                <w:i/>
              </w:rPr>
              <w:t>really big</w:t>
            </w:r>
            <w:proofErr w:type="gramEnd"/>
            <w:r w:rsidRPr="00991698">
              <w:rPr>
                <w:rFonts w:ascii="Times New Roman" w:eastAsia="Times New Roman" w:hAnsi="Times New Roman" w:cs="Times New Roman"/>
                <w:i/>
              </w:rPr>
              <w:t xml:space="preserve"> effort and make my own food </w:t>
            </w:r>
            <w:r w:rsidRPr="00991698">
              <w:rPr>
                <w:rFonts w:ascii="Times New Roman" w:eastAsia="Times New Roman" w:hAnsi="Times New Roman" w:cs="Times New Roman"/>
                <w:i/>
              </w:rPr>
              <w:lastRenderedPageBreak/>
              <w:t>and have my own tea and eat it despite them not eating their tea at that time. So, I think that would be a bit of a barrier for me, to try and eat early in that environment</w:t>
            </w:r>
            <w:r w:rsidRPr="00991698">
              <w:rPr>
                <w:rFonts w:ascii="Times New Roman" w:eastAsia="Times New Roman" w:hAnsi="Times New Roman" w:cs="Times New Roman"/>
              </w:rPr>
              <w:t>”. (P181)</w:t>
            </w:r>
          </w:p>
          <w:p w14:paraId="00000AF7"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The challenge for me of course is my family. I have to take care of them quite longer because they don't feel exhausted, and they don't feel tired at all</w:t>
            </w:r>
            <w:r w:rsidRPr="00991698">
              <w:rPr>
                <w:rFonts w:ascii="Times New Roman" w:eastAsia="Times New Roman" w:hAnsi="Times New Roman" w:cs="Times New Roman"/>
              </w:rPr>
              <w:t>”. (P171)</w:t>
            </w:r>
          </w:p>
        </w:tc>
      </w:tr>
      <w:tr w:rsidR="00CB4215" w14:paraId="7FD9A0CC"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AF8" w14:textId="77777777" w:rsidR="00CB4215" w:rsidRPr="00991698" w:rsidRDefault="00CB4215">
            <w:pPr>
              <w:widowControl w:val="0"/>
              <w:spacing w:line="240" w:lineRule="auto"/>
              <w:rPr>
                <w:rFonts w:ascii="Times New Roman" w:eastAsia="Times New Roman" w:hAnsi="Times New Roman" w:cs="Times New Roman"/>
                <w:b/>
              </w:rPr>
            </w:pPr>
          </w:p>
        </w:tc>
        <w:tc>
          <w:tcPr>
            <w:tcW w:w="2410" w:type="dxa"/>
            <w:tcBorders>
              <w:top w:val="nil"/>
              <w:left w:val="nil"/>
              <w:bottom w:val="nil"/>
              <w:right w:val="nil"/>
            </w:tcBorders>
            <w:tcMar>
              <w:top w:w="100" w:type="dxa"/>
              <w:left w:w="100" w:type="dxa"/>
              <w:bottom w:w="100" w:type="dxa"/>
              <w:right w:w="100" w:type="dxa"/>
            </w:tcMar>
          </w:tcPr>
          <w:p w14:paraId="00000AF9" w14:textId="77777777" w:rsidR="00CB4215" w:rsidRPr="00991698" w:rsidRDefault="00CB4215">
            <w:pPr>
              <w:widowControl w:val="0"/>
              <w:spacing w:line="240" w:lineRule="auto"/>
              <w:rPr>
                <w:rFonts w:ascii="Times New Roman" w:eastAsia="Times New Roman" w:hAnsi="Times New Roman" w:cs="Times New Roman"/>
                <w:b/>
              </w:rPr>
            </w:pPr>
          </w:p>
        </w:tc>
        <w:tc>
          <w:tcPr>
            <w:tcW w:w="3544" w:type="dxa"/>
            <w:tcBorders>
              <w:top w:val="nil"/>
              <w:left w:val="nil"/>
              <w:bottom w:val="nil"/>
              <w:right w:val="nil"/>
            </w:tcBorders>
            <w:tcMar>
              <w:top w:w="100" w:type="dxa"/>
              <w:left w:w="100" w:type="dxa"/>
              <w:bottom w:w="100" w:type="dxa"/>
              <w:right w:w="100" w:type="dxa"/>
            </w:tcMar>
          </w:tcPr>
          <w:p w14:paraId="00000AFA"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Enabler: Impact of the family on evening eating times</w:t>
            </w:r>
          </w:p>
        </w:tc>
        <w:tc>
          <w:tcPr>
            <w:tcW w:w="6237" w:type="dxa"/>
            <w:tcBorders>
              <w:top w:val="nil"/>
              <w:left w:val="nil"/>
              <w:bottom w:val="nil"/>
              <w:right w:val="nil"/>
            </w:tcBorders>
            <w:tcMar>
              <w:top w:w="100" w:type="dxa"/>
              <w:left w:w="100" w:type="dxa"/>
              <w:bottom w:w="100" w:type="dxa"/>
              <w:right w:w="100" w:type="dxa"/>
            </w:tcMar>
          </w:tcPr>
          <w:p w14:paraId="00000AFB"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i/>
              </w:rPr>
              <w:t xml:space="preserve">“And also, I think when you live with your parents, when you live with your family, when you live with your wife, it's good enough to have support from the family and people who live with you at home, to remind you and to take care of you. Because you cannot be absolute at the end, so you try to get some, like, support from home so you don't fall into that habit.” </w:t>
            </w:r>
            <w:r w:rsidRPr="00991698">
              <w:rPr>
                <w:rFonts w:ascii="Times New Roman" w:eastAsia="Times New Roman" w:hAnsi="Times New Roman" w:cs="Times New Roman"/>
              </w:rPr>
              <w:t>(P178)</w:t>
            </w:r>
          </w:p>
          <w:p w14:paraId="00000AFC"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Yes, I think family is the main factor, because I need to take care of my kids and my wife at home. So I need to be more disciplined with time so I need to be up early</w:t>
            </w:r>
            <w:proofErr w:type="gramStart"/>
            <w:r w:rsidRPr="00991698">
              <w:rPr>
                <w:rFonts w:ascii="Times New Roman" w:eastAsia="Times New Roman" w:hAnsi="Times New Roman" w:cs="Times New Roman"/>
              </w:rPr>
              <w:t>.”(</w:t>
            </w:r>
            <w:proofErr w:type="gramEnd"/>
            <w:r w:rsidRPr="00991698">
              <w:rPr>
                <w:rFonts w:ascii="Times New Roman" w:eastAsia="Times New Roman" w:hAnsi="Times New Roman" w:cs="Times New Roman"/>
              </w:rPr>
              <w:t>P148)</w:t>
            </w:r>
          </w:p>
        </w:tc>
      </w:tr>
      <w:tr w:rsidR="00CB4215" w14:paraId="5AFAABCB"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AFD" w14:textId="77777777" w:rsidR="00CB4215" w:rsidRPr="00991698" w:rsidRDefault="00CB4215">
            <w:pPr>
              <w:widowControl w:val="0"/>
              <w:spacing w:line="240" w:lineRule="auto"/>
              <w:rPr>
                <w:rFonts w:ascii="Times New Roman" w:eastAsia="Times New Roman" w:hAnsi="Times New Roman" w:cs="Times New Roman"/>
                <w:b/>
              </w:rPr>
            </w:pPr>
          </w:p>
        </w:tc>
        <w:tc>
          <w:tcPr>
            <w:tcW w:w="2410" w:type="dxa"/>
            <w:tcBorders>
              <w:top w:val="nil"/>
              <w:left w:val="nil"/>
              <w:bottom w:val="nil"/>
              <w:right w:val="nil"/>
            </w:tcBorders>
            <w:tcMar>
              <w:top w:w="100" w:type="dxa"/>
              <w:left w:w="100" w:type="dxa"/>
              <w:bottom w:w="100" w:type="dxa"/>
              <w:right w:w="100" w:type="dxa"/>
            </w:tcMar>
          </w:tcPr>
          <w:p w14:paraId="00000AFE" w14:textId="77777777" w:rsidR="00CB4215" w:rsidRPr="00991698" w:rsidRDefault="00CB4215">
            <w:pPr>
              <w:widowControl w:val="0"/>
              <w:spacing w:line="240" w:lineRule="auto"/>
              <w:rPr>
                <w:rFonts w:ascii="Times New Roman" w:eastAsia="Times New Roman" w:hAnsi="Times New Roman" w:cs="Times New Roman"/>
                <w:b/>
              </w:rPr>
            </w:pPr>
          </w:p>
        </w:tc>
        <w:tc>
          <w:tcPr>
            <w:tcW w:w="3544" w:type="dxa"/>
            <w:tcBorders>
              <w:top w:val="nil"/>
              <w:left w:val="nil"/>
              <w:bottom w:val="nil"/>
              <w:right w:val="nil"/>
            </w:tcBorders>
            <w:tcMar>
              <w:top w:w="100" w:type="dxa"/>
              <w:left w:w="100" w:type="dxa"/>
              <w:bottom w:w="100" w:type="dxa"/>
              <w:right w:w="100" w:type="dxa"/>
            </w:tcMar>
          </w:tcPr>
          <w:p w14:paraId="00000AFF"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Enabler: Community support for early evening eating</w:t>
            </w:r>
          </w:p>
        </w:tc>
        <w:tc>
          <w:tcPr>
            <w:tcW w:w="6237" w:type="dxa"/>
            <w:tcBorders>
              <w:top w:val="nil"/>
              <w:left w:val="nil"/>
              <w:bottom w:val="nil"/>
              <w:right w:val="nil"/>
            </w:tcBorders>
            <w:tcMar>
              <w:top w:w="100" w:type="dxa"/>
              <w:left w:w="100" w:type="dxa"/>
              <w:bottom w:w="100" w:type="dxa"/>
              <w:right w:w="100" w:type="dxa"/>
            </w:tcMar>
          </w:tcPr>
          <w:p w14:paraId="00000B00"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Maybe some community where we can support each other, and we can share the benefits of eating earlier in the evening</w:t>
            </w:r>
            <w:r w:rsidRPr="00991698">
              <w:rPr>
                <w:rFonts w:ascii="Times New Roman" w:eastAsia="Times New Roman" w:hAnsi="Times New Roman" w:cs="Times New Roman"/>
              </w:rPr>
              <w:t>”. (P148)</w:t>
            </w:r>
          </w:p>
          <w:p w14:paraId="00000B01"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Yes, probably a group would be quite good</w:t>
            </w:r>
            <w:r w:rsidRPr="00991698">
              <w:rPr>
                <w:rFonts w:ascii="Times New Roman" w:eastAsia="Times New Roman" w:hAnsi="Times New Roman" w:cs="Times New Roman"/>
              </w:rPr>
              <w:t>”. (P170)</w:t>
            </w:r>
          </w:p>
        </w:tc>
      </w:tr>
      <w:tr w:rsidR="00CB4215" w14:paraId="5D9D63FC" w14:textId="77777777">
        <w:trPr>
          <w:trHeight w:val="632"/>
        </w:trPr>
        <w:tc>
          <w:tcPr>
            <w:tcW w:w="1701" w:type="dxa"/>
            <w:tcBorders>
              <w:top w:val="nil"/>
              <w:left w:val="nil"/>
              <w:bottom w:val="nil"/>
              <w:right w:val="nil"/>
            </w:tcBorders>
            <w:tcMar>
              <w:top w:w="100" w:type="dxa"/>
              <w:left w:w="100" w:type="dxa"/>
              <w:bottom w:w="100" w:type="dxa"/>
              <w:right w:w="100" w:type="dxa"/>
            </w:tcMar>
          </w:tcPr>
          <w:p w14:paraId="00000B02" w14:textId="77777777" w:rsidR="00CB4215" w:rsidRPr="00991698" w:rsidRDefault="000530B4">
            <w:pPr>
              <w:spacing w:line="240" w:lineRule="auto"/>
              <w:rPr>
                <w:rFonts w:ascii="Times New Roman" w:eastAsia="Times New Roman" w:hAnsi="Times New Roman" w:cs="Times New Roman"/>
                <w:b/>
              </w:rPr>
            </w:pPr>
            <w:r w:rsidRPr="00991698">
              <w:rPr>
                <w:rFonts w:ascii="Times New Roman" w:eastAsia="Times New Roman" w:hAnsi="Times New Roman" w:cs="Times New Roman"/>
                <w:b/>
              </w:rPr>
              <w:t>Physical opportunity</w:t>
            </w:r>
          </w:p>
        </w:tc>
        <w:tc>
          <w:tcPr>
            <w:tcW w:w="2410" w:type="dxa"/>
            <w:tcBorders>
              <w:top w:val="nil"/>
              <w:left w:val="nil"/>
              <w:bottom w:val="nil"/>
              <w:right w:val="nil"/>
            </w:tcBorders>
            <w:tcMar>
              <w:top w:w="100" w:type="dxa"/>
              <w:left w:w="100" w:type="dxa"/>
              <w:bottom w:w="100" w:type="dxa"/>
              <w:right w:w="100" w:type="dxa"/>
            </w:tcMar>
          </w:tcPr>
          <w:p w14:paraId="00000B03"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Time and scheduling constraints</w:t>
            </w:r>
          </w:p>
        </w:tc>
        <w:tc>
          <w:tcPr>
            <w:tcW w:w="3544" w:type="dxa"/>
            <w:tcBorders>
              <w:top w:val="nil"/>
              <w:left w:val="nil"/>
              <w:bottom w:val="nil"/>
              <w:right w:val="nil"/>
            </w:tcBorders>
            <w:tcMar>
              <w:top w:w="100" w:type="dxa"/>
              <w:left w:w="100" w:type="dxa"/>
              <w:bottom w:w="100" w:type="dxa"/>
              <w:right w:w="100" w:type="dxa"/>
            </w:tcMar>
          </w:tcPr>
          <w:p w14:paraId="00000B04"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Barrier: Time constraints for food preparation</w:t>
            </w:r>
          </w:p>
        </w:tc>
        <w:tc>
          <w:tcPr>
            <w:tcW w:w="6237" w:type="dxa"/>
            <w:tcBorders>
              <w:top w:val="nil"/>
              <w:left w:val="nil"/>
              <w:bottom w:val="nil"/>
              <w:right w:val="nil"/>
            </w:tcBorders>
            <w:tcMar>
              <w:top w:w="100" w:type="dxa"/>
              <w:left w:w="100" w:type="dxa"/>
              <w:bottom w:w="100" w:type="dxa"/>
              <w:right w:w="100" w:type="dxa"/>
            </w:tcMar>
          </w:tcPr>
          <w:p w14:paraId="00000B05" w14:textId="77777777" w:rsidR="00CB4215" w:rsidRPr="00991698" w:rsidRDefault="000530B4">
            <w:pPr>
              <w:widowControl w:val="0"/>
              <w:spacing w:line="240" w:lineRule="auto"/>
              <w:rPr>
                <w:rFonts w:ascii="Times New Roman" w:eastAsia="Times New Roman" w:hAnsi="Times New Roman" w:cs="Times New Roman"/>
                <w:i/>
              </w:rPr>
            </w:pPr>
            <w:r w:rsidRPr="00991698">
              <w:rPr>
                <w:rFonts w:ascii="Times New Roman" w:eastAsia="Times New Roman" w:hAnsi="Times New Roman" w:cs="Times New Roman"/>
              </w:rPr>
              <w:t>“</w:t>
            </w:r>
            <w:r w:rsidRPr="00991698">
              <w:rPr>
                <w:rFonts w:ascii="Times New Roman" w:eastAsia="Times New Roman" w:hAnsi="Times New Roman" w:cs="Times New Roman"/>
                <w:i/>
              </w:rPr>
              <w:t>We cook everyday home food, we don't do shortcuts, we don't do frozen and put it in microwave, we will do everything from scratch”. (P180)</w:t>
            </w:r>
          </w:p>
          <w:p w14:paraId="00000B06"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i/>
              </w:rPr>
              <w:t>“It means I need to order on the first from the food delivery services and they need to come here, and then I just receive my food at 8:00 something and then I just eat it</w:t>
            </w:r>
            <w:r w:rsidRPr="00991698">
              <w:rPr>
                <w:rFonts w:ascii="Times New Roman" w:eastAsia="Times New Roman" w:hAnsi="Times New Roman" w:cs="Times New Roman"/>
              </w:rPr>
              <w:t>”. (P111)</w:t>
            </w:r>
          </w:p>
        </w:tc>
      </w:tr>
      <w:tr w:rsidR="00CB4215" w14:paraId="7A11A132" w14:textId="77777777">
        <w:trPr>
          <w:trHeight w:val="632"/>
        </w:trPr>
        <w:tc>
          <w:tcPr>
            <w:tcW w:w="1701" w:type="dxa"/>
            <w:tcBorders>
              <w:top w:val="nil"/>
              <w:left w:val="nil"/>
              <w:bottom w:val="nil"/>
              <w:right w:val="nil"/>
            </w:tcBorders>
            <w:tcMar>
              <w:top w:w="100" w:type="dxa"/>
              <w:left w:w="100" w:type="dxa"/>
              <w:bottom w:w="100" w:type="dxa"/>
              <w:right w:w="100" w:type="dxa"/>
            </w:tcMar>
          </w:tcPr>
          <w:p w14:paraId="00000B07" w14:textId="77777777" w:rsidR="00CB4215" w:rsidRPr="00991698" w:rsidRDefault="00CB4215">
            <w:pPr>
              <w:widowControl w:val="0"/>
              <w:spacing w:line="240" w:lineRule="auto"/>
              <w:rPr>
                <w:rFonts w:ascii="Times New Roman" w:eastAsia="Times New Roman" w:hAnsi="Times New Roman" w:cs="Times New Roman"/>
                <w:b/>
              </w:rPr>
            </w:pPr>
          </w:p>
        </w:tc>
        <w:tc>
          <w:tcPr>
            <w:tcW w:w="2410" w:type="dxa"/>
            <w:tcBorders>
              <w:top w:val="nil"/>
              <w:left w:val="nil"/>
              <w:bottom w:val="nil"/>
              <w:right w:val="nil"/>
            </w:tcBorders>
            <w:tcMar>
              <w:top w:w="100" w:type="dxa"/>
              <w:left w:w="100" w:type="dxa"/>
              <w:bottom w:w="100" w:type="dxa"/>
              <w:right w:w="100" w:type="dxa"/>
            </w:tcMar>
          </w:tcPr>
          <w:p w14:paraId="00000B08" w14:textId="77777777" w:rsidR="00CB4215" w:rsidRPr="00991698" w:rsidRDefault="00CB4215">
            <w:pPr>
              <w:widowControl w:val="0"/>
              <w:spacing w:line="240" w:lineRule="auto"/>
              <w:rPr>
                <w:rFonts w:ascii="Times New Roman" w:eastAsia="Times New Roman" w:hAnsi="Times New Roman" w:cs="Times New Roman"/>
                <w:b/>
              </w:rPr>
            </w:pPr>
          </w:p>
        </w:tc>
        <w:tc>
          <w:tcPr>
            <w:tcW w:w="3544" w:type="dxa"/>
            <w:tcBorders>
              <w:top w:val="nil"/>
              <w:left w:val="nil"/>
              <w:bottom w:val="nil"/>
              <w:right w:val="nil"/>
            </w:tcBorders>
            <w:tcMar>
              <w:top w:w="100" w:type="dxa"/>
              <w:left w:w="100" w:type="dxa"/>
              <w:bottom w:w="100" w:type="dxa"/>
              <w:right w:w="100" w:type="dxa"/>
            </w:tcMar>
          </w:tcPr>
          <w:p w14:paraId="00000B09"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Barrier: Work schedules do not support eating earlier</w:t>
            </w:r>
          </w:p>
        </w:tc>
        <w:tc>
          <w:tcPr>
            <w:tcW w:w="6237" w:type="dxa"/>
            <w:tcBorders>
              <w:top w:val="nil"/>
              <w:left w:val="nil"/>
              <w:bottom w:val="nil"/>
              <w:right w:val="nil"/>
            </w:tcBorders>
            <w:tcMar>
              <w:top w:w="100" w:type="dxa"/>
              <w:left w:w="100" w:type="dxa"/>
              <w:bottom w:w="100" w:type="dxa"/>
              <w:right w:w="100" w:type="dxa"/>
            </w:tcMar>
          </w:tcPr>
          <w:p w14:paraId="00000B0A"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It's more the time I some cooking after work that would delay my dinner time</w:t>
            </w:r>
            <w:r w:rsidRPr="00991698">
              <w:rPr>
                <w:rFonts w:ascii="Times New Roman" w:eastAsia="Times New Roman" w:hAnsi="Times New Roman" w:cs="Times New Roman"/>
              </w:rPr>
              <w:t>”. (P174)</w:t>
            </w:r>
          </w:p>
          <w:p w14:paraId="00000B0B"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Because the office finishes at 5, but because you're working you don't have that much time to prepare meals in advance</w:t>
            </w:r>
            <w:r w:rsidRPr="00991698">
              <w:rPr>
                <w:rFonts w:ascii="Times New Roman" w:eastAsia="Times New Roman" w:hAnsi="Times New Roman" w:cs="Times New Roman"/>
              </w:rPr>
              <w:t>”. (P180)</w:t>
            </w:r>
          </w:p>
          <w:p w14:paraId="00000B0C"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So, I think it is, like, about finishing work at 5 or later</w:t>
            </w:r>
            <w:r w:rsidRPr="00991698">
              <w:rPr>
                <w:rFonts w:ascii="Times New Roman" w:eastAsia="Times New Roman" w:hAnsi="Times New Roman" w:cs="Times New Roman"/>
              </w:rPr>
              <w:t>”. (P181)</w:t>
            </w:r>
          </w:p>
        </w:tc>
      </w:tr>
      <w:tr w:rsidR="00CB4215" w14:paraId="1161F586"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B0D"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lastRenderedPageBreak/>
              <w:t>Automatic motivation</w:t>
            </w:r>
          </w:p>
        </w:tc>
        <w:tc>
          <w:tcPr>
            <w:tcW w:w="2410" w:type="dxa"/>
            <w:tcBorders>
              <w:top w:val="nil"/>
              <w:left w:val="nil"/>
              <w:bottom w:val="nil"/>
              <w:right w:val="nil"/>
            </w:tcBorders>
            <w:tcMar>
              <w:top w:w="100" w:type="dxa"/>
              <w:left w:w="100" w:type="dxa"/>
              <w:bottom w:w="100" w:type="dxa"/>
              <w:right w:w="100" w:type="dxa"/>
            </w:tcMar>
          </w:tcPr>
          <w:p w14:paraId="00000B0E"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Behavioural and emotional associations with late evening eating</w:t>
            </w:r>
          </w:p>
        </w:tc>
        <w:tc>
          <w:tcPr>
            <w:tcW w:w="3544" w:type="dxa"/>
            <w:tcBorders>
              <w:top w:val="nil"/>
              <w:left w:val="nil"/>
              <w:bottom w:val="nil"/>
              <w:right w:val="nil"/>
            </w:tcBorders>
            <w:tcMar>
              <w:top w:w="100" w:type="dxa"/>
              <w:left w:w="100" w:type="dxa"/>
              <w:bottom w:w="100" w:type="dxa"/>
              <w:right w:w="100" w:type="dxa"/>
            </w:tcMar>
          </w:tcPr>
          <w:p w14:paraId="00000B0F"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 xml:space="preserve">Barrier: Existing habits inhibit eating earlier </w:t>
            </w:r>
          </w:p>
        </w:tc>
        <w:tc>
          <w:tcPr>
            <w:tcW w:w="6237" w:type="dxa"/>
            <w:tcBorders>
              <w:top w:val="nil"/>
              <w:left w:val="nil"/>
              <w:bottom w:val="nil"/>
              <w:right w:val="nil"/>
            </w:tcBorders>
            <w:tcMar>
              <w:top w:w="100" w:type="dxa"/>
              <w:left w:w="100" w:type="dxa"/>
              <w:bottom w:w="100" w:type="dxa"/>
              <w:right w:w="100" w:type="dxa"/>
            </w:tcMar>
          </w:tcPr>
          <w:p w14:paraId="00000B10"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And the second one is the habit</w:t>
            </w:r>
            <w:r w:rsidRPr="00991698">
              <w:rPr>
                <w:rFonts w:ascii="Times New Roman" w:eastAsia="Times New Roman" w:hAnsi="Times New Roman" w:cs="Times New Roman"/>
              </w:rPr>
              <w:t>”. (P148)</w:t>
            </w:r>
          </w:p>
          <w:p w14:paraId="00000B11"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I'm used to eating late at night. On some days if I didn't put the habit for myself, then I will be still craving</w:t>
            </w:r>
            <w:r w:rsidRPr="00991698">
              <w:rPr>
                <w:rFonts w:ascii="Times New Roman" w:eastAsia="Times New Roman" w:hAnsi="Times New Roman" w:cs="Times New Roman"/>
              </w:rPr>
              <w:t>”. (P166)</w:t>
            </w:r>
          </w:p>
        </w:tc>
      </w:tr>
      <w:tr w:rsidR="00CB4215" w14:paraId="7614E0FB"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B12" w14:textId="77777777" w:rsidR="00CB4215" w:rsidRPr="00991698" w:rsidRDefault="00CB4215">
            <w:pPr>
              <w:widowControl w:val="0"/>
              <w:spacing w:line="240" w:lineRule="auto"/>
              <w:rPr>
                <w:rFonts w:ascii="Times New Roman" w:eastAsia="Times New Roman" w:hAnsi="Times New Roman" w:cs="Times New Roman"/>
              </w:rPr>
            </w:pPr>
          </w:p>
        </w:tc>
        <w:tc>
          <w:tcPr>
            <w:tcW w:w="2410" w:type="dxa"/>
            <w:tcBorders>
              <w:top w:val="nil"/>
              <w:left w:val="nil"/>
              <w:bottom w:val="nil"/>
              <w:right w:val="nil"/>
            </w:tcBorders>
            <w:tcMar>
              <w:top w:w="100" w:type="dxa"/>
              <w:left w:w="100" w:type="dxa"/>
              <w:bottom w:w="100" w:type="dxa"/>
              <w:right w:w="100" w:type="dxa"/>
            </w:tcMar>
          </w:tcPr>
          <w:p w14:paraId="00000B13" w14:textId="77777777" w:rsidR="00CB4215" w:rsidRPr="00991698" w:rsidRDefault="00CB4215">
            <w:pPr>
              <w:widowControl w:val="0"/>
              <w:spacing w:line="240" w:lineRule="auto"/>
              <w:rPr>
                <w:rFonts w:ascii="Times New Roman" w:eastAsia="Times New Roman" w:hAnsi="Times New Roman" w:cs="Times New Roman"/>
              </w:rPr>
            </w:pPr>
          </w:p>
        </w:tc>
        <w:tc>
          <w:tcPr>
            <w:tcW w:w="3544" w:type="dxa"/>
            <w:tcBorders>
              <w:top w:val="nil"/>
              <w:left w:val="nil"/>
              <w:bottom w:val="nil"/>
              <w:right w:val="nil"/>
            </w:tcBorders>
            <w:tcMar>
              <w:top w:w="100" w:type="dxa"/>
              <w:left w:w="100" w:type="dxa"/>
              <w:bottom w:w="100" w:type="dxa"/>
              <w:right w:w="100" w:type="dxa"/>
            </w:tcMar>
          </w:tcPr>
          <w:p w14:paraId="00000B14"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Enabler: Promote eating early through the reward system</w:t>
            </w:r>
          </w:p>
        </w:tc>
        <w:tc>
          <w:tcPr>
            <w:tcW w:w="6237" w:type="dxa"/>
            <w:tcBorders>
              <w:top w:val="nil"/>
              <w:left w:val="nil"/>
              <w:bottom w:val="nil"/>
              <w:right w:val="nil"/>
            </w:tcBorders>
            <w:tcMar>
              <w:top w:w="100" w:type="dxa"/>
              <w:left w:w="100" w:type="dxa"/>
              <w:bottom w:w="100" w:type="dxa"/>
              <w:right w:w="100" w:type="dxa"/>
            </w:tcMar>
          </w:tcPr>
          <w:p w14:paraId="00000B15"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And also, maybe like a competition if you do participate, you have to be rewarded</w:t>
            </w:r>
            <w:r w:rsidRPr="00991698">
              <w:rPr>
                <w:rFonts w:ascii="Times New Roman" w:eastAsia="Times New Roman" w:hAnsi="Times New Roman" w:cs="Times New Roman"/>
              </w:rPr>
              <w:t>”. (P148)</w:t>
            </w:r>
          </w:p>
          <w:p w14:paraId="00000B16"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“There’s</w:t>
            </w:r>
            <w:r w:rsidRPr="00991698">
              <w:rPr>
                <w:rFonts w:ascii="Times New Roman" w:eastAsia="Times New Roman" w:hAnsi="Times New Roman" w:cs="Times New Roman"/>
                <w:i/>
              </w:rPr>
              <w:t xml:space="preserve"> like an incentive you want to try it out</w:t>
            </w:r>
            <w:r w:rsidRPr="00991698">
              <w:rPr>
                <w:rFonts w:ascii="Times New Roman" w:eastAsia="Times New Roman" w:hAnsi="Times New Roman" w:cs="Times New Roman"/>
              </w:rPr>
              <w:t>”. (P180)</w:t>
            </w:r>
          </w:p>
        </w:tc>
      </w:tr>
      <w:tr w:rsidR="00CB4215" w14:paraId="1A07EC15"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B17" w14:textId="77777777" w:rsidR="00CB4215" w:rsidRPr="00991698" w:rsidRDefault="00CB4215">
            <w:pPr>
              <w:widowControl w:val="0"/>
              <w:spacing w:line="240" w:lineRule="auto"/>
              <w:rPr>
                <w:rFonts w:ascii="Times New Roman" w:eastAsia="Times New Roman" w:hAnsi="Times New Roman" w:cs="Times New Roman"/>
              </w:rPr>
            </w:pPr>
          </w:p>
        </w:tc>
        <w:tc>
          <w:tcPr>
            <w:tcW w:w="2410" w:type="dxa"/>
            <w:tcBorders>
              <w:top w:val="nil"/>
              <w:left w:val="nil"/>
              <w:bottom w:val="nil"/>
              <w:right w:val="nil"/>
            </w:tcBorders>
            <w:tcMar>
              <w:top w:w="100" w:type="dxa"/>
              <w:left w:w="100" w:type="dxa"/>
              <w:bottom w:w="100" w:type="dxa"/>
              <w:right w:w="100" w:type="dxa"/>
            </w:tcMar>
          </w:tcPr>
          <w:p w14:paraId="00000B18" w14:textId="77777777" w:rsidR="00CB4215" w:rsidRPr="00991698" w:rsidRDefault="00CB4215">
            <w:pPr>
              <w:widowControl w:val="0"/>
              <w:spacing w:line="240" w:lineRule="auto"/>
              <w:rPr>
                <w:rFonts w:ascii="Times New Roman" w:eastAsia="Times New Roman" w:hAnsi="Times New Roman" w:cs="Times New Roman"/>
              </w:rPr>
            </w:pPr>
          </w:p>
        </w:tc>
        <w:tc>
          <w:tcPr>
            <w:tcW w:w="3544" w:type="dxa"/>
            <w:tcBorders>
              <w:top w:val="nil"/>
              <w:left w:val="nil"/>
              <w:bottom w:val="nil"/>
              <w:right w:val="nil"/>
            </w:tcBorders>
            <w:tcMar>
              <w:top w:w="100" w:type="dxa"/>
              <w:left w:w="100" w:type="dxa"/>
              <w:bottom w:w="100" w:type="dxa"/>
              <w:right w:w="100" w:type="dxa"/>
            </w:tcMar>
          </w:tcPr>
          <w:p w14:paraId="00000B19"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 xml:space="preserve">Enabler: Provide evening eating time reminder </w:t>
            </w:r>
          </w:p>
        </w:tc>
        <w:tc>
          <w:tcPr>
            <w:tcW w:w="6237" w:type="dxa"/>
            <w:tcBorders>
              <w:top w:val="nil"/>
              <w:left w:val="nil"/>
              <w:bottom w:val="nil"/>
              <w:right w:val="nil"/>
            </w:tcBorders>
            <w:tcMar>
              <w:top w:w="100" w:type="dxa"/>
              <w:left w:w="100" w:type="dxa"/>
              <w:bottom w:w="100" w:type="dxa"/>
              <w:right w:w="100" w:type="dxa"/>
            </w:tcMar>
          </w:tcPr>
          <w:p w14:paraId="00000B1A"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So, maybe, like, a reminder. For example, 'It's already 8pm, you cannot eat,' or a reminder, for example, the last time I can eat is 7pm. That would be much helpful</w:t>
            </w:r>
            <w:r w:rsidRPr="00991698">
              <w:rPr>
                <w:rFonts w:ascii="Times New Roman" w:eastAsia="Times New Roman" w:hAnsi="Times New Roman" w:cs="Times New Roman"/>
              </w:rPr>
              <w:t>”. (P166)</w:t>
            </w:r>
          </w:p>
          <w:p w14:paraId="00000B1B"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Just as a reminder</w:t>
            </w:r>
            <w:r w:rsidRPr="00991698">
              <w:rPr>
                <w:rFonts w:ascii="Times New Roman" w:eastAsia="Times New Roman" w:hAnsi="Times New Roman" w:cs="Times New Roman"/>
              </w:rPr>
              <w:t>”. (P171)</w:t>
            </w:r>
          </w:p>
        </w:tc>
      </w:tr>
      <w:tr w:rsidR="00CB4215" w14:paraId="3CF88E83"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B1C" w14:textId="77777777" w:rsidR="00CB4215" w:rsidRPr="00991698" w:rsidRDefault="00CB4215">
            <w:pPr>
              <w:widowControl w:val="0"/>
              <w:spacing w:line="240" w:lineRule="auto"/>
              <w:rPr>
                <w:rFonts w:ascii="Times New Roman" w:eastAsia="Times New Roman" w:hAnsi="Times New Roman" w:cs="Times New Roman"/>
              </w:rPr>
            </w:pPr>
          </w:p>
        </w:tc>
        <w:tc>
          <w:tcPr>
            <w:tcW w:w="2410" w:type="dxa"/>
            <w:tcBorders>
              <w:top w:val="nil"/>
              <w:left w:val="nil"/>
              <w:bottom w:val="nil"/>
              <w:right w:val="nil"/>
            </w:tcBorders>
            <w:tcMar>
              <w:top w:w="100" w:type="dxa"/>
              <w:left w:w="100" w:type="dxa"/>
              <w:bottom w:w="100" w:type="dxa"/>
              <w:right w:w="100" w:type="dxa"/>
            </w:tcMar>
          </w:tcPr>
          <w:p w14:paraId="00000B1D" w14:textId="77777777" w:rsidR="00CB4215" w:rsidRPr="00991698" w:rsidRDefault="00CB4215">
            <w:pPr>
              <w:widowControl w:val="0"/>
              <w:spacing w:line="240" w:lineRule="auto"/>
              <w:rPr>
                <w:rFonts w:ascii="Times New Roman" w:eastAsia="Times New Roman" w:hAnsi="Times New Roman" w:cs="Times New Roman"/>
              </w:rPr>
            </w:pPr>
          </w:p>
        </w:tc>
        <w:tc>
          <w:tcPr>
            <w:tcW w:w="3544" w:type="dxa"/>
            <w:tcBorders>
              <w:top w:val="nil"/>
              <w:left w:val="nil"/>
              <w:bottom w:val="nil"/>
              <w:right w:val="nil"/>
            </w:tcBorders>
            <w:tcMar>
              <w:top w:w="100" w:type="dxa"/>
              <w:left w:w="100" w:type="dxa"/>
              <w:bottom w:w="100" w:type="dxa"/>
              <w:right w:w="100" w:type="dxa"/>
            </w:tcMar>
          </w:tcPr>
          <w:p w14:paraId="00000B1E"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 xml:space="preserve">Enabler: Have positive feelings with eating early </w:t>
            </w:r>
          </w:p>
        </w:tc>
        <w:tc>
          <w:tcPr>
            <w:tcW w:w="6237" w:type="dxa"/>
            <w:tcBorders>
              <w:top w:val="nil"/>
              <w:left w:val="nil"/>
              <w:bottom w:val="nil"/>
              <w:right w:val="nil"/>
            </w:tcBorders>
            <w:tcMar>
              <w:top w:w="100" w:type="dxa"/>
              <w:left w:w="100" w:type="dxa"/>
              <w:bottom w:w="100" w:type="dxa"/>
              <w:right w:w="100" w:type="dxa"/>
            </w:tcMar>
          </w:tcPr>
          <w:p w14:paraId="00000B1F"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Yes, I do feel more content, of course. Yes, because I can achieve it so that I can predict that the next day I will decrease my weight</w:t>
            </w:r>
            <w:r w:rsidRPr="00991698">
              <w:rPr>
                <w:rFonts w:ascii="Times New Roman" w:eastAsia="Times New Roman" w:hAnsi="Times New Roman" w:cs="Times New Roman"/>
              </w:rPr>
              <w:t>”. (P171)</w:t>
            </w:r>
          </w:p>
          <w:p w14:paraId="00000B20"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Content, I feel content if I eat before 8:00</w:t>
            </w:r>
            <w:r w:rsidRPr="00991698">
              <w:rPr>
                <w:rFonts w:ascii="Times New Roman" w:eastAsia="Times New Roman" w:hAnsi="Times New Roman" w:cs="Times New Roman"/>
              </w:rPr>
              <w:t>”. (P111)</w:t>
            </w:r>
          </w:p>
        </w:tc>
      </w:tr>
      <w:tr w:rsidR="00CB4215" w14:paraId="268009DD"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B21"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Reflective motivation</w:t>
            </w:r>
          </w:p>
        </w:tc>
        <w:tc>
          <w:tcPr>
            <w:tcW w:w="2410" w:type="dxa"/>
            <w:tcBorders>
              <w:top w:val="nil"/>
              <w:left w:val="nil"/>
              <w:bottom w:val="nil"/>
              <w:right w:val="nil"/>
            </w:tcBorders>
            <w:tcMar>
              <w:top w:w="100" w:type="dxa"/>
              <w:left w:w="100" w:type="dxa"/>
              <w:bottom w:w="100" w:type="dxa"/>
              <w:right w:w="100" w:type="dxa"/>
            </w:tcMar>
          </w:tcPr>
          <w:p w14:paraId="00000B22" w14:textId="77777777" w:rsidR="00CB4215" w:rsidRPr="00991698" w:rsidRDefault="000530B4">
            <w:pPr>
              <w:widowControl w:val="0"/>
              <w:spacing w:line="240" w:lineRule="auto"/>
              <w:rPr>
                <w:rFonts w:ascii="Times New Roman" w:eastAsia="Times New Roman" w:hAnsi="Times New Roman" w:cs="Times New Roman"/>
                <w:b/>
              </w:rPr>
            </w:pPr>
            <w:r w:rsidRPr="00991698">
              <w:rPr>
                <w:rFonts w:ascii="Times New Roman" w:eastAsia="Times New Roman" w:hAnsi="Times New Roman" w:cs="Times New Roman"/>
                <w:b/>
              </w:rPr>
              <w:t>Willingness to change</w:t>
            </w:r>
          </w:p>
        </w:tc>
        <w:tc>
          <w:tcPr>
            <w:tcW w:w="3544" w:type="dxa"/>
            <w:tcBorders>
              <w:top w:val="nil"/>
              <w:left w:val="nil"/>
              <w:bottom w:val="nil"/>
              <w:right w:val="nil"/>
            </w:tcBorders>
            <w:tcMar>
              <w:top w:w="100" w:type="dxa"/>
              <w:left w:w="100" w:type="dxa"/>
              <w:bottom w:w="100" w:type="dxa"/>
              <w:right w:w="100" w:type="dxa"/>
            </w:tcMar>
          </w:tcPr>
          <w:p w14:paraId="00000B23"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Barrier: Unwillingness to change late eating</w:t>
            </w:r>
          </w:p>
        </w:tc>
        <w:tc>
          <w:tcPr>
            <w:tcW w:w="6237" w:type="dxa"/>
            <w:tcBorders>
              <w:top w:val="nil"/>
              <w:left w:val="nil"/>
              <w:bottom w:val="nil"/>
              <w:right w:val="nil"/>
            </w:tcBorders>
            <w:tcMar>
              <w:top w:w="100" w:type="dxa"/>
              <w:left w:w="100" w:type="dxa"/>
              <w:bottom w:w="100" w:type="dxa"/>
              <w:right w:w="100" w:type="dxa"/>
            </w:tcMar>
          </w:tcPr>
          <w:p w14:paraId="00000B24"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 xml:space="preserve">Well, I want </w:t>
            </w:r>
            <w:proofErr w:type="gramStart"/>
            <w:r w:rsidRPr="00991698">
              <w:rPr>
                <w:rFonts w:ascii="Times New Roman" w:eastAsia="Times New Roman" w:hAnsi="Times New Roman" w:cs="Times New Roman"/>
                <w:i/>
              </w:rPr>
              <w:t>to</w:t>
            </w:r>
            <w:proofErr w:type="gramEnd"/>
            <w:r w:rsidRPr="00991698">
              <w:rPr>
                <w:rFonts w:ascii="Times New Roman" w:eastAsia="Times New Roman" w:hAnsi="Times New Roman" w:cs="Times New Roman"/>
                <w:i/>
              </w:rPr>
              <w:t xml:space="preserve"> but I can't</w:t>
            </w:r>
            <w:r w:rsidRPr="00991698">
              <w:rPr>
                <w:rFonts w:ascii="Times New Roman" w:eastAsia="Times New Roman" w:hAnsi="Times New Roman" w:cs="Times New Roman"/>
              </w:rPr>
              <w:t>”. (P124)</w:t>
            </w:r>
          </w:p>
          <w:p w14:paraId="00000B25"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At the moment probably not just because I just don't know how I'd be able to get those meals in</w:t>
            </w:r>
            <w:r w:rsidRPr="00991698">
              <w:rPr>
                <w:rFonts w:ascii="Times New Roman" w:eastAsia="Times New Roman" w:hAnsi="Times New Roman" w:cs="Times New Roman"/>
              </w:rPr>
              <w:t>””. (P188)</w:t>
            </w:r>
          </w:p>
        </w:tc>
      </w:tr>
      <w:tr w:rsidR="00CB4215" w14:paraId="190727B3"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B26" w14:textId="77777777" w:rsidR="00CB4215" w:rsidRPr="00991698" w:rsidRDefault="00CB4215">
            <w:pPr>
              <w:widowControl w:val="0"/>
              <w:spacing w:line="240" w:lineRule="auto"/>
              <w:rPr>
                <w:rFonts w:ascii="Times New Roman" w:eastAsia="Times New Roman" w:hAnsi="Times New Roman" w:cs="Times New Roman"/>
              </w:rPr>
            </w:pPr>
          </w:p>
        </w:tc>
        <w:tc>
          <w:tcPr>
            <w:tcW w:w="2410" w:type="dxa"/>
            <w:tcBorders>
              <w:top w:val="nil"/>
              <w:left w:val="nil"/>
              <w:bottom w:val="nil"/>
              <w:right w:val="nil"/>
            </w:tcBorders>
            <w:tcMar>
              <w:top w:w="100" w:type="dxa"/>
              <w:left w:w="100" w:type="dxa"/>
              <w:bottom w:w="100" w:type="dxa"/>
              <w:right w:w="100" w:type="dxa"/>
            </w:tcMar>
          </w:tcPr>
          <w:p w14:paraId="00000B27" w14:textId="77777777" w:rsidR="00CB4215" w:rsidRPr="00991698" w:rsidRDefault="00CB4215">
            <w:pPr>
              <w:widowControl w:val="0"/>
              <w:spacing w:line="240" w:lineRule="auto"/>
              <w:rPr>
                <w:rFonts w:ascii="Times New Roman" w:eastAsia="Times New Roman" w:hAnsi="Times New Roman" w:cs="Times New Roman"/>
              </w:rPr>
            </w:pPr>
          </w:p>
        </w:tc>
        <w:tc>
          <w:tcPr>
            <w:tcW w:w="3544" w:type="dxa"/>
            <w:tcBorders>
              <w:top w:val="nil"/>
              <w:left w:val="nil"/>
              <w:bottom w:val="nil"/>
              <w:right w:val="nil"/>
            </w:tcBorders>
            <w:tcMar>
              <w:top w:w="100" w:type="dxa"/>
              <w:left w:w="100" w:type="dxa"/>
              <w:bottom w:w="100" w:type="dxa"/>
              <w:right w:w="100" w:type="dxa"/>
            </w:tcMar>
          </w:tcPr>
          <w:p w14:paraId="00000B28"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Barrier: Unwillingness to take part in the programme</w:t>
            </w:r>
          </w:p>
        </w:tc>
        <w:tc>
          <w:tcPr>
            <w:tcW w:w="6237" w:type="dxa"/>
            <w:tcBorders>
              <w:top w:val="nil"/>
              <w:left w:val="nil"/>
              <w:bottom w:val="nil"/>
              <w:right w:val="nil"/>
            </w:tcBorders>
            <w:tcMar>
              <w:top w:w="100" w:type="dxa"/>
              <w:left w:w="100" w:type="dxa"/>
              <w:bottom w:w="100" w:type="dxa"/>
              <w:right w:w="100" w:type="dxa"/>
            </w:tcMar>
          </w:tcPr>
          <w:p w14:paraId="00000B29"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“I’d</w:t>
            </w:r>
            <w:r w:rsidRPr="00991698">
              <w:rPr>
                <w:rFonts w:ascii="Times New Roman" w:eastAsia="Times New Roman" w:hAnsi="Times New Roman" w:cs="Times New Roman"/>
                <w:i/>
              </w:rPr>
              <w:t xml:space="preserve"> have to eat on the bus. It's quite hard because I would love to move to closer accommodation but there are a lot of circumstances that are happening. I can only eat earlier during the weekends but during the weekdays I have to eat my dinner late</w:t>
            </w:r>
            <w:r w:rsidRPr="00991698">
              <w:rPr>
                <w:rFonts w:ascii="Times New Roman" w:eastAsia="Times New Roman" w:hAnsi="Times New Roman" w:cs="Times New Roman"/>
              </w:rPr>
              <w:t>”. (P124)</w:t>
            </w:r>
          </w:p>
          <w:p w14:paraId="00000B2A"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No</w:t>
            </w:r>
            <w:r w:rsidRPr="00991698">
              <w:rPr>
                <w:rFonts w:ascii="Times New Roman" w:eastAsia="Times New Roman" w:hAnsi="Times New Roman" w:cs="Times New Roman"/>
              </w:rPr>
              <w:t>”. (P165)</w:t>
            </w:r>
          </w:p>
        </w:tc>
      </w:tr>
      <w:tr w:rsidR="00CB4215" w14:paraId="428AAB49"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B2B" w14:textId="77777777" w:rsidR="00CB4215" w:rsidRPr="00991698" w:rsidRDefault="00CB4215">
            <w:pPr>
              <w:widowControl w:val="0"/>
              <w:spacing w:line="240" w:lineRule="auto"/>
              <w:rPr>
                <w:rFonts w:ascii="Times New Roman" w:eastAsia="Times New Roman" w:hAnsi="Times New Roman" w:cs="Times New Roman"/>
              </w:rPr>
            </w:pPr>
          </w:p>
        </w:tc>
        <w:tc>
          <w:tcPr>
            <w:tcW w:w="2410" w:type="dxa"/>
            <w:tcBorders>
              <w:top w:val="nil"/>
              <w:left w:val="nil"/>
              <w:bottom w:val="nil"/>
              <w:right w:val="nil"/>
            </w:tcBorders>
            <w:tcMar>
              <w:top w:w="100" w:type="dxa"/>
              <w:left w:w="100" w:type="dxa"/>
              <w:bottom w:w="100" w:type="dxa"/>
              <w:right w:w="100" w:type="dxa"/>
            </w:tcMar>
          </w:tcPr>
          <w:p w14:paraId="00000B2C" w14:textId="77777777" w:rsidR="00CB4215" w:rsidRPr="00991698" w:rsidRDefault="00CB4215">
            <w:pPr>
              <w:widowControl w:val="0"/>
              <w:spacing w:line="240" w:lineRule="auto"/>
              <w:rPr>
                <w:rFonts w:ascii="Times New Roman" w:eastAsia="Times New Roman" w:hAnsi="Times New Roman" w:cs="Times New Roman"/>
              </w:rPr>
            </w:pPr>
          </w:p>
        </w:tc>
        <w:tc>
          <w:tcPr>
            <w:tcW w:w="3544" w:type="dxa"/>
            <w:tcBorders>
              <w:top w:val="nil"/>
              <w:left w:val="nil"/>
              <w:bottom w:val="nil"/>
              <w:right w:val="nil"/>
            </w:tcBorders>
            <w:tcMar>
              <w:top w:w="100" w:type="dxa"/>
              <w:left w:w="100" w:type="dxa"/>
              <w:bottom w:w="100" w:type="dxa"/>
              <w:right w:w="100" w:type="dxa"/>
            </w:tcMar>
          </w:tcPr>
          <w:p w14:paraId="00000B2D"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 xml:space="preserve">Enabler: Willingness to change </w:t>
            </w:r>
          </w:p>
        </w:tc>
        <w:tc>
          <w:tcPr>
            <w:tcW w:w="6237" w:type="dxa"/>
            <w:tcBorders>
              <w:top w:val="nil"/>
              <w:left w:val="nil"/>
              <w:bottom w:val="nil"/>
              <w:right w:val="nil"/>
            </w:tcBorders>
            <w:tcMar>
              <w:top w:w="100" w:type="dxa"/>
              <w:left w:w="100" w:type="dxa"/>
              <w:bottom w:w="100" w:type="dxa"/>
              <w:right w:w="100" w:type="dxa"/>
            </w:tcMar>
          </w:tcPr>
          <w:p w14:paraId="00000B2E"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Yes, I'm going to try and do that</w:t>
            </w:r>
            <w:r w:rsidRPr="00991698">
              <w:rPr>
                <w:rFonts w:ascii="Times New Roman" w:eastAsia="Times New Roman" w:hAnsi="Times New Roman" w:cs="Times New Roman"/>
              </w:rPr>
              <w:t>”. (P170)</w:t>
            </w:r>
          </w:p>
          <w:p w14:paraId="00000B2F"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Yes, of course, because I gain more positive impact when I stop eating in the evening. Yes, I will change</w:t>
            </w:r>
            <w:r w:rsidRPr="00991698">
              <w:rPr>
                <w:rFonts w:ascii="Times New Roman" w:eastAsia="Times New Roman" w:hAnsi="Times New Roman" w:cs="Times New Roman"/>
              </w:rPr>
              <w:t>”. (P171)</w:t>
            </w:r>
          </w:p>
        </w:tc>
      </w:tr>
      <w:tr w:rsidR="00CB4215" w14:paraId="5CD9DE45"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B30" w14:textId="77777777" w:rsidR="00CB4215" w:rsidRPr="00991698" w:rsidRDefault="00CB4215">
            <w:pPr>
              <w:widowControl w:val="0"/>
              <w:spacing w:line="240" w:lineRule="auto"/>
              <w:rPr>
                <w:rFonts w:ascii="Times New Roman" w:eastAsia="Times New Roman" w:hAnsi="Times New Roman" w:cs="Times New Roman"/>
              </w:rPr>
            </w:pPr>
          </w:p>
        </w:tc>
        <w:tc>
          <w:tcPr>
            <w:tcW w:w="2410" w:type="dxa"/>
            <w:tcBorders>
              <w:top w:val="nil"/>
              <w:left w:val="nil"/>
              <w:bottom w:val="nil"/>
              <w:right w:val="nil"/>
            </w:tcBorders>
            <w:tcMar>
              <w:top w:w="100" w:type="dxa"/>
              <w:left w:w="100" w:type="dxa"/>
              <w:bottom w:w="100" w:type="dxa"/>
              <w:right w:w="100" w:type="dxa"/>
            </w:tcMar>
          </w:tcPr>
          <w:p w14:paraId="00000B31" w14:textId="77777777" w:rsidR="00CB4215" w:rsidRPr="00991698" w:rsidRDefault="00CB4215">
            <w:pPr>
              <w:widowControl w:val="0"/>
              <w:spacing w:line="240" w:lineRule="auto"/>
              <w:rPr>
                <w:rFonts w:ascii="Times New Roman" w:eastAsia="Times New Roman" w:hAnsi="Times New Roman" w:cs="Times New Roman"/>
              </w:rPr>
            </w:pPr>
          </w:p>
        </w:tc>
        <w:tc>
          <w:tcPr>
            <w:tcW w:w="3544" w:type="dxa"/>
            <w:tcBorders>
              <w:top w:val="nil"/>
              <w:left w:val="nil"/>
              <w:bottom w:val="nil"/>
              <w:right w:val="nil"/>
            </w:tcBorders>
            <w:tcMar>
              <w:top w:w="100" w:type="dxa"/>
              <w:left w:w="100" w:type="dxa"/>
              <w:bottom w:w="100" w:type="dxa"/>
              <w:right w:w="100" w:type="dxa"/>
            </w:tcMar>
          </w:tcPr>
          <w:p w14:paraId="00000B32"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Enabler: Willingness to take part in the programme</w:t>
            </w:r>
          </w:p>
        </w:tc>
        <w:tc>
          <w:tcPr>
            <w:tcW w:w="6237" w:type="dxa"/>
            <w:tcBorders>
              <w:top w:val="nil"/>
              <w:left w:val="nil"/>
              <w:bottom w:val="nil"/>
              <w:right w:val="nil"/>
            </w:tcBorders>
            <w:tcMar>
              <w:top w:w="100" w:type="dxa"/>
              <w:left w:w="100" w:type="dxa"/>
              <w:bottom w:w="100" w:type="dxa"/>
              <w:right w:w="100" w:type="dxa"/>
            </w:tcMar>
          </w:tcPr>
          <w:p w14:paraId="00000B33"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Yes, of course, I do</w:t>
            </w:r>
            <w:r w:rsidRPr="00991698">
              <w:rPr>
                <w:rFonts w:ascii="Times New Roman" w:eastAsia="Times New Roman" w:hAnsi="Times New Roman" w:cs="Times New Roman"/>
              </w:rPr>
              <w:t>”. (P171)</w:t>
            </w:r>
          </w:p>
          <w:p w14:paraId="00000B34"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Yes, why not</w:t>
            </w:r>
            <w:r w:rsidRPr="00991698">
              <w:rPr>
                <w:rFonts w:ascii="Times New Roman" w:eastAsia="Times New Roman" w:hAnsi="Times New Roman" w:cs="Times New Roman"/>
              </w:rPr>
              <w:t>”. (P174)</w:t>
            </w:r>
          </w:p>
        </w:tc>
      </w:tr>
      <w:tr w:rsidR="00CB4215" w14:paraId="2D30D33C"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B35" w14:textId="77777777" w:rsidR="00CB4215" w:rsidRPr="00991698" w:rsidRDefault="00CB4215">
            <w:pPr>
              <w:widowControl w:val="0"/>
              <w:spacing w:line="240" w:lineRule="auto"/>
              <w:rPr>
                <w:rFonts w:ascii="Times New Roman" w:eastAsia="Times New Roman" w:hAnsi="Times New Roman" w:cs="Times New Roman"/>
              </w:rPr>
            </w:pPr>
          </w:p>
        </w:tc>
        <w:tc>
          <w:tcPr>
            <w:tcW w:w="2410" w:type="dxa"/>
            <w:tcBorders>
              <w:top w:val="nil"/>
              <w:left w:val="nil"/>
              <w:bottom w:val="nil"/>
              <w:right w:val="nil"/>
            </w:tcBorders>
            <w:tcMar>
              <w:top w:w="100" w:type="dxa"/>
              <w:left w:w="100" w:type="dxa"/>
              <w:bottom w:w="100" w:type="dxa"/>
              <w:right w:w="100" w:type="dxa"/>
            </w:tcMar>
          </w:tcPr>
          <w:p w14:paraId="00000B36" w14:textId="77777777" w:rsidR="00CB4215" w:rsidRPr="00991698" w:rsidRDefault="00CB4215">
            <w:pPr>
              <w:widowControl w:val="0"/>
              <w:spacing w:line="240" w:lineRule="auto"/>
              <w:rPr>
                <w:rFonts w:ascii="Times New Roman" w:eastAsia="Times New Roman" w:hAnsi="Times New Roman" w:cs="Times New Roman"/>
              </w:rPr>
            </w:pPr>
          </w:p>
        </w:tc>
        <w:tc>
          <w:tcPr>
            <w:tcW w:w="3544" w:type="dxa"/>
            <w:tcBorders>
              <w:top w:val="nil"/>
              <w:left w:val="nil"/>
              <w:bottom w:val="nil"/>
              <w:right w:val="nil"/>
            </w:tcBorders>
            <w:tcMar>
              <w:top w:w="100" w:type="dxa"/>
              <w:left w:w="100" w:type="dxa"/>
              <w:bottom w:w="100" w:type="dxa"/>
              <w:right w:w="100" w:type="dxa"/>
            </w:tcMar>
          </w:tcPr>
          <w:p w14:paraId="00000B37"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Enabler: Beliefs about the health consequences</w:t>
            </w:r>
          </w:p>
        </w:tc>
        <w:tc>
          <w:tcPr>
            <w:tcW w:w="6237" w:type="dxa"/>
            <w:tcBorders>
              <w:top w:val="nil"/>
              <w:left w:val="nil"/>
              <w:bottom w:val="nil"/>
              <w:right w:val="nil"/>
            </w:tcBorders>
            <w:tcMar>
              <w:top w:w="100" w:type="dxa"/>
              <w:left w:w="100" w:type="dxa"/>
              <w:bottom w:w="100" w:type="dxa"/>
              <w:right w:w="100" w:type="dxa"/>
            </w:tcMar>
          </w:tcPr>
          <w:p w14:paraId="00000B38"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I would like to say it's because I want to reduce my intake, so I want to a little bit reduce my weight because I'm feeling so much overweight</w:t>
            </w:r>
            <w:r w:rsidRPr="00991698">
              <w:rPr>
                <w:rFonts w:ascii="Times New Roman" w:eastAsia="Times New Roman" w:hAnsi="Times New Roman" w:cs="Times New Roman"/>
              </w:rPr>
              <w:t>”. (P178)</w:t>
            </w:r>
          </w:p>
          <w:p w14:paraId="00000B39"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Trying to lose some weight, getting some weight off and feeling better about myself</w:t>
            </w:r>
            <w:r w:rsidRPr="00991698">
              <w:rPr>
                <w:rFonts w:ascii="Times New Roman" w:eastAsia="Times New Roman" w:hAnsi="Times New Roman" w:cs="Times New Roman"/>
              </w:rPr>
              <w:t>”. (P170)</w:t>
            </w:r>
          </w:p>
          <w:p w14:paraId="00000B3A"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I think that it would probably improve my gut health as well. I think eating earlier in the evening would be better, allowing myself to digest the food before settling back down to bed</w:t>
            </w:r>
            <w:r w:rsidRPr="00991698">
              <w:rPr>
                <w:rFonts w:ascii="Times New Roman" w:eastAsia="Times New Roman" w:hAnsi="Times New Roman" w:cs="Times New Roman"/>
              </w:rPr>
              <w:t>”. (P188)</w:t>
            </w:r>
          </w:p>
        </w:tc>
      </w:tr>
      <w:tr w:rsidR="00CB4215" w14:paraId="45247A4A" w14:textId="77777777">
        <w:trPr>
          <w:trHeight w:val="500"/>
        </w:trPr>
        <w:tc>
          <w:tcPr>
            <w:tcW w:w="1701" w:type="dxa"/>
            <w:tcBorders>
              <w:top w:val="nil"/>
              <w:left w:val="nil"/>
              <w:bottom w:val="nil"/>
              <w:right w:val="nil"/>
            </w:tcBorders>
            <w:tcMar>
              <w:top w:w="100" w:type="dxa"/>
              <w:left w:w="100" w:type="dxa"/>
              <w:bottom w:w="100" w:type="dxa"/>
              <w:right w:w="100" w:type="dxa"/>
            </w:tcMar>
          </w:tcPr>
          <w:p w14:paraId="00000B3B" w14:textId="77777777" w:rsidR="00CB4215" w:rsidRPr="00991698" w:rsidRDefault="00CB4215">
            <w:pPr>
              <w:widowControl w:val="0"/>
              <w:spacing w:line="240" w:lineRule="auto"/>
              <w:rPr>
                <w:rFonts w:ascii="Times New Roman" w:eastAsia="Times New Roman" w:hAnsi="Times New Roman" w:cs="Times New Roman"/>
              </w:rPr>
            </w:pPr>
          </w:p>
        </w:tc>
        <w:tc>
          <w:tcPr>
            <w:tcW w:w="2410" w:type="dxa"/>
            <w:tcBorders>
              <w:top w:val="nil"/>
              <w:left w:val="nil"/>
              <w:bottom w:val="nil"/>
              <w:right w:val="nil"/>
            </w:tcBorders>
            <w:tcMar>
              <w:top w:w="100" w:type="dxa"/>
              <w:left w:w="100" w:type="dxa"/>
              <w:bottom w:w="100" w:type="dxa"/>
              <w:right w:w="100" w:type="dxa"/>
            </w:tcMar>
          </w:tcPr>
          <w:p w14:paraId="00000B3C" w14:textId="77777777" w:rsidR="00CB4215" w:rsidRPr="00991698" w:rsidRDefault="00CB4215">
            <w:pPr>
              <w:widowControl w:val="0"/>
              <w:spacing w:line="240" w:lineRule="auto"/>
              <w:rPr>
                <w:rFonts w:ascii="Times New Roman" w:eastAsia="Times New Roman" w:hAnsi="Times New Roman" w:cs="Times New Roman"/>
              </w:rPr>
            </w:pPr>
          </w:p>
        </w:tc>
        <w:tc>
          <w:tcPr>
            <w:tcW w:w="3544" w:type="dxa"/>
            <w:tcBorders>
              <w:top w:val="nil"/>
              <w:left w:val="nil"/>
              <w:bottom w:val="nil"/>
              <w:right w:val="nil"/>
            </w:tcBorders>
            <w:tcMar>
              <w:top w:w="100" w:type="dxa"/>
              <w:left w:w="100" w:type="dxa"/>
              <w:bottom w:w="100" w:type="dxa"/>
              <w:right w:w="100" w:type="dxa"/>
            </w:tcMar>
          </w:tcPr>
          <w:p w14:paraId="00000B3D"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Enabler: Pre-planning for early evening eating</w:t>
            </w:r>
          </w:p>
        </w:tc>
        <w:tc>
          <w:tcPr>
            <w:tcW w:w="6237" w:type="dxa"/>
            <w:tcBorders>
              <w:top w:val="nil"/>
              <w:left w:val="nil"/>
              <w:bottom w:val="nil"/>
              <w:right w:val="nil"/>
            </w:tcBorders>
            <w:tcMar>
              <w:top w:w="100" w:type="dxa"/>
              <w:left w:w="100" w:type="dxa"/>
              <w:bottom w:w="100" w:type="dxa"/>
              <w:right w:w="100" w:type="dxa"/>
            </w:tcMar>
          </w:tcPr>
          <w:p w14:paraId="00000B3E"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Quick meals, like quick meal ideas</w:t>
            </w:r>
            <w:r w:rsidRPr="00991698">
              <w:rPr>
                <w:rFonts w:ascii="Times New Roman" w:eastAsia="Times New Roman" w:hAnsi="Times New Roman" w:cs="Times New Roman"/>
              </w:rPr>
              <w:t>”. (P197)</w:t>
            </w:r>
          </w:p>
          <w:p w14:paraId="00000B3F"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w:t>
            </w:r>
            <w:r w:rsidRPr="00991698">
              <w:rPr>
                <w:rFonts w:ascii="Times New Roman" w:eastAsia="Times New Roman" w:hAnsi="Times New Roman" w:cs="Times New Roman"/>
                <w:i/>
              </w:rPr>
              <w:t>Maybe preparing earlier on, meal prep. Stuff like that would probably make it easier so I'm not having to think about, like, cooking things, something from scratch. Yes, anything like that</w:t>
            </w:r>
            <w:r w:rsidRPr="00991698">
              <w:rPr>
                <w:rFonts w:ascii="Times New Roman" w:eastAsia="Times New Roman" w:hAnsi="Times New Roman" w:cs="Times New Roman"/>
              </w:rPr>
              <w:t>”. (P105)</w:t>
            </w:r>
          </w:p>
        </w:tc>
      </w:tr>
      <w:tr w:rsidR="00CB4215" w14:paraId="23744C64" w14:textId="77777777">
        <w:trPr>
          <w:trHeight w:val="500"/>
        </w:trPr>
        <w:tc>
          <w:tcPr>
            <w:tcW w:w="1701" w:type="dxa"/>
            <w:tcBorders>
              <w:top w:val="nil"/>
              <w:left w:val="nil"/>
              <w:bottom w:val="single" w:sz="8" w:space="0" w:color="000000"/>
              <w:right w:val="nil"/>
            </w:tcBorders>
            <w:tcMar>
              <w:top w:w="100" w:type="dxa"/>
              <w:left w:w="100" w:type="dxa"/>
              <w:bottom w:w="100" w:type="dxa"/>
              <w:right w:w="100" w:type="dxa"/>
            </w:tcMar>
          </w:tcPr>
          <w:p w14:paraId="00000B40" w14:textId="77777777" w:rsidR="00CB4215" w:rsidRPr="00991698" w:rsidRDefault="00CB4215">
            <w:pPr>
              <w:widowControl w:val="0"/>
              <w:spacing w:line="240" w:lineRule="auto"/>
              <w:rPr>
                <w:rFonts w:ascii="Times New Roman" w:eastAsia="Times New Roman" w:hAnsi="Times New Roman" w:cs="Times New Roman"/>
              </w:rPr>
            </w:pPr>
          </w:p>
        </w:tc>
        <w:tc>
          <w:tcPr>
            <w:tcW w:w="2410" w:type="dxa"/>
            <w:tcBorders>
              <w:top w:val="nil"/>
              <w:left w:val="nil"/>
              <w:bottom w:val="single" w:sz="8" w:space="0" w:color="000000"/>
              <w:right w:val="nil"/>
            </w:tcBorders>
            <w:tcMar>
              <w:top w:w="100" w:type="dxa"/>
              <w:left w:w="100" w:type="dxa"/>
              <w:bottom w:w="100" w:type="dxa"/>
              <w:right w:w="100" w:type="dxa"/>
            </w:tcMar>
          </w:tcPr>
          <w:p w14:paraId="00000B41" w14:textId="77777777" w:rsidR="00CB4215" w:rsidRPr="00991698" w:rsidRDefault="00CB4215">
            <w:pPr>
              <w:widowControl w:val="0"/>
              <w:spacing w:line="240" w:lineRule="auto"/>
              <w:rPr>
                <w:rFonts w:ascii="Times New Roman" w:eastAsia="Times New Roman" w:hAnsi="Times New Roman" w:cs="Times New Roman"/>
              </w:rPr>
            </w:pPr>
          </w:p>
        </w:tc>
        <w:tc>
          <w:tcPr>
            <w:tcW w:w="3544" w:type="dxa"/>
            <w:tcBorders>
              <w:top w:val="nil"/>
              <w:left w:val="nil"/>
              <w:bottom w:val="single" w:sz="8" w:space="0" w:color="000000"/>
              <w:right w:val="nil"/>
            </w:tcBorders>
            <w:tcMar>
              <w:top w:w="100" w:type="dxa"/>
              <w:left w:w="100" w:type="dxa"/>
              <w:bottom w:w="100" w:type="dxa"/>
              <w:right w:w="100" w:type="dxa"/>
            </w:tcMar>
          </w:tcPr>
          <w:p w14:paraId="00000B42"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rPr>
              <w:t>Enabler: Alternative strategies to changing late evening eating</w:t>
            </w:r>
          </w:p>
        </w:tc>
        <w:tc>
          <w:tcPr>
            <w:tcW w:w="6237" w:type="dxa"/>
            <w:tcBorders>
              <w:top w:val="nil"/>
              <w:left w:val="nil"/>
              <w:bottom w:val="single" w:sz="8" w:space="0" w:color="000000"/>
              <w:right w:val="nil"/>
            </w:tcBorders>
            <w:tcMar>
              <w:top w:w="100" w:type="dxa"/>
              <w:left w:w="100" w:type="dxa"/>
              <w:bottom w:w="100" w:type="dxa"/>
              <w:right w:w="100" w:type="dxa"/>
            </w:tcMar>
          </w:tcPr>
          <w:p w14:paraId="00000B43"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i/>
              </w:rPr>
              <w:t>“I think going out can prevent it. Like, having a chat with my friends. I'm engaged with those kinds of activities, then I will not eat.”</w:t>
            </w:r>
            <w:r w:rsidRPr="00991698">
              <w:rPr>
                <w:rFonts w:ascii="Times New Roman" w:eastAsia="Times New Roman" w:hAnsi="Times New Roman" w:cs="Times New Roman"/>
              </w:rPr>
              <w:t xml:space="preserve"> (P166)</w:t>
            </w:r>
          </w:p>
          <w:p w14:paraId="00000B44" w14:textId="77777777" w:rsidR="00CB4215" w:rsidRPr="00991698" w:rsidRDefault="000530B4">
            <w:pPr>
              <w:widowControl w:val="0"/>
              <w:spacing w:line="240" w:lineRule="auto"/>
              <w:rPr>
                <w:rFonts w:ascii="Times New Roman" w:eastAsia="Times New Roman" w:hAnsi="Times New Roman" w:cs="Times New Roman"/>
              </w:rPr>
            </w:pPr>
            <w:r w:rsidRPr="00991698">
              <w:rPr>
                <w:rFonts w:ascii="Times New Roman" w:eastAsia="Times New Roman" w:hAnsi="Times New Roman" w:cs="Times New Roman"/>
                <w:i/>
              </w:rPr>
              <w:t>“Sometimes. Some after school activities that my daughter does, that are like, not really linked to school, that she does in an evening. If she's got something like that on, we might have to eat a little bit earlier.”</w:t>
            </w:r>
            <w:r w:rsidRPr="00991698">
              <w:rPr>
                <w:rFonts w:ascii="Times New Roman" w:eastAsia="Times New Roman" w:hAnsi="Times New Roman" w:cs="Times New Roman"/>
              </w:rPr>
              <w:t xml:space="preserve"> (P169)</w:t>
            </w:r>
          </w:p>
        </w:tc>
      </w:tr>
    </w:tbl>
    <w:p w14:paraId="00000B45" w14:textId="77777777" w:rsidR="00CB4215" w:rsidRDefault="00CB4215">
      <w:pPr>
        <w:spacing w:line="480" w:lineRule="auto"/>
        <w:rPr>
          <w:rFonts w:ascii="Calibri" w:eastAsia="Calibri" w:hAnsi="Calibri" w:cs="Calibri"/>
        </w:rPr>
        <w:sectPr w:rsidR="00CB4215">
          <w:type w:val="continuous"/>
          <w:pgSz w:w="16834" w:h="11909" w:orient="landscape"/>
          <w:pgMar w:top="1440" w:right="1440" w:bottom="1440" w:left="1440" w:header="720" w:footer="720" w:gutter="0"/>
          <w:cols w:space="720"/>
        </w:sectPr>
      </w:pPr>
    </w:p>
    <w:p w14:paraId="00000B46" w14:textId="77777777" w:rsidR="00CB4215" w:rsidRDefault="000530B4">
      <w:pPr>
        <w:pStyle w:val="Heading5"/>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lastRenderedPageBreak/>
        <w:t>6.6.3.1</w:t>
      </w:r>
      <w:r>
        <w:rPr>
          <w:rFonts w:ascii="Times New Roman" w:eastAsia="Times New Roman" w:hAnsi="Times New Roman" w:cs="Times New Roman"/>
          <w:b/>
          <w:i/>
          <w:color w:val="000000"/>
          <w:sz w:val="24"/>
          <w:szCs w:val="24"/>
        </w:rPr>
        <w:t xml:space="preserve"> Understanding and perception of evening eating habits (psychological capability)</w:t>
      </w:r>
    </w:p>
    <w:p w14:paraId="00000B47" w14:textId="77777777" w:rsidR="00CB4215" w:rsidRDefault="00CB4215">
      <w:pPr>
        <w:spacing w:line="480" w:lineRule="auto"/>
        <w:rPr>
          <w:rFonts w:ascii="Times New Roman" w:eastAsia="Times New Roman" w:hAnsi="Times New Roman" w:cs="Times New Roman"/>
          <w:sz w:val="26"/>
          <w:szCs w:val="26"/>
        </w:rPr>
      </w:pPr>
    </w:p>
    <w:p w14:paraId="00000B48"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expressed different views on the definition of a late evening meal. Some considered any meal after 10 pm to be late, while others considered eating after 12 pm (midnight) to be late. This variability presents a challenge for generalised advice, but also an opportunity for tailored interventions that </w:t>
      </w:r>
      <w:proofErr w:type="gramStart"/>
      <w:r>
        <w:rPr>
          <w:rFonts w:ascii="Times New Roman" w:eastAsia="Times New Roman" w:hAnsi="Times New Roman" w:cs="Times New Roman"/>
          <w:sz w:val="24"/>
          <w:szCs w:val="24"/>
        </w:rPr>
        <w:t>take into account</w:t>
      </w:r>
      <w:proofErr w:type="gramEnd"/>
      <w:r>
        <w:rPr>
          <w:rFonts w:ascii="Times New Roman" w:eastAsia="Times New Roman" w:hAnsi="Times New Roman" w:cs="Times New Roman"/>
          <w:sz w:val="24"/>
          <w:szCs w:val="24"/>
        </w:rPr>
        <w:t xml:space="preserve"> participants’ perceptions and usual meal timings. </w:t>
      </w:r>
    </w:p>
    <w:p w14:paraId="00000B49"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think 12am in the night. So, whenever I can't sleep my stomach starts to crave something.” </w:t>
      </w:r>
      <w:r>
        <w:rPr>
          <w:rFonts w:ascii="Times New Roman" w:eastAsia="Times New Roman" w:hAnsi="Times New Roman" w:cs="Times New Roman"/>
          <w:sz w:val="24"/>
          <w:szCs w:val="24"/>
        </w:rPr>
        <w:t>(P166)</w:t>
      </w:r>
    </w:p>
    <w:p w14:paraId="00000B4A" w14:textId="77777777" w:rsidR="00CB4215" w:rsidRDefault="00CB4215">
      <w:pPr>
        <w:widowControl w:val="0"/>
        <w:spacing w:line="240" w:lineRule="auto"/>
        <w:rPr>
          <w:rFonts w:ascii="Times New Roman" w:eastAsia="Times New Roman" w:hAnsi="Times New Roman" w:cs="Times New Roman"/>
          <w:sz w:val="24"/>
          <w:szCs w:val="24"/>
        </w:rPr>
      </w:pPr>
    </w:p>
    <w:p w14:paraId="00000B4B"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“Probably, like, 9:30, 10 o'clock. That starts to get a bit late.”</w:t>
      </w:r>
      <w:r>
        <w:rPr>
          <w:rFonts w:ascii="Times New Roman" w:eastAsia="Times New Roman" w:hAnsi="Times New Roman" w:cs="Times New Roman"/>
          <w:sz w:val="24"/>
          <w:szCs w:val="24"/>
        </w:rPr>
        <w:t xml:space="preserve"> (P105)</w:t>
      </w:r>
    </w:p>
    <w:p w14:paraId="00000B4C" w14:textId="77777777" w:rsidR="00CB4215" w:rsidRDefault="00CB4215">
      <w:pPr>
        <w:widowControl w:val="0"/>
        <w:spacing w:line="240" w:lineRule="auto"/>
        <w:rPr>
          <w:rFonts w:ascii="Times New Roman" w:eastAsia="Times New Roman" w:hAnsi="Times New Roman" w:cs="Times New Roman"/>
          <w:sz w:val="24"/>
          <w:szCs w:val="24"/>
        </w:rPr>
      </w:pPr>
    </w:p>
    <w:p w14:paraId="00000B4D" w14:textId="2061A284"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“Maybe around 22:00.” </w:t>
      </w:r>
      <w:r>
        <w:rPr>
          <w:rFonts w:ascii="Times New Roman" w:eastAsia="Times New Roman" w:hAnsi="Times New Roman" w:cs="Times New Roman"/>
          <w:sz w:val="24"/>
          <w:szCs w:val="24"/>
        </w:rPr>
        <w:t>(P124)</w:t>
      </w:r>
    </w:p>
    <w:p w14:paraId="00000B4E" w14:textId="77777777" w:rsidR="00CB4215" w:rsidRDefault="00CB4215">
      <w:pPr>
        <w:widowControl w:val="0"/>
        <w:spacing w:line="240" w:lineRule="auto"/>
        <w:rPr>
          <w:rFonts w:ascii="Times New Roman" w:eastAsia="Times New Roman" w:hAnsi="Times New Roman" w:cs="Times New Roman"/>
          <w:sz w:val="24"/>
          <w:szCs w:val="24"/>
        </w:rPr>
      </w:pPr>
    </w:p>
    <w:p w14:paraId="00000B4F"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“12:00 am.”</w:t>
      </w:r>
      <w:r>
        <w:rPr>
          <w:rFonts w:ascii="Times New Roman" w:eastAsia="Times New Roman" w:hAnsi="Times New Roman" w:cs="Times New Roman"/>
          <w:sz w:val="24"/>
          <w:szCs w:val="24"/>
        </w:rPr>
        <w:t xml:space="preserve"> (P148)</w:t>
      </w:r>
    </w:p>
    <w:p w14:paraId="00000B50" w14:textId="77777777" w:rsidR="00CB4215" w:rsidRDefault="00CB4215">
      <w:pPr>
        <w:widowControl w:val="0"/>
        <w:spacing w:line="240" w:lineRule="auto"/>
        <w:rPr>
          <w:rFonts w:ascii="Times New Roman" w:eastAsia="Times New Roman" w:hAnsi="Times New Roman" w:cs="Times New Roman"/>
          <w:sz w:val="24"/>
          <w:szCs w:val="24"/>
        </w:rPr>
      </w:pPr>
    </w:p>
    <w:p w14:paraId="00000B51"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“Maybe around 10 pm is quite late, so I never have snacks, I never have a meal after 10 pm.” </w:t>
      </w:r>
      <w:r>
        <w:rPr>
          <w:rFonts w:ascii="Times New Roman" w:eastAsia="Times New Roman" w:hAnsi="Times New Roman" w:cs="Times New Roman"/>
          <w:sz w:val="24"/>
          <w:szCs w:val="24"/>
        </w:rPr>
        <w:t>(P178)</w:t>
      </w:r>
    </w:p>
    <w:p w14:paraId="00000B52" w14:textId="77777777" w:rsidR="00CB4215" w:rsidRDefault="00CB4215">
      <w:pPr>
        <w:widowControl w:val="0"/>
        <w:spacing w:line="480" w:lineRule="auto"/>
        <w:rPr>
          <w:rFonts w:ascii="Calibri" w:eastAsia="Calibri" w:hAnsi="Calibri" w:cs="Calibri"/>
          <w:sz w:val="24"/>
          <w:szCs w:val="24"/>
        </w:rPr>
      </w:pPr>
    </w:p>
    <w:p w14:paraId="00000B53"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the reasons behind participants' perceptions of late evening eating times can be valuable.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participants had clear reasons for defining certain times as 'late evening', such as concerns about weight gain, sleep disturbance and gastrointestinal health.</w:t>
      </w:r>
    </w:p>
    <w:p w14:paraId="00000B54"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“Because I usually go to sleep at 1:00 am or 2:00 am, so I think that if I eat later than 12:00 am, it will impact the sleep because I still need time to process the food here in my stomach, and any of this effort can cause stomach aches.”</w:t>
      </w:r>
      <w:r>
        <w:rPr>
          <w:rFonts w:ascii="Times New Roman" w:eastAsia="Times New Roman" w:hAnsi="Times New Roman" w:cs="Times New Roman"/>
          <w:sz w:val="24"/>
          <w:szCs w:val="24"/>
        </w:rPr>
        <w:t xml:space="preserve"> (P148)</w:t>
      </w:r>
    </w:p>
    <w:p w14:paraId="00000B55" w14:textId="77777777" w:rsidR="00CB4215" w:rsidRDefault="00CB4215">
      <w:pPr>
        <w:widowControl w:val="0"/>
        <w:spacing w:line="240" w:lineRule="auto"/>
        <w:rPr>
          <w:rFonts w:ascii="Times New Roman" w:eastAsia="Times New Roman" w:hAnsi="Times New Roman" w:cs="Times New Roman"/>
          <w:sz w:val="24"/>
          <w:szCs w:val="24"/>
        </w:rPr>
      </w:pPr>
    </w:p>
    <w:p w14:paraId="00000B56"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“Because I think since I'm going to be at 12:00, around 12:00, and like I said, I need to digest a bit before going to bed, if I eat too late then I have to clean the dishes and then, you know, I'll clean everything and rest a bit before going to bed, and I think that's too close.”</w:t>
      </w:r>
      <w:r>
        <w:rPr>
          <w:rFonts w:ascii="Times New Roman" w:eastAsia="Times New Roman" w:hAnsi="Times New Roman" w:cs="Times New Roman"/>
          <w:sz w:val="24"/>
          <w:szCs w:val="24"/>
        </w:rPr>
        <w:t xml:space="preserve"> (P165)</w:t>
      </w:r>
    </w:p>
    <w:p w14:paraId="00000B57" w14:textId="77777777" w:rsidR="00CB4215" w:rsidRDefault="00CB4215">
      <w:pPr>
        <w:widowControl w:val="0"/>
        <w:spacing w:line="480" w:lineRule="auto"/>
        <w:rPr>
          <w:rFonts w:ascii="Times New Roman" w:eastAsia="Times New Roman" w:hAnsi="Times New Roman" w:cs="Times New Roman"/>
          <w:sz w:val="24"/>
          <w:szCs w:val="24"/>
        </w:rPr>
      </w:pPr>
    </w:p>
    <w:p w14:paraId="00000B58"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because it's closest to my sleeping hour, like, I sleep around 1 am or 2 am. And then if I eat, like, at 12 am it's too short, and then it's very late, and then it's almost the end of the day. And if I counted how many times I've eaten, it could be the fourth time of my meal, so the second evening meal. So, that's very late I think.”</w:t>
      </w:r>
      <w:r>
        <w:rPr>
          <w:rFonts w:ascii="Times New Roman" w:eastAsia="Times New Roman" w:hAnsi="Times New Roman" w:cs="Times New Roman"/>
          <w:sz w:val="24"/>
          <w:szCs w:val="24"/>
        </w:rPr>
        <w:t xml:space="preserve"> (P166)</w:t>
      </w:r>
    </w:p>
    <w:p w14:paraId="00000B59" w14:textId="77777777" w:rsidR="00CB4215" w:rsidRDefault="00CB4215">
      <w:pPr>
        <w:widowControl w:val="0"/>
        <w:spacing w:line="480" w:lineRule="auto"/>
        <w:rPr>
          <w:rFonts w:ascii="Calibri" w:eastAsia="Calibri" w:hAnsi="Calibri" w:cs="Calibri"/>
          <w:sz w:val="24"/>
          <w:szCs w:val="24"/>
        </w:rPr>
      </w:pPr>
    </w:p>
    <w:p w14:paraId="00000B5A"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Another barrier was uncertainty about the benefits of eating earlier. While many were aware of general suggestions that eating earlier might be beneficial, there was limited understanding about the specific health benefits of eating earlier in the evening.</w:t>
      </w:r>
    </w:p>
    <w:p w14:paraId="00000B5B"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don't know the benefits because it's not something that I do, I don't really know about the health side of things, I don't really know the health benefits. I'm sure there'll be some sort of health benefit I'm just not fully aware of.” </w:t>
      </w:r>
      <w:r>
        <w:rPr>
          <w:rFonts w:ascii="Times New Roman" w:eastAsia="Times New Roman" w:hAnsi="Times New Roman" w:cs="Times New Roman"/>
          <w:sz w:val="24"/>
          <w:szCs w:val="24"/>
        </w:rPr>
        <w:t>(P181)</w:t>
      </w:r>
    </w:p>
    <w:p w14:paraId="00000B5C" w14:textId="77777777" w:rsidR="00CB4215" w:rsidRDefault="00CB4215">
      <w:pPr>
        <w:widowControl w:val="0"/>
        <w:spacing w:line="240" w:lineRule="auto"/>
        <w:rPr>
          <w:rFonts w:ascii="Times New Roman" w:eastAsia="Times New Roman" w:hAnsi="Times New Roman" w:cs="Times New Roman"/>
          <w:sz w:val="24"/>
          <w:szCs w:val="24"/>
        </w:rPr>
      </w:pPr>
    </w:p>
    <w:p w14:paraId="00000B5D"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don't know if I'd notice much of a difference really. I don't know if it would make me feel slightly better going to sleep, but I suppose I haven't really tried it enough times to be able to know.” </w:t>
      </w:r>
      <w:r>
        <w:rPr>
          <w:rFonts w:ascii="Times New Roman" w:eastAsia="Times New Roman" w:hAnsi="Times New Roman" w:cs="Times New Roman"/>
          <w:sz w:val="24"/>
          <w:szCs w:val="24"/>
        </w:rPr>
        <w:t>(P105)</w:t>
      </w:r>
    </w:p>
    <w:p w14:paraId="00000B5E" w14:textId="77777777" w:rsidR="00CB4215" w:rsidRDefault="00CB4215">
      <w:pPr>
        <w:widowControl w:val="0"/>
        <w:spacing w:line="480" w:lineRule="auto"/>
        <w:rPr>
          <w:rFonts w:ascii="Times New Roman" w:eastAsia="Times New Roman" w:hAnsi="Times New Roman" w:cs="Times New Roman"/>
          <w:sz w:val="24"/>
          <w:szCs w:val="24"/>
        </w:rPr>
      </w:pPr>
    </w:p>
    <w:p w14:paraId="00000B5F"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“To be honest, I'm not really sure. I know some people say that it has, like, loads of health benefits about helping you lose weight, with your metabolism and everything like that. But when I was eating before 8 pm, I never really saw a change myself, and I was doing that for 5 years. So, I know there are plenty of benefits to it and some things will work for some people and some things will work for others. But I just seem to have not found something that works yet.”</w:t>
      </w:r>
      <w:r>
        <w:rPr>
          <w:rFonts w:ascii="Times New Roman" w:eastAsia="Times New Roman" w:hAnsi="Times New Roman" w:cs="Times New Roman"/>
          <w:sz w:val="24"/>
          <w:szCs w:val="24"/>
        </w:rPr>
        <w:t xml:space="preserve"> (P121)</w:t>
      </w:r>
    </w:p>
    <w:p w14:paraId="00000B60" w14:textId="77777777" w:rsidR="00CB4215" w:rsidRDefault="00CB4215">
      <w:pPr>
        <w:widowControl w:val="0"/>
        <w:spacing w:line="480" w:lineRule="auto"/>
        <w:rPr>
          <w:rFonts w:ascii="Calibri" w:eastAsia="Calibri" w:hAnsi="Calibri" w:cs="Calibri"/>
          <w:sz w:val="24"/>
          <w:szCs w:val="24"/>
        </w:rPr>
      </w:pPr>
    </w:p>
    <w:p w14:paraId="00000B61"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expressed a willingness to learn more information about eating earlier in the evening and said how such information could motivate eating earlier in the evening. </w:t>
      </w:r>
    </w:p>
    <w:p w14:paraId="00000B62"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“You see benefits in that, maybe I don't know if this research would, you could share more health benefits of eating a bit earlier which would motivate me.”</w:t>
      </w:r>
      <w:r>
        <w:rPr>
          <w:rFonts w:ascii="Times New Roman" w:eastAsia="Times New Roman" w:hAnsi="Times New Roman" w:cs="Times New Roman"/>
          <w:sz w:val="24"/>
          <w:szCs w:val="24"/>
        </w:rPr>
        <w:t xml:space="preserve"> (P180)</w:t>
      </w:r>
    </w:p>
    <w:p w14:paraId="00000B63" w14:textId="77777777" w:rsidR="00CB4215" w:rsidRDefault="00CB4215">
      <w:pPr>
        <w:widowControl w:val="0"/>
        <w:spacing w:line="240" w:lineRule="auto"/>
        <w:rPr>
          <w:rFonts w:ascii="Times New Roman" w:eastAsia="Times New Roman" w:hAnsi="Times New Roman" w:cs="Times New Roman"/>
          <w:sz w:val="24"/>
          <w:szCs w:val="24"/>
        </w:rPr>
      </w:pPr>
    </w:p>
    <w:p w14:paraId="00000B64"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knowing the health. For example, yesterday I took a test for research on future health, and then knowing the results that my cholesterol is a little bit high, then I started to avoid eating late at night. I think understanding the bad effect of my habit makes me realise that 'Okay, I need to stop eating like that.”</w:t>
      </w:r>
      <w:r>
        <w:rPr>
          <w:rFonts w:ascii="Times New Roman" w:eastAsia="Times New Roman" w:hAnsi="Times New Roman" w:cs="Times New Roman"/>
          <w:sz w:val="24"/>
          <w:szCs w:val="24"/>
        </w:rPr>
        <w:t xml:space="preserve"> (P166)</w:t>
      </w:r>
    </w:p>
    <w:p w14:paraId="00000B65" w14:textId="77777777" w:rsidR="00CB4215" w:rsidRDefault="00CB4215">
      <w:pPr>
        <w:widowControl w:val="0"/>
        <w:spacing w:line="240" w:lineRule="auto"/>
        <w:rPr>
          <w:rFonts w:ascii="Times New Roman" w:eastAsia="Times New Roman" w:hAnsi="Times New Roman" w:cs="Times New Roman"/>
          <w:sz w:val="24"/>
          <w:szCs w:val="24"/>
        </w:rPr>
      </w:pPr>
    </w:p>
    <w:p w14:paraId="00000B66" w14:textId="77777777" w:rsidR="00CB4215" w:rsidRDefault="000530B4">
      <w:pPr>
        <w:pStyle w:val="Heading5"/>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6.6.3.2</w:t>
      </w:r>
      <w:r>
        <w:rPr>
          <w:rFonts w:ascii="Times New Roman" w:eastAsia="Times New Roman" w:hAnsi="Times New Roman" w:cs="Times New Roman"/>
          <w:b/>
          <w:i/>
          <w:color w:val="000000"/>
          <w:sz w:val="24"/>
          <w:szCs w:val="24"/>
        </w:rPr>
        <w:t xml:space="preserve"> Physiological drivers (physical capability)</w:t>
      </w:r>
    </w:p>
    <w:p w14:paraId="00000B67" w14:textId="77777777" w:rsidR="00CB4215" w:rsidRDefault="00CB4215"/>
    <w:p w14:paraId="00000B68"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participants suggested that body cues, such as hunger or stomach discomfort, could be barriers to changing late evening eating.</w:t>
      </w:r>
    </w:p>
    <w:p w14:paraId="00000B69"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“And I'm not sure whether my stomach's reaction actually needs to be fulfilled or I need to bear it, because it feels like a spike on the stomach late at night that makes me uncomfortable, and then that's why I take some meal to make it better.”</w:t>
      </w:r>
      <w:r>
        <w:rPr>
          <w:rFonts w:ascii="Times New Roman" w:eastAsia="Times New Roman" w:hAnsi="Times New Roman" w:cs="Times New Roman"/>
          <w:sz w:val="24"/>
          <w:szCs w:val="24"/>
        </w:rPr>
        <w:t xml:space="preserve"> (P166)</w:t>
      </w:r>
    </w:p>
    <w:p w14:paraId="00000B6A" w14:textId="77777777" w:rsidR="00CB4215" w:rsidRDefault="00CB4215">
      <w:pPr>
        <w:widowControl w:val="0"/>
        <w:spacing w:line="240" w:lineRule="auto"/>
        <w:rPr>
          <w:rFonts w:ascii="Times New Roman" w:eastAsia="Times New Roman" w:hAnsi="Times New Roman" w:cs="Times New Roman"/>
          <w:sz w:val="24"/>
          <w:szCs w:val="24"/>
        </w:rPr>
      </w:pPr>
    </w:p>
    <w:p w14:paraId="00000B6B"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“Usually in the evening I feel </w:t>
      </w:r>
      <w:proofErr w:type="gramStart"/>
      <w:r>
        <w:rPr>
          <w:rFonts w:ascii="Times New Roman" w:eastAsia="Times New Roman" w:hAnsi="Times New Roman" w:cs="Times New Roman"/>
          <w:i/>
          <w:sz w:val="24"/>
          <w:szCs w:val="24"/>
        </w:rPr>
        <w:t>some kind of hunger</w:t>
      </w:r>
      <w:proofErr w:type="gramEnd"/>
      <w:r>
        <w:rPr>
          <w:rFonts w:ascii="Times New Roman" w:eastAsia="Times New Roman" w:hAnsi="Times New Roman" w:cs="Times New Roman"/>
          <w:i/>
          <w:sz w:val="24"/>
          <w:szCs w:val="24"/>
        </w:rPr>
        <w:t xml:space="preserve"> because I'm a little bit early on the dinner. I have dinner at 6 pm. I think it's quite a bit early, so that leads me to other meals in the evening because I feel hungry because it's quite a bit of a long time between the last meal until I go to bed and at that moment usually, I feel bored.”</w:t>
      </w:r>
      <w:r>
        <w:rPr>
          <w:rFonts w:ascii="Times New Roman" w:eastAsia="Times New Roman" w:hAnsi="Times New Roman" w:cs="Times New Roman"/>
          <w:sz w:val="24"/>
          <w:szCs w:val="24"/>
        </w:rPr>
        <w:t xml:space="preserve"> (P178)</w:t>
      </w:r>
    </w:p>
    <w:p w14:paraId="00000B6C" w14:textId="77777777" w:rsidR="00CB4215" w:rsidRDefault="000530B4">
      <w:pPr>
        <w:pStyle w:val="Heading5"/>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lastRenderedPageBreak/>
        <w:t>6.6.3.3</w:t>
      </w:r>
      <w:r>
        <w:rPr>
          <w:rFonts w:ascii="Times New Roman" w:eastAsia="Times New Roman" w:hAnsi="Times New Roman" w:cs="Times New Roman"/>
          <w:b/>
          <w:i/>
          <w:color w:val="000000"/>
          <w:sz w:val="24"/>
          <w:szCs w:val="24"/>
        </w:rPr>
        <w:t xml:space="preserve"> Social influences (social opportunity)</w:t>
      </w:r>
    </w:p>
    <w:p w14:paraId="00000B6D" w14:textId="77777777" w:rsidR="00CB4215" w:rsidRDefault="00CB4215">
      <w:pPr>
        <w:spacing w:line="480" w:lineRule="auto"/>
        <w:rPr>
          <w:rFonts w:ascii="Times New Roman" w:eastAsia="Times New Roman" w:hAnsi="Times New Roman" w:cs="Times New Roman"/>
          <w:sz w:val="24"/>
          <w:szCs w:val="24"/>
        </w:rPr>
      </w:pPr>
    </w:p>
    <w:p w14:paraId="00000B6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participants reported that the social environment was a significant barrier to evening meals. Many noted that arranging family schedules and preparing meals for family members often resulted in later evening </w:t>
      </w:r>
      <w:proofErr w:type="gramStart"/>
      <w:r>
        <w:rPr>
          <w:rFonts w:ascii="Times New Roman" w:eastAsia="Times New Roman" w:hAnsi="Times New Roman" w:cs="Times New Roman"/>
          <w:sz w:val="24"/>
          <w:szCs w:val="24"/>
        </w:rPr>
        <w:t>meal times</w:t>
      </w:r>
      <w:proofErr w:type="gramEnd"/>
      <w:r>
        <w:rPr>
          <w:rFonts w:ascii="Times New Roman" w:eastAsia="Times New Roman" w:hAnsi="Times New Roman" w:cs="Times New Roman"/>
          <w:sz w:val="24"/>
          <w:szCs w:val="24"/>
        </w:rPr>
        <w:t>. For these participants, family routines often overrode their preference to eat earlier in the evening.</w:t>
      </w:r>
    </w:p>
    <w:p w14:paraId="00000B6F"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“To me, it's my family, I'll be honest it's my family because they are not ready to change the schedule and as a family, I'm bound. I'm not saying, I can eat alone before them, but we cook together, so if I eat alone before let's say 6, 6.30, there's no food because the food gets cooked after 7. And we eat after 8, 9.”</w:t>
      </w:r>
      <w:r>
        <w:rPr>
          <w:rFonts w:ascii="Times New Roman" w:eastAsia="Times New Roman" w:hAnsi="Times New Roman" w:cs="Times New Roman"/>
          <w:sz w:val="24"/>
          <w:szCs w:val="24"/>
        </w:rPr>
        <w:t xml:space="preserve"> (P180)</w:t>
      </w:r>
    </w:p>
    <w:p w14:paraId="00000B70" w14:textId="77777777" w:rsidR="00CB4215" w:rsidRDefault="00CB4215">
      <w:pPr>
        <w:widowControl w:val="0"/>
        <w:spacing w:line="240" w:lineRule="auto"/>
        <w:rPr>
          <w:rFonts w:ascii="Times New Roman" w:eastAsia="Times New Roman" w:hAnsi="Times New Roman" w:cs="Times New Roman"/>
          <w:sz w:val="24"/>
          <w:szCs w:val="24"/>
        </w:rPr>
      </w:pPr>
    </w:p>
    <w:p w14:paraId="00000B71"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“Because I work from home for a couple of days a week, if my partner wasn't coming in, then I'd maybe be able to eat earlier and stuff like that.”</w:t>
      </w:r>
      <w:r>
        <w:rPr>
          <w:rFonts w:ascii="Times New Roman" w:eastAsia="Times New Roman" w:hAnsi="Times New Roman" w:cs="Times New Roman"/>
          <w:sz w:val="24"/>
          <w:szCs w:val="24"/>
        </w:rPr>
        <w:t xml:space="preserve"> (P105)</w:t>
      </w:r>
    </w:p>
    <w:p w14:paraId="00000B72" w14:textId="77777777" w:rsidR="00CB4215" w:rsidRDefault="00CB4215">
      <w:pPr>
        <w:widowControl w:val="0"/>
        <w:spacing w:line="240" w:lineRule="auto"/>
        <w:rPr>
          <w:rFonts w:ascii="Times New Roman" w:eastAsia="Times New Roman" w:hAnsi="Times New Roman" w:cs="Times New Roman"/>
          <w:i/>
          <w:sz w:val="24"/>
          <w:szCs w:val="24"/>
        </w:rPr>
      </w:pPr>
    </w:p>
    <w:p w14:paraId="00000B73"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cook for my brother. I could cook earlier probably but I'd have to make sure it goes in the fridge and make sure it's things that can be reheated.”</w:t>
      </w:r>
      <w:r>
        <w:rPr>
          <w:rFonts w:ascii="Times New Roman" w:eastAsia="Times New Roman" w:hAnsi="Times New Roman" w:cs="Times New Roman"/>
          <w:sz w:val="24"/>
          <w:szCs w:val="24"/>
        </w:rPr>
        <w:t xml:space="preserve"> (P197)</w:t>
      </w:r>
    </w:p>
    <w:p w14:paraId="00000B74" w14:textId="77777777" w:rsidR="00CB4215" w:rsidRDefault="00CB4215">
      <w:pPr>
        <w:spacing w:line="480" w:lineRule="auto"/>
        <w:rPr>
          <w:rFonts w:ascii="Calibri" w:eastAsia="Calibri" w:hAnsi="Calibri" w:cs="Calibri"/>
          <w:sz w:val="26"/>
          <w:szCs w:val="26"/>
        </w:rPr>
      </w:pPr>
    </w:p>
    <w:p w14:paraId="00000B75"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Conversely, some participants were encouraged to adopt similar routines through the influence of family members who had early evening meals. It was emphasised that early evening meals with the family could create a supportive environment for changing early evening eating habits.</w:t>
      </w:r>
    </w:p>
    <w:p w14:paraId="00000B76"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if I was around someone or lived with someone, like my granddad for example, who had that set routine, it's easier for me to adopt that routine myself because that's what's happening. So, I think being around someone who does eat earlier would influence when I eat because I don't want him waiting until nine o'clock to eat when he's used to eating at half five, or six o'clock. So, I would make that effort to eat at that time then, and then probably adopt that habit myself. So, I think if I was around someone who had that habit already, it will be easier for me to do that myself.”</w:t>
      </w:r>
      <w:r>
        <w:rPr>
          <w:rFonts w:ascii="Times New Roman" w:eastAsia="Times New Roman" w:hAnsi="Times New Roman" w:cs="Times New Roman"/>
          <w:sz w:val="24"/>
          <w:szCs w:val="24"/>
        </w:rPr>
        <w:t xml:space="preserve"> (P181)</w:t>
      </w:r>
    </w:p>
    <w:p w14:paraId="00000B77" w14:textId="77777777" w:rsidR="00CB4215" w:rsidRDefault="00CB4215">
      <w:pPr>
        <w:widowControl w:val="0"/>
        <w:spacing w:line="240" w:lineRule="auto"/>
        <w:rPr>
          <w:rFonts w:ascii="Times New Roman" w:eastAsia="Times New Roman" w:hAnsi="Times New Roman" w:cs="Times New Roman"/>
          <w:sz w:val="24"/>
          <w:szCs w:val="24"/>
        </w:rPr>
      </w:pPr>
    </w:p>
    <w:p w14:paraId="00000B78"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“Yes, I think family is the main factor because I need to take care of my kids and my wife at home. So, I need to be more disciplined with time, so I need to be up early.” </w:t>
      </w:r>
      <w:r>
        <w:rPr>
          <w:rFonts w:ascii="Times New Roman" w:eastAsia="Times New Roman" w:hAnsi="Times New Roman" w:cs="Times New Roman"/>
          <w:sz w:val="24"/>
          <w:szCs w:val="24"/>
        </w:rPr>
        <w:t xml:space="preserve">(P148) </w:t>
      </w:r>
    </w:p>
    <w:p w14:paraId="00000B79" w14:textId="77777777" w:rsidR="00CB4215" w:rsidRDefault="00CB4215">
      <w:pPr>
        <w:spacing w:line="480" w:lineRule="auto"/>
        <w:rPr>
          <w:rFonts w:ascii="Calibri" w:eastAsia="Calibri" w:hAnsi="Calibri" w:cs="Calibri"/>
          <w:sz w:val="24"/>
          <w:szCs w:val="24"/>
        </w:rPr>
      </w:pPr>
    </w:p>
    <w:p w14:paraId="00000B7A" w14:textId="77777777" w:rsidR="00CB4215" w:rsidRDefault="00CB4215">
      <w:pPr>
        <w:widowControl w:val="0"/>
        <w:spacing w:line="480" w:lineRule="auto"/>
        <w:rPr>
          <w:rFonts w:ascii="Calibri" w:eastAsia="Calibri" w:hAnsi="Calibri" w:cs="Calibri"/>
          <w:sz w:val="24"/>
          <w:szCs w:val="24"/>
        </w:rPr>
      </w:pPr>
    </w:p>
    <w:p w14:paraId="00000B7B"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to family influences, community support was recognised as an enabler for early evening eating. Participants suggested that they would be encouraged if they received community support, which could be useful for long-term maintenance.</w:t>
      </w:r>
    </w:p>
    <w:p w14:paraId="00000B7C"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“Maybe I need a support group so I can never feel alone in order to maintain my motivation.”</w:t>
      </w:r>
      <w:r>
        <w:rPr>
          <w:rFonts w:ascii="Times New Roman" w:eastAsia="Times New Roman" w:hAnsi="Times New Roman" w:cs="Times New Roman"/>
          <w:sz w:val="24"/>
          <w:szCs w:val="24"/>
        </w:rPr>
        <w:t xml:space="preserve"> (P171)</w:t>
      </w:r>
    </w:p>
    <w:p w14:paraId="00000B7D" w14:textId="77777777" w:rsidR="00CB4215" w:rsidRDefault="00CB4215">
      <w:pPr>
        <w:widowControl w:val="0"/>
        <w:spacing w:line="240" w:lineRule="auto"/>
        <w:rPr>
          <w:rFonts w:ascii="Times New Roman" w:eastAsia="Times New Roman" w:hAnsi="Times New Roman" w:cs="Times New Roman"/>
          <w:sz w:val="24"/>
          <w:szCs w:val="24"/>
        </w:rPr>
      </w:pPr>
    </w:p>
    <w:p w14:paraId="00000B7E"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“Maybe some community where we can support each other, and we can share the benefits of eating earlier in the evening.”</w:t>
      </w:r>
      <w:r>
        <w:rPr>
          <w:rFonts w:ascii="Times New Roman" w:eastAsia="Times New Roman" w:hAnsi="Times New Roman" w:cs="Times New Roman"/>
          <w:sz w:val="24"/>
          <w:szCs w:val="24"/>
        </w:rPr>
        <w:t xml:space="preserve"> (P148)</w:t>
      </w:r>
    </w:p>
    <w:p w14:paraId="00000B7F" w14:textId="77777777" w:rsidR="00CB4215" w:rsidRDefault="00CB4215">
      <w:pPr>
        <w:widowControl w:val="0"/>
        <w:spacing w:line="240" w:lineRule="auto"/>
        <w:rPr>
          <w:rFonts w:ascii="Times New Roman" w:eastAsia="Times New Roman" w:hAnsi="Times New Roman" w:cs="Times New Roman"/>
          <w:sz w:val="24"/>
          <w:szCs w:val="24"/>
        </w:rPr>
      </w:pPr>
    </w:p>
    <w:p w14:paraId="00000B80" w14:textId="77777777" w:rsidR="00CB4215" w:rsidRDefault="000530B4">
      <w:pPr>
        <w:pStyle w:val="Heading5"/>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6.6.3.4</w:t>
      </w:r>
      <w:r>
        <w:rPr>
          <w:rFonts w:ascii="Times New Roman" w:eastAsia="Times New Roman" w:hAnsi="Times New Roman" w:cs="Times New Roman"/>
          <w:b/>
          <w:i/>
          <w:color w:val="000000"/>
          <w:sz w:val="24"/>
          <w:szCs w:val="24"/>
        </w:rPr>
        <w:t xml:space="preserve"> Time and scheduling constraints (physical opportunity)</w:t>
      </w:r>
    </w:p>
    <w:p w14:paraId="00000B81" w14:textId="77777777" w:rsidR="00CB4215" w:rsidRDefault="00CB4215">
      <w:pPr>
        <w:spacing w:line="480" w:lineRule="auto"/>
        <w:rPr>
          <w:rFonts w:ascii="Times New Roman" w:eastAsia="Times New Roman" w:hAnsi="Times New Roman" w:cs="Times New Roman"/>
          <w:sz w:val="26"/>
          <w:szCs w:val="26"/>
        </w:rPr>
      </w:pPr>
    </w:p>
    <w:p w14:paraId="00000B82"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participants encountered challenges because of time constraints and work schedules. Many participants highlighted the challenge of finding enough time to prepare meals earlier in the evening. In addition, for those who prioritise cooking from scratch, the process can be time-consuming, especially if the ingredients require preparation and cooking.</w:t>
      </w:r>
    </w:p>
    <w:p w14:paraId="00000B83"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“I'm not quite sure. I think, if I wanted to eat earlier, I think it would have to be more like convenience food and stuff like that, and I try to avoid that kind of thing because, even though we do eat late, I do try to eat stuff that's less highly processed and whatnot</w:t>
      </w:r>
      <w:r>
        <w:rPr>
          <w:rFonts w:ascii="Microsoft YaHei" w:eastAsia="Microsoft YaHei" w:hAnsi="Microsoft YaHei" w:cs="Microsoft YaHei"/>
          <w:i/>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(P105)</w:t>
      </w:r>
    </w:p>
    <w:p w14:paraId="00000B84" w14:textId="77777777" w:rsidR="00CB4215" w:rsidRDefault="00CB4215">
      <w:pPr>
        <w:widowControl w:val="0"/>
        <w:spacing w:line="240" w:lineRule="auto"/>
        <w:rPr>
          <w:rFonts w:ascii="Times New Roman" w:eastAsia="Times New Roman" w:hAnsi="Times New Roman" w:cs="Times New Roman"/>
          <w:i/>
          <w:sz w:val="24"/>
          <w:szCs w:val="24"/>
        </w:rPr>
      </w:pPr>
    </w:p>
    <w:p w14:paraId="00000B85"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“It means I need to order on the first from the food delivery services and they need to come here, and then I just receive my food at 8:00 something and then I just eat it.” </w:t>
      </w:r>
      <w:r>
        <w:rPr>
          <w:rFonts w:ascii="Times New Roman" w:eastAsia="Times New Roman" w:hAnsi="Times New Roman" w:cs="Times New Roman"/>
          <w:sz w:val="24"/>
          <w:szCs w:val="24"/>
        </w:rPr>
        <w:t>(P111)</w:t>
      </w:r>
    </w:p>
    <w:p w14:paraId="00000B86" w14:textId="77777777" w:rsidR="00CB4215" w:rsidRDefault="00CB4215">
      <w:pPr>
        <w:widowControl w:val="0"/>
        <w:spacing w:line="480" w:lineRule="auto"/>
        <w:rPr>
          <w:rFonts w:ascii="Calibri" w:eastAsia="Calibri" w:hAnsi="Calibri" w:cs="Calibri"/>
          <w:sz w:val="24"/>
          <w:szCs w:val="24"/>
        </w:rPr>
      </w:pPr>
    </w:p>
    <w:p w14:paraId="00000B87"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barrier was the mismatch between work schedules and the goal of eating earlier. Some participants reported that by the time they returned home and started cooking, it was already late. It would be even worse if factors such as commuting times or unexpected work demands were </w:t>
      </w:r>
      <w:proofErr w:type="gramStart"/>
      <w:r>
        <w:rPr>
          <w:rFonts w:ascii="Times New Roman" w:eastAsia="Times New Roman" w:hAnsi="Times New Roman" w:cs="Times New Roman"/>
          <w:sz w:val="24"/>
          <w:szCs w:val="24"/>
        </w:rPr>
        <w:t>taken into account</w:t>
      </w:r>
      <w:proofErr w:type="gramEnd"/>
      <w:r>
        <w:rPr>
          <w:rFonts w:ascii="Times New Roman" w:eastAsia="Times New Roman" w:hAnsi="Times New Roman" w:cs="Times New Roman"/>
          <w:sz w:val="24"/>
          <w:szCs w:val="24"/>
        </w:rPr>
        <w:t>. Therefore, even with the intention of eating earlier, the constraints of their work prevented participants from making this change.</w:t>
      </w:r>
    </w:p>
    <w:p w14:paraId="00000B88"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“If I've finished work at a set time every day and then I was able to know that I would be able to eat between 18:00 and 18:30, that would be easy, but I can sometimes be at work till 18:30 or 19:00.”</w:t>
      </w:r>
      <w:r>
        <w:rPr>
          <w:rFonts w:ascii="Times New Roman" w:eastAsia="Times New Roman" w:hAnsi="Times New Roman" w:cs="Times New Roman"/>
          <w:sz w:val="24"/>
          <w:szCs w:val="24"/>
        </w:rPr>
        <w:t xml:space="preserve"> (P169)</w:t>
      </w:r>
    </w:p>
    <w:p w14:paraId="00000B89" w14:textId="77777777" w:rsidR="00CB4215" w:rsidRDefault="00CB4215">
      <w:pPr>
        <w:widowControl w:val="0"/>
        <w:spacing w:line="240" w:lineRule="auto"/>
        <w:rPr>
          <w:rFonts w:ascii="Times New Roman" w:eastAsia="Times New Roman" w:hAnsi="Times New Roman" w:cs="Times New Roman"/>
          <w:sz w:val="24"/>
          <w:szCs w:val="24"/>
        </w:rPr>
      </w:pPr>
    </w:p>
    <w:p w14:paraId="00000B8A"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main barrier is transportation time. If I can get home earlier, it means I can have dinner earlier. The bus takes 1 hour and a half and eating on the bus is not nice. I mean I can eat on the bus, but I don't want to.”</w:t>
      </w:r>
      <w:r>
        <w:rPr>
          <w:rFonts w:ascii="Times New Roman" w:eastAsia="Times New Roman" w:hAnsi="Times New Roman" w:cs="Times New Roman"/>
          <w:sz w:val="24"/>
          <w:szCs w:val="24"/>
        </w:rPr>
        <w:t xml:space="preserve"> (P124)</w:t>
      </w:r>
    </w:p>
    <w:p w14:paraId="00000B8B" w14:textId="77777777" w:rsidR="00CB4215" w:rsidRDefault="000530B4">
      <w:pPr>
        <w:pStyle w:val="Heading5"/>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lastRenderedPageBreak/>
        <w:t>6.6.3.5</w:t>
      </w:r>
      <w:r>
        <w:rPr>
          <w:rFonts w:ascii="Times New Roman" w:eastAsia="Times New Roman" w:hAnsi="Times New Roman" w:cs="Times New Roman"/>
          <w:b/>
          <w:i/>
          <w:color w:val="000000"/>
          <w:sz w:val="24"/>
          <w:szCs w:val="24"/>
        </w:rPr>
        <w:t xml:space="preserve"> Behavioural and emotional associations with late evening eating (automatic motivation)</w:t>
      </w:r>
    </w:p>
    <w:p w14:paraId="00000B8C" w14:textId="77777777" w:rsidR="00CB4215" w:rsidRDefault="00CB4215">
      <w:pPr>
        <w:spacing w:line="480" w:lineRule="auto"/>
        <w:rPr>
          <w:rFonts w:ascii="Times New Roman" w:eastAsia="Times New Roman" w:hAnsi="Times New Roman" w:cs="Times New Roman"/>
          <w:sz w:val="24"/>
          <w:szCs w:val="24"/>
        </w:rPr>
      </w:pPr>
    </w:p>
    <w:p w14:paraId="00000B8D"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also reported that existing habits and daily routines prevented them from eating early in the evening, some of which included their previous lifestyles with irregular routines and a preference for eating after sunset. </w:t>
      </w:r>
    </w:p>
    <w:p w14:paraId="00000B8E"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“But personally, I like to have an evening snack really, so compared to the advantage of the benefit, I would like to say I would prefer to have an evening snack.”</w:t>
      </w:r>
      <w:r>
        <w:rPr>
          <w:rFonts w:ascii="Times New Roman" w:eastAsia="Times New Roman" w:hAnsi="Times New Roman" w:cs="Times New Roman"/>
          <w:sz w:val="24"/>
          <w:szCs w:val="24"/>
        </w:rPr>
        <w:t xml:space="preserve"> (P178)</w:t>
      </w:r>
    </w:p>
    <w:p w14:paraId="00000B8F" w14:textId="77777777" w:rsidR="00CB4215" w:rsidRDefault="00CB4215">
      <w:pPr>
        <w:widowControl w:val="0"/>
        <w:spacing w:line="240" w:lineRule="auto"/>
        <w:rPr>
          <w:rFonts w:ascii="Times New Roman" w:eastAsia="Times New Roman" w:hAnsi="Times New Roman" w:cs="Times New Roman"/>
          <w:sz w:val="24"/>
          <w:szCs w:val="24"/>
        </w:rPr>
      </w:pPr>
    </w:p>
    <w:p w14:paraId="00000B90"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think because I used to be an architect and I didn't sleep very well at night, and the eating schedule is also irregular, that makes my habit of eating late at night become something very regular nowadays. I think because of the bad, kind of, schedule of my life in the previous days, that became something really, </w:t>
      </w:r>
      <w:proofErr w:type="gramStart"/>
      <w:r>
        <w:rPr>
          <w:rFonts w:ascii="Times New Roman" w:eastAsia="Times New Roman" w:hAnsi="Times New Roman" w:cs="Times New Roman"/>
          <w:i/>
          <w:sz w:val="24"/>
          <w:szCs w:val="24"/>
        </w:rPr>
        <w:t>really bad</w:t>
      </w:r>
      <w:proofErr w:type="gramEnd"/>
      <w:r>
        <w:rPr>
          <w:rFonts w:ascii="Times New Roman" w:eastAsia="Times New Roman" w:hAnsi="Times New Roman" w:cs="Times New Roman"/>
          <w:i/>
          <w:sz w:val="24"/>
          <w:szCs w:val="24"/>
        </w:rPr>
        <w:t>. So, it becomes habit nowadays.”</w:t>
      </w:r>
      <w:r>
        <w:rPr>
          <w:rFonts w:ascii="Times New Roman" w:eastAsia="Times New Roman" w:hAnsi="Times New Roman" w:cs="Times New Roman"/>
          <w:sz w:val="24"/>
          <w:szCs w:val="24"/>
        </w:rPr>
        <w:t xml:space="preserve"> (P166)</w:t>
      </w:r>
    </w:p>
    <w:p w14:paraId="00000B91" w14:textId="77777777" w:rsidR="00CB4215" w:rsidRDefault="00CB4215">
      <w:pPr>
        <w:spacing w:line="240" w:lineRule="auto"/>
        <w:rPr>
          <w:rFonts w:ascii="Times New Roman" w:eastAsia="Times New Roman" w:hAnsi="Times New Roman" w:cs="Times New Roman"/>
          <w:sz w:val="24"/>
          <w:szCs w:val="24"/>
        </w:rPr>
      </w:pPr>
    </w:p>
    <w:p w14:paraId="00000B92"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am also not used to eating with sunlight as dinner. I think it's, for me, dinner is, kind of, a closing thing of the day, not a thing in the middle.”</w:t>
      </w:r>
      <w:r>
        <w:rPr>
          <w:rFonts w:ascii="Times New Roman" w:eastAsia="Times New Roman" w:hAnsi="Times New Roman" w:cs="Times New Roman"/>
          <w:sz w:val="24"/>
          <w:szCs w:val="24"/>
        </w:rPr>
        <w:t xml:space="preserve"> (P165)</w:t>
      </w:r>
    </w:p>
    <w:p w14:paraId="00000B93" w14:textId="77777777" w:rsidR="00CB4215" w:rsidRDefault="00CB4215">
      <w:pPr>
        <w:spacing w:line="480" w:lineRule="auto"/>
        <w:rPr>
          <w:rFonts w:ascii="Calibri" w:eastAsia="Calibri" w:hAnsi="Calibri" w:cs="Calibri"/>
          <w:sz w:val="26"/>
          <w:szCs w:val="26"/>
        </w:rPr>
      </w:pPr>
    </w:p>
    <w:p w14:paraId="00000B94"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some participants suggested that a reward system could act as a motivator to encourage them to eat earlier in the evening.</w:t>
      </w:r>
    </w:p>
    <w:p w14:paraId="00000B95"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“And also, maybe like a competition if you do participate, you have to be rewarded.” </w:t>
      </w:r>
      <w:r>
        <w:rPr>
          <w:rFonts w:ascii="Times New Roman" w:eastAsia="Times New Roman" w:hAnsi="Times New Roman" w:cs="Times New Roman"/>
          <w:sz w:val="24"/>
          <w:szCs w:val="24"/>
        </w:rPr>
        <w:t>(P148)</w:t>
      </w:r>
    </w:p>
    <w:p w14:paraId="00000B96" w14:textId="77777777" w:rsidR="00CB4215" w:rsidRDefault="00CB4215">
      <w:pPr>
        <w:widowControl w:val="0"/>
        <w:spacing w:line="240" w:lineRule="auto"/>
        <w:rPr>
          <w:rFonts w:ascii="Times New Roman" w:eastAsia="Times New Roman" w:hAnsi="Times New Roman" w:cs="Times New Roman"/>
          <w:sz w:val="24"/>
          <w:szCs w:val="24"/>
        </w:rPr>
      </w:pPr>
    </w:p>
    <w:p w14:paraId="00000B97"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“There's like an incentive you want to try it out.”</w:t>
      </w:r>
      <w:r>
        <w:rPr>
          <w:rFonts w:ascii="Times New Roman" w:eastAsia="Times New Roman" w:hAnsi="Times New Roman" w:cs="Times New Roman"/>
          <w:sz w:val="24"/>
          <w:szCs w:val="24"/>
        </w:rPr>
        <w:t xml:space="preserve"> (P180)</w:t>
      </w:r>
    </w:p>
    <w:p w14:paraId="00000B98" w14:textId="77777777" w:rsidR="00CB4215" w:rsidRDefault="00CB4215">
      <w:pPr>
        <w:spacing w:line="480" w:lineRule="auto"/>
        <w:rPr>
          <w:rFonts w:ascii="Calibri" w:eastAsia="Calibri" w:hAnsi="Calibri" w:cs="Calibri"/>
          <w:sz w:val="24"/>
          <w:szCs w:val="24"/>
        </w:rPr>
      </w:pPr>
    </w:p>
    <w:p w14:paraId="00000B9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practical solution suggested by some participants was having regular reminders. Participants described how a constant reminder could prompt them not to eat late in the evening, which could help them avoid eating late in the evening.</w:t>
      </w:r>
    </w:p>
    <w:p w14:paraId="00000B9A"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“Maybe a constant reminder of not eating snacks that late. Because sometimes when people eat dinner earlier around 18:00-18:30, around 20:00-21:00 they have a feeling of wanting to munch on something. So maybe the programme could help to remind someone not to have snacks that late.”</w:t>
      </w:r>
      <w:r>
        <w:rPr>
          <w:rFonts w:ascii="Times New Roman" w:eastAsia="Times New Roman" w:hAnsi="Times New Roman" w:cs="Times New Roman"/>
          <w:sz w:val="24"/>
          <w:szCs w:val="24"/>
        </w:rPr>
        <w:t xml:space="preserve"> (P124)</w:t>
      </w:r>
    </w:p>
    <w:p w14:paraId="00000B9B" w14:textId="77777777" w:rsidR="00CB4215" w:rsidRDefault="00CB4215">
      <w:pPr>
        <w:widowControl w:val="0"/>
        <w:spacing w:line="240" w:lineRule="auto"/>
        <w:rPr>
          <w:rFonts w:ascii="Times New Roman" w:eastAsia="Times New Roman" w:hAnsi="Times New Roman" w:cs="Times New Roman"/>
          <w:sz w:val="24"/>
          <w:szCs w:val="24"/>
        </w:rPr>
      </w:pPr>
    </w:p>
    <w:p w14:paraId="00000B9C" w14:textId="77777777" w:rsidR="00CB4215" w:rsidRDefault="000530B4">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“Maybe it's good to have some reminders on your phone to remind you.”</w:t>
      </w:r>
      <w:r>
        <w:rPr>
          <w:rFonts w:ascii="Times New Roman" w:eastAsia="Times New Roman" w:hAnsi="Times New Roman" w:cs="Times New Roman"/>
          <w:sz w:val="24"/>
          <w:szCs w:val="24"/>
        </w:rPr>
        <w:t xml:space="preserve"> (P178)  </w:t>
      </w:r>
    </w:p>
    <w:p w14:paraId="00000B9D" w14:textId="77777777" w:rsidR="00CB4215" w:rsidRDefault="00CB4215">
      <w:pPr>
        <w:spacing w:line="480" w:lineRule="auto"/>
        <w:rPr>
          <w:rFonts w:ascii="Calibri" w:eastAsia="Calibri" w:hAnsi="Calibri" w:cs="Calibri"/>
          <w:sz w:val="26"/>
          <w:szCs w:val="26"/>
        </w:rPr>
      </w:pPr>
    </w:p>
    <w:p w14:paraId="00000B9E"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Feelings about eating earlier in the evening were also related to attitudes towards eating earlier in the evening. Some participants expressed positive feelings about eating earlier in </w:t>
      </w:r>
      <w:r>
        <w:rPr>
          <w:rFonts w:ascii="Times New Roman" w:eastAsia="Times New Roman" w:hAnsi="Times New Roman" w:cs="Times New Roman"/>
          <w:sz w:val="24"/>
          <w:szCs w:val="24"/>
        </w:rPr>
        <w:lastRenderedPageBreak/>
        <w:t>the evening, such as contentment, satisfaction and a sense of accomplishment, which may make them more likely to eat earlier in the evening.</w:t>
      </w:r>
    </w:p>
    <w:p w14:paraId="00000B9F" w14:textId="77777777" w:rsidR="00CB4215" w:rsidRDefault="00CB4215">
      <w:pPr>
        <w:spacing w:line="240" w:lineRule="auto"/>
        <w:rPr>
          <w:rFonts w:ascii="Calibri" w:eastAsia="Calibri" w:hAnsi="Calibri" w:cs="Calibri"/>
          <w:sz w:val="24"/>
          <w:szCs w:val="24"/>
        </w:rPr>
      </w:pPr>
    </w:p>
    <w:p w14:paraId="00000BA0"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think first of all I'd feel more content and less guilty or not guilty at all because I know that that's the proper dinner time, not 20:00 or later.” </w:t>
      </w:r>
      <w:r>
        <w:rPr>
          <w:rFonts w:ascii="Times New Roman" w:eastAsia="Times New Roman" w:hAnsi="Times New Roman" w:cs="Times New Roman"/>
          <w:sz w:val="24"/>
          <w:szCs w:val="24"/>
        </w:rPr>
        <w:t>(P124)</w:t>
      </w:r>
    </w:p>
    <w:p w14:paraId="00000BA1" w14:textId="77777777" w:rsidR="00CB4215" w:rsidRDefault="00CB4215">
      <w:pPr>
        <w:widowControl w:val="0"/>
        <w:spacing w:line="240" w:lineRule="auto"/>
        <w:rPr>
          <w:rFonts w:ascii="Times New Roman" w:eastAsia="Times New Roman" w:hAnsi="Times New Roman" w:cs="Times New Roman"/>
          <w:sz w:val="24"/>
          <w:szCs w:val="24"/>
        </w:rPr>
      </w:pPr>
    </w:p>
    <w:p w14:paraId="00000BA2"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would like to think that I would feel a lot more content than how I do very late on.” </w:t>
      </w:r>
      <w:r>
        <w:rPr>
          <w:rFonts w:ascii="Times New Roman" w:eastAsia="Times New Roman" w:hAnsi="Times New Roman" w:cs="Times New Roman"/>
          <w:sz w:val="24"/>
          <w:szCs w:val="24"/>
        </w:rPr>
        <w:t>(P121)</w:t>
      </w:r>
    </w:p>
    <w:p w14:paraId="00000BA3" w14:textId="77777777" w:rsidR="00CB4215" w:rsidRDefault="00CB4215">
      <w:pPr>
        <w:widowControl w:val="0"/>
        <w:spacing w:line="240" w:lineRule="auto"/>
        <w:rPr>
          <w:rFonts w:ascii="Times New Roman" w:eastAsia="Times New Roman" w:hAnsi="Times New Roman" w:cs="Times New Roman"/>
          <w:sz w:val="24"/>
          <w:szCs w:val="24"/>
        </w:rPr>
      </w:pPr>
    </w:p>
    <w:p w14:paraId="00000BA4"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it's the small sense of achievement because I can stick to my daily routine and doing it consistently would make me feel that job is done.”</w:t>
      </w:r>
      <w:r>
        <w:rPr>
          <w:rFonts w:ascii="Times New Roman" w:eastAsia="Times New Roman" w:hAnsi="Times New Roman" w:cs="Times New Roman"/>
          <w:sz w:val="24"/>
          <w:szCs w:val="24"/>
        </w:rPr>
        <w:t xml:space="preserve"> (P148)</w:t>
      </w:r>
    </w:p>
    <w:p w14:paraId="00000BA5" w14:textId="77777777" w:rsidR="00CB4215" w:rsidRDefault="00CB4215">
      <w:pPr>
        <w:widowControl w:val="0"/>
        <w:spacing w:line="240" w:lineRule="auto"/>
        <w:rPr>
          <w:rFonts w:ascii="Times New Roman" w:eastAsia="Times New Roman" w:hAnsi="Times New Roman" w:cs="Times New Roman"/>
          <w:sz w:val="24"/>
          <w:szCs w:val="24"/>
        </w:rPr>
      </w:pPr>
    </w:p>
    <w:p w14:paraId="00000BA6"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think what I'll feel if I achieve that is, I'll feel satisfied because I can control myself.” </w:t>
      </w:r>
      <w:r>
        <w:rPr>
          <w:rFonts w:ascii="Times New Roman" w:eastAsia="Times New Roman" w:hAnsi="Times New Roman" w:cs="Times New Roman"/>
          <w:sz w:val="24"/>
          <w:szCs w:val="24"/>
        </w:rPr>
        <w:t>(P166)</w:t>
      </w:r>
    </w:p>
    <w:p w14:paraId="00000BA7" w14:textId="77777777" w:rsidR="00CB4215" w:rsidRDefault="00CB4215">
      <w:pPr>
        <w:spacing w:line="480" w:lineRule="auto"/>
        <w:rPr>
          <w:rFonts w:ascii="Calibri" w:eastAsia="Calibri" w:hAnsi="Calibri" w:cs="Calibri"/>
          <w:sz w:val="24"/>
          <w:szCs w:val="24"/>
        </w:rPr>
      </w:pPr>
    </w:p>
    <w:p w14:paraId="00000BA8" w14:textId="77777777" w:rsidR="00CB4215" w:rsidRDefault="000530B4">
      <w:pPr>
        <w:pStyle w:val="Heading5"/>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6.6.3.6</w:t>
      </w:r>
      <w:r>
        <w:rPr>
          <w:rFonts w:ascii="Times New Roman" w:eastAsia="Times New Roman" w:hAnsi="Times New Roman" w:cs="Times New Roman"/>
          <w:b/>
          <w:i/>
          <w:color w:val="000000"/>
          <w:sz w:val="24"/>
          <w:szCs w:val="24"/>
        </w:rPr>
        <w:t xml:space="preserve"> Willingness to change (reflective motivation)</w:t>
      </w:r>
    </w:p>
    <w:p w14:paraId="00000BA9" w14:textId="77777777" w:rsidR="00CB4215" w:rsidRDefault="00CB4215">
      <w:pPr>
        <w:spacing w:line="480" w:lineRule="auto"/>
        <w:rPr>
          <w:rFonts w:ascii="Times New Roman" w:eastAsia="Times New Roman" w:hAnsi="Times New Roman" w:cs="Times New Roman"/>
          <w:sz w:val="26"/>
          <w:szCs w:val="26"/>
        </w:rPr>
      </w:pPr>
    </w:p>
    <w:p w14:paraId="00000BAA"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expressed mixed feelings regarding their intentions to change to eating earlier in the evening. Overall, most participants (n = 9) were willing to change their late-night eating, but some (n = 5) reported unwillingness to change to earlier eating in the evening, due to habits and preferences. Three participants described that they could eat earlier in the evening on some days instead of every day.</w:t>
      </w:r>
    </w:p>
    <w:p w14:paraId="00000BAB"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think I need to stop because it is not good for my health. But at this moment, I just enjoy it.” </w:t>
      </w:r>
      <w:r>
        <w:rPr>
          <w:rFonts w:ascii="Times New Roman" w:eastAsia="Times New Roman" w:hAnsi="Times New Roman" w:cs="Times New Roman"/>
          <w:sz w:val="24"/>
          <w:szCs w:val="24"/>
        </w:rPr>
        <w:t>(P148)</w:t>
      </w:r>
    </w:p>
    <w:p w14:paraId="00000BAC" w14:textId="77777777" w:rsidR="00CB4215" w:rsidRDefault="00CB4215">
      <w:pPr>
        <w:widowControl w:val="0"/>
        <w:spacing w:line="240" w:lineRule="auto"/>
        <w:rPr>
          <w:rFonts w:ascii="Times New Roman" w:eastAsia="Times New Roman" w:hAnsi="Times New Roman" w:cs="Times New Roman"/>
          <w:sz w:val="24"/>
          <w:szCs w:val="24"/>
        </w:rPr>
      </w:pPr>
    </w:p>
    <w:p w14:paraId="00000BAD"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 compared to the advantage or the benefit, I would like to say I would prefer to have an evening snack.” </w:t>
      </w:r>
      <w:r>
        <w:rPr>
          <w:rFonts w:ascii="Times New Roman" w:eastAsia="Times New Roman" w:hAnsi="Times New Roman" w:cs="Times New Roman"/>
          <w:sz w:val="24"/>
          <w:szCs w:val="24"/>
        </w:rPr>
        <w:t>(P178)</w:t>
      </w:r>
    </w:p>
    <w:p w14:paraId="00000BAE" w14:textId="77777777" w:rsidR="00CB4215" w:rsidRDefault="00CB4215">
      <w:pPr>
        <w:widowControl w:val="0"/>
        <w:spacing w:line="480" w:lineRule="auto"/>
        <w:rPr>
          <w:rFonts w:ascii="Calibri" w:eastAsia="Calibri" w:hAnsi="Calibri" w:cs="Calibri"/>
          <w:sz w:val="24"/>
          <w:szCs w:val="24"/>
        </w:rPr>
      </w:pPr>
    </w:p>
    <w:p w14:paraId="00000BAF"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asked about willingness to participate in a programme that might encourage people to eat earlier.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participants were willing to participate (n = 13). Some of the participants (n = 4) indicated that they would not like to participate in this programme, because of preference and work-life balance.</w:t>
      </w:r>
    </w:p>
    <w:p w14:paraId="00000BB0"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don't care, and I'm not interested. Really, I'm not interested in that kind of programme because I feel I'm in control. When I want to eat after 8 pm I eat then, and when I don't want to eat after 8 pm I don't want to eat, so I feel I still can control my desire to eat. So, I'm not </w:t>
      </w:r>
      <w:r>
        <w:rPr>
          <w:rFonts w:ascii="Times New Roman" w:eastAsia="Times New Roman" w:hAnsi="Times New Roman" w:cs="Times New Roman"/>
          <w:i/>
          <w:sz w:val="24"/>
          <w:szCs w:val="24"/>
        </w:rPr>
        <w:lastRenderedPageBreak/>
        <w:t xml:space="preserve">interested in that kind of programme, really.” </w:t>
      </w:r>
      <w:r>
        <w:rPr>
          <w:rFonts w:ascii="Times New Roman" w:eastAsia="Times New Roman" w:hAnsi="Times New Roman" w:cs="Times New Roman"/>
          <w:sz w:val="24"/>
          <w:szCs w:val="24"/>
        </w:rPr>
        <w:t>(P178)</w:t>
      </w:r>
    </w:p>
    <w:p w14:paraId="00000BB1" w14:textId="77777777" w:rsidR="00CB4215" w:rsidRDefault="00CB4215">
      <w:pPr>
        <w:widowControl w:val="0"/>
        <w:spacing w:line="240" w:lineRule="auto"/>
        <w:rPr>
          <w:rFonts w:ascii="Times New Roman" w:eastAsia="Times New Roman" w:hAnsi="Times New Roman" w:cs="Times New Roman"/>
          <w:sz w:val="24"/>
          <w:szCs w:val="24"/>
        </w:rPr>
      </w:pPr>
    </w:p>
    <w:p w14:paraId="00000BB2"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would love to, but I would be a very bad person for it because the work life.” </w:t>
      </w:r>
      <w:r>
        <w:rPr>
          <w:rFonts w:ascii="Times New Roman" w:eastAsia="Times New Roman" w:hAnsi="Times New Roman" w:cs="Times New Roman"/>
          <w:sz w:val="24"/>
          <w:szCs w:val="24"/>
        </w:rPr>
        <w:t>(P120)</w:t>
      </w:r>
    </w:p>
    <w:p w14:paraId="00000BB3" w14:textId="77777777" w:rsidR="00CB4215" w:rsidRDefault="00CB4215">
      <w:pPr>
        <w:widowControl w:val="0"/>
        <w:spacing w:line="480" w:lineRule="auto"/>
        <w:rPr>
          <w:rFonts w:ascii="Calibri" w:eastAsia="Calibri" w:hAnsi="Calibri" w:cs="Calibri"/>
        </w:rPr>
      </w:pPr>
    </w:p>
    <w:p w14:paraId="00000BB4"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there was wide variation in beliefs about the health consequences of eating earlier in the evening, including weight loss, mental health benefits, improved sleep quality and improved gut health.</w:t>
      </w:r>
    </w:p>
    <w:p w14:paraId="00000BB5"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maybe having a longer fasting period is probably better as well for mental health and stuff like that.”</w:t>
      </w:r>
      <w:r>
        <w:rPr>
          <w:rFonts w:ascii="Times New Roman" w:eastAsia="Times New Roman" w:hAnsi="Times New Roman" w:cs="Times New Roman"/>
          <w:sz w:val="24"/>
          <w:szCs w:val="24"/>
        </w:rPr>
        <w:t xml:space="preserve"> (P105)</w:t>
      </w:r>
    </w:p>
    <w:p w14:paraId="00000BB6" w14:textId="77777777" w:rsidR="00CB4215" w:rsidRDefault="00CB4215">
      <w:pPr>
        <w:widowControl w:val="0"/>
        <w:spacing w:line="240" w:lineRule="auto"/>
        <w:rPr>
          <w:rFonts w:ascii="Times New Roman" w:eastAsia="Times New Roman" w:hAnsi="Times New Roman" w:cs="Times New Roman"/>
          <w:sz w:val="24"/>
          <w:szCs w:val="24"/>
        </w:rPr>
      </w:pPr>
    </w:p>
    <w:p w14:paraId="00000BB7"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“So, I'm hoping it would make me feel a lot more content and settled in, and I would find it easier to sleep.”</w:t>
      </w:r>
      <w:r>
        <w:rPr>
          <w:rFonts w:ascii="Times New Roman" w:eastAsia="Times New Roman" w:hAnsi="Times New Roman" w:cs="Times New Roman"/>
          <w:sz w:val="24"/>
          <w:szCs w:val="24"/>
        </w:rPr>
        <w:t xml:space="preserve"> (P121)</w:t>
      </w:r>
    </w:p>
    <w:p w14:paraId="00000BB8" w14:textId="77777777" w:rsidR="00CB4215" w:rsidRDefault="00CB4215">
      <w:pPr>
        <w:widowControl w:val="0"/>
        <w:spacing w:line="240" w:lineRule="auto"/>
        <w:rPr>
          <w:rFonts w:ascii="Times New Roman" w:eastAsia="Times New Roman" w:hAnsi="Times New Roman" w:cs="Times New Roman"/>
          <w:sz w:val="24"/>
          <w:szCs w:val="24"/>
        </w:rPr>
      </w:pPr>
    </w:p>
    <w:p w14:paraId="00000BB9"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“So, if I eat late at like 20:00 or 22:00, I will not reduce my weight even though I weigh out my rice and stuff like that.”</w:t>
      </w:r>
      <w:r>
        <w:rPr>
          <w:rFonts w:ascii="Times New Roman" w:eastAsia="Times New Roman" w:hAnsi="Times New Roman" w:cs="Times New Roman"/>
          <w:sz w:val="24"/>
          <w:szCs w:val="24"/>
        </w:rPr>
        <w:t xml:space="preserve"> (P124)</w:t>
      </w:r>
    </w:p>
    <w:p w14:paraId="00000BBA" w14:textId="77777777" w:rsidR="00CB4215" w:rsidRDefault="00CB4215">
      <w:pPr>
        <w:widowControl w:val="0"/>
        <w:spacing w:line="480" w:lineRule="auto"/>
        <w:rPr>
          <w:rFonts w:ascii="Calibri" w:eastAsia="Calibri" w:hAnsi="Calibri" w:cs="Calibri"/>
          <w:sz w:val="24"/>
          <w:szCs w:val="24"/>
        </w:rPr>
      </w:pPr>
    </w:p>
    <w:p w14:paraId="00000BBB"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participants found that investing time in planning their meals in advance, or preparing some ingredients earlier in the day, optimised the evening cooking process and made it more feasible to eat earlier.</w:t>
      </w:r>
    </w:p>
    <w:p w14:paraId="00000BBC"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if the program can help to organise the weekly proper time, you know, how you organise yourself getting food ready when you go back to work.”</w:t>
      </w:r>
      <w:r>
        <w:rPr>
          <w:rFonts w:ascii="Times New Roman" w:eastAsia="Times New Roman" w:hAnsi="Times New Roman" w:cs="Times New Roman"/>
          <w:sz w:val="24"/>
          <w:szCs w:val="24"/>
        </w:rPr>
        <w:t xml:space="preserve"> (P174)</w:t>
      </w:r>
    </w:p>
    <w:p w14:paraId="00000BBD" w14:textId="77777777" w:rsidR="00CB4215" w:rsidRDefault="00CB4215">
      <w:pPr>
        <w:widowControl w:val="0"/>
        <w:spacing w:line="240" w:lineRule="auto"/>
        <w:rPr>
          <w:rFonts w:ascii="Times New Roman" w:eastAsia="Times New Roman" w:hAnsi="Times New Roman" w:cs="Times New Roman"/>
          <w:sz w:val="24"/>
          <w:szCs w:val="24"/>
        </w:rPr>
      </w:pPr>
    </w:p>
    <w:p w14:paraId="00000BBE"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a big help would be having an idea of what food I'm cooking, having it almost portioned out in a way, prepared. And having in my mind what I'm going to cook with this food, and how I'm going to cook it. So, like, a recipe or an idea of what I'm doing. I think that would be a big help.”</w:t>
      </w:r>
      <w:r>
        <w:rPr>
          <w:rFonts w:ascii="Times New Roman" w:eastAsia="Times New Roman" w:hAnsi="Times New Roman" w:cs="Times New Roman"/>
          <w:sz w:val="24"/>
          <w:szCs w:val="24"/>
        </w:rPr>
        <w:t xml:space="preserve"> (P181)</w:t>
      </w:r>
    </w:p>
    <w:p w14:paraId="00000BBF" w14:textId="77777777" w:rsidR="00CB4215" w:rsidRDefault="00CB4215">
      <w:pPr>
        <w:widowControl w:val="0"/>
        <w:spacing w:line="240" w:lineRule="auto"/>
        <w:rPr>
          <w:rFonts w:ascii="Times New Roman" w:eastAsia="Times New Roman" w:hAnsi="Times New Roman" w:cs="Times New Roman"/>
          <w:sz w:val="24"/>
          <w:szCs w:val="24"/>
        </w:rPr>
      </w:pPr>
    </w:p>
    <w:p w14:paraId="00000BC0" w14:textId="77777777" w:rsidR="00CB4215" w:rsidRDefault="000530B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main factors would be like doing some preparation work in advance. So just warming up, but then you eat food and then you cook for the next day.” </w:t>
      </w:r>
      <w:r>
        <w:rPr>
          <w:rFonts w:ascii="Times New Roman" w:eastAsia="Times New Roman" w:hAnsi="Times New Roman" w:cs="Times New Roman"/>
          <w:sz w:val="24"/>
          <w:szCs w:val="24"/>
        </w:rPr>
        <w:t>(P180)</w:t>
      </w:r>
    </w:p>
    <w:p w14:paraId="00000BC1" w14:textId="77777777" w:rsidR="00CB4215" w:rsidRDefault="00CB4215">
      <w:pPr>
        <w:spacing w:line="480" w:lineRule="auto"/>
        <w:rPr>
          <w:rFonts w:ascii="Calibri" w:eastAsia="Calibri" w:hAnsi="Calibri" w:cs="Calibri"/>
          <w:i/>
          <w:sz w:val="24"/>
          <w:szCs w:val="24"/>
        </w:rPr>
      </w:pPr>
    </w:p>
    <w:p w14:paraId="00000BC2" w14:textId="77777777" w:rsidR="00CB4215" w:rsidRDefault="000530B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reported some strategies that may be effective to change late evening eating habits. Activities such as going to the gym or meeting up with friends were reported as activities that minimise the usual late-night eating habits. </w:t>
      </w:r>
    </w:p>
    <w:p w14:paraId="00000BC3" w14:textId="77777777" w:rsidR="00CB4215" w:rsidRDefault="00CB4215">
      <w:pPr>
        <w:widowControl w:val="0"/>
        <w:spacing w:line="240" w:lineRule="auto"/>
        <w:rPr>
          <w:rFonts w:ascii="Calibri" w:eastAsia="Calibri" w:hAnsi="Calibri" w:cs="Calibri"/>
          <w:sz w:val="24"/>
          <w:szCs w:val="24"/>
        </w:rPr>
      </w:pPr>
    </w:p>
    <w:p w14:paraId="00000BC4"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“Sometimes, maybe going to the gym, or anything like that, or if I'm meeting up with a friend or anything like that, I probably won't eat until later on.”</w:t>
      </w:r>
      <w:r>
        <w:rPr>
          <w:rFonts w:ascii="Times New Roman" w:eastAsia="Times New Roman" w:hAnsi="Times New Roman" w:cs="Times New Roman"/>
          <w:sz w:val="24"/>
          <w:szCs w:val="24"/>
        </w:rPr>
        <w:t xml:space="preserve"> (P105)</w:t>
      </w:r>
    </w:p>
    <w:p w14:paraId="00000BC5" w14:textId="77777777" w:rsidR="00CB4215" w:rsidRDefault="00CB4215">
      <w:pPr>
        <w:widowControl w:val="0"/>
        <w:spacing w:line="240" w:lineRule="auto"/>
        <w:rPr>
          <w:rFonts w:ascii="Times New Roman" w:eastAsia="Times New Roman" w:hAnsi="Times New Roman" w:cs="Times New Roman"/>
          <w:i/>
          <w:sz w:val="24"/>
          <w:szCs w:val="24"/>
        </w:rPr>
      </w:pPr>
    </w:p>
    <w:p w14:paraId="00000BC6"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“On Tuesday's I have karate, so I have to eat before then. In fact, Tuesdays I probably do eat </w:t>
      </w:r>
      <w:r>
        <w:rPr>
          <w:rFonts w:ascii="Times New Roman" w:eastAsia="Times New Roman" w:hAnsi="Times New Roman" w:cs="Times New Roman"/>
          <w:i/>
          <w:sz w:val="24"/>
          <w:szCs w:val="24"/>
        </w:rPr>
        <w:lastRenderedPageBreak/>
        <w:t>earlier actually because of that. I probably eat about half five which is early for me.”</w:t>
      </w:r>
      <w:r>
        <w:rPr>
          <w:rFonts w:ascii="Times New Roman" w:eastAsia="Times New Roman" w:hAnsi="Times New Roman" w:cs="Times New Roman"/>
          <w:sz w:val="24"/>
          <w:szCs w:val="24"/>
        </w:rPr>
        <w:t xml:space="preserve"> (P197)</w:t>
      </w:r>
    </w:p>
    <w:p w14:paraId="00000BC7" w14:textId="77777777" w:rsidR="00CB4215" w:rsidRDefault="00CB4215">
      <w:pPr>
        <w:widowControl w:val="0"/>
        <w:spacing w:line="480" w:lineRule="auto"/>
        <w:rPr>
          <w:rFonts w:ascii="Calibri" w:eastAsia="Calibri" w:hAnsi="Calibri" w:cs="Calibri"/>
          <w:sz w:val="24"/>
          <w:szCs w:val="24"/>
        </w:rPr>
      </w:pPr>
    </w:p>
    <w:p w14:paraId="00000BC8"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some participants indicated that there was a lack of alternative strategies to prevent them from eating late at night. For these participants, eating late at night is a source of stimulation or has become a habit. Eating could provide energy to support their late-night activities.</w:t>
      </w:r>
    </w:p>
    <w:p w14:paraId="00000BC9" w14:textId="77777777" w:rsidR="00CB4215" w:rsidRDefault="00CB4215">
      <w:pPr>
        <w:spacing w:line="240" w:lineRule="auto"/>
        <w:rPr>
          <w:rFonts w:ascii="Calibri" w:eastAsia="Calibri" w:hAnsi="Calibri" w:cs="Calibri"/>
          <w:sz w:val="24"/>
          <w:szCs w:val="24"/>
        </w:rPr>
      </w:pPr>
    </w:p>
    <w:p w14:paraId="00000BCA"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 in particular. There' s nothing that's stopping me from eating late at night. As I said, it's stimulation for me whilst I am working that I'm, you know, I'm eating late at night.”</w:t>
      </w:r>
      <w:r>
        <w:rPr>
          <w:rFonts w:ascii="Times New Roman" w:eastAsia="Times New Roman" w:hAnsi="Times New Roman" w:cs="Times New Roman"/>
          <w:sz w:val="24"/>
          <w:szCs w:val="24"/>
        </w:rPr>
        <w:t xml:space="preserve"> (P120)</w:t>
      </w:r>
    </w:p>
    <w:p w14:paraId="00000BCB" w14:textId="77777777" w:rsidR="00CB4215" w:rsidRDefault="00CB4215">
      <w:pPr>
        <w:widowControl w:val="0"/>
        <w:spacing w:line="240" w:lineRule="auto"/>
        <w:rPr>
          <w:rFonts w:ascii="Times New Roman" w:eastAsia="Times New Roman" w:hAnsi="Times New Roman" w:cs="Times New Roman"/>
          <w:sz w:val="24"/>
          <w:szCs w:val="24"/>
        </w:rPr>
      </w:pPr>
    </w:p>
    <w:p w14:paraId="00000BCC" w14:textId="77777777" w:rsidR="00CB4215" w:rsidRDefault="000530B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“Not </w:t>
      </w:r>
      <w:proofErr w:type="gramStart"/>
      <w:r>
        <w:rPr>
          <w:rFonts w:ascii="Times New Roman" w:eastAsia="Times New Roman" w:hAnsi="Times New Roman" w:cs="Times New Roman"/>
          <w:i/>
          <w:sz w:val="24"/>
          <w:szCs w:val="24"/>
        </w:rPr>
        <w:t>really here</w:t>
      </w:r>
      <w:proofErr w:type="gramEnd"/>
      <w:r>
        <w:rPr>
          <w:rFonts w:ascii="Times New Roman" w:eastAsia="Times New Roman" w:hAnsi="Times New Roman" w:cs="Times New Roman"/>
          <w:i/>
          <w:sz w:val="24"/>
          <w:szCs w:val="24"/>
        </w:rPr>
        <w:t xml:space="preserve"> there's something that can stop me from eating because, yes, everywhere I am, for example, at the office or at other places, my family's places, I usually keep some snacks around me. So, yes, I still keep eating whatever I think it is I'm doing.” </w:t>
      </w:r>
      <w:r>
        <w:rPr>
          <w:rFonts w:ascii="Times New Roman" w:eastAsia="Times New Roman" w:hAnsi="Times New Roman" w:cs="Times New Roman"/>
          <w:sz w:val="24"/>
          <w:szCs w:val="24"/>
        </w:rPr>
        <w:t>(P111)</w:t>
      </w:r>
    </w:p>
    <w:p w14:paraId="00000BCD" w14:textId="3DFA8617" w:rsidR="00CB4215" w:rsidRDefault="00CB4215">
      <w:pPr>
        <w:widowControl w:val="0"/>
        <w:spacing w:line="240" w:lineRule="auto"/>
        <w:rPr>
          <w:rFonts w:ascii="Times New Roman" w:eastAsia="Times New Roman" w:hAnsi="Times New Roman" w:cs="Times New Roman"/>
          <w:sz w:val="24"/>
          <w:szCs w:val="24"/>
        </w:rPr>
      </w:pPr>
    </w:p>
    <w:p w14:paraId="4EF6E537" w14:textId="77777777" w:rsidR="004D2BCD" w:rsidRDefault="004D2BCD">
      <w:pPr>
        <w:widowControl w:val="0"/>
        <w:spacing w:line="240" w:lineRule="auto"/>
        <w:rPr>
          <w:rFonts w:ascii="Times New Roman" w:eastAsia="Times New Roman" w:hAnsi="Times New Roman" w:cs="Times New Roman"/>
          <w:sz w:val="24"/>
          <w:szCs w:val="24"/>
        </w:rPr>
      </w:pPr>
    </w:p>
    <w:p w14:paraId="00000BCE" w14:textId="77777777" w:rsidR="00CB4215" w:rsidRDefault="000530B4">
      <w:pPr>
        <w:pStyle w:val="Heading3"/>
        <w:rPr>
          <w:rFonts w:ascii="Times New Roman" w:eastAsia="Times New Roman" w:hAnsi="Times New Roman" w:cs="Times New Roman"/>
          <w:b/>
          <w:color w:val="000000"/>
        </w:rPr>
      </w:pPr>
      <w:bookmarkStart w:id="119" w:name="_Toc172984824"/>
      <w:r>
        <w:rPr>
          <w:rFonts w:ascii="Times New Roman" w:eastAsia="Times New Roman" w:hAnsi="Times New Roman" w:cs="Times New Roman"/>
          <w:b/>
          <w:color w:val="000000"/>
        </w:rPr>
        <w:t>6.7 Discussion</w:t>
      </w:r>
      <w:bookmarkEnd w:id="119"/>
    </w:p>
    <w:p w14:paraId="00000BCF" w14:textId="77777777" w:rsidR="00CB4215" w:rsidRDefault="00CB4215"/>
    <w:p w14:paraId="00000BD0" w14:textId="78FB31FA" w:rsidR="00CB4215" w:rsidRDefault="000530B4">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identified the physiological (e.g., feeling hungry in the evening), environmental (e.g., food rich environment) and emotional (e.g., negative feelings in the evening) factors contributing to late evening eating in adults living with overweight and obesity. Although barriers to changing late evening eating were highlighted, participants also reported that having high motivation (e.g., contentment with eating earlier in the evening) and interpersonal support could facilitate earlier eating times. </w:t>
      </w:r>
    </w:p>
    <w:p w14:paraId="57B937A9" w14:textId="77777777" w:rsidR="005319A8" w:rsidRDefault="005319A8">
      <w:pPr>
        <w:spacing w:after="200" w:line="480" w:lineRule="auto"/>
        <w:rPr>
          <w:rFonts w:ascii="Times New Roman" w:eastAsia="Times New Roman" w:hAnsi="Times New Roman" w:cs="Times New Roman"/>
          <w:sz w:val="24"/>
          <w:szCs w:val="24"/>
        </w:rPr>
      </w:pPr>
    </w:p>
    <w:p w14:paraId="00000BD1"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t>6.7.1 Factors contributing to late evening eating</w:t>
      </w:r>
    </w:p>
    <w:p w14:paraId="00000BD2" w14:textId="77777777" w:rsidR="00CB4215" w:rsidRDefault="00CB4215"/>
    <w:p w14:paraId="00000BD3"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Feelings of hunger were identified as a main contributor to late evening eating and was also discussed as a barrier to changing to earlier eating patterns. This aligns with previous quantitative work showing higher levels of hunger in the evening in both healthy adults and adults with overweight or obesity (</w:t>
      </w:r>
      <w:hyperlink r:id="rId684">
        <w:r>
          <w:rPr>
            <w:rFonts w:ascii="Times New Roman" w:eastAsia="Times New Roman" w:hAnsi="Times New Roman" w:cs="Times New Roman"/>
            <w:color w:val="000000"/>
            <w:sz w:val="24"/>
            <w:szCs w:val="24"/>
          </w:rPr>
          <w:t>Scheer et al., 2013</w:t>
        </w:r>
      </w:hyperlink>
      <w:r>
        <w:rPr>
          <w:rFonts w:ascii="Times New Roman" w:eastAsia="Times New Roman" w:hAnsi="Times New Roman" w:cs="Times New Roman"/>
          <w:sz w:val="24"/>
          <w:szCs w:val="24"/>
        </w:rPr>
        <w:t xml:space="preserve">; </w:t>
      </w:r>
      <w:hyperlink r:id="rId685">
        <w:proofErr w:type="spellStart"/>
        <w:r>
          <w:rPr>
            <w:rFonts w:ascii="Times New Roman" w:eastAsia="Times New Roman" w:hAnsi="Times New Roman" w:cs="Times New Roman"/>
            <w:color w:val="000000"/>
            <w:sz w:val="24"/>
            <w:szCs w:val="24"/>
          </w:rPr>
          <w:t>Wehrens</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w:t>
      </w:r>
      <w:hyperlink r:id="rId686">
        <w:r>
          <w:rPr>
            <w:rFonts w:ascii="Times New Roman" w:eastAsia="Times New Roman" w:hAnsi="Times New Roman" w:cs="Times New Roman"/>
            <w:color w:val="000000"/>
            <w:sz w:val="24"/>
            <w:szCs w:val="24"/>
          </w:rPr>
          <w:t xml:space="preserve">Sargent et al., </w:t>
        </w:r>
        <w:r>
          <w:rPr>
            <w:rFonts w:ascii="Times New Roman" w:eastAsia="Times New Roman" w:hAnsi="Times New Roman" w:cs="Times New Roman"/>
            <w:color w:val="000000"/>
            <w:sz w:val="24"/>
            <w:szCs w:val="24"/>
          </w:rPr>
          <w:lastRenderedPageBreak/>
          <w:t>2016;</w:t>
        </w:r>
      </w:hyperlink>
      <w:r>
        <w:rPr>
          <w:rFonts w:ascii="Times New Roman" w:eastAsia="Times New Roman" w:hAnsi="Times New Roman" w:cs="Times New Roman"/>
          <w:sz w:val="24"/>
          <w:szCs w:val="24"/>
        </w:rPr>
        <w:t xml:space="preserve"> </w:t>
      </w:r>
      <w:hyperlink r:id="rId687">
        <w:r>
          <w:rPr>
            <w:rFonts w:ascii="Times New Roman" w:eastAsia="Times New Roman" w:hAnsi="Times New Roman" w:cs="Times New Roman"/>
            <w:color w:val="000000"/>
            <w:sz w:val="24"/>
            <w:szCs w:val="24"/>
          </w:rPr>
          <w:t xml:space="preserve">Carnell et al., 2018; </w:t>
        </w:r>
        <w:proofErr w:type="spellStart"/>
        <w:r>
          <w:rPr>
            <w:rFonts w:ascii="Times New Roman" w:eastAsia="Times New Roman" w:hAnsi="Times New Roman" w:cs="Times New Roman"/>
            <w:color w:val="000000"/>
            <w:sz w:val="24"/>
            <w:szCs w:val="24"/>
          </w:rPr>
          <w:t>McHill</w:t>
        </w:r>
        <w:proofErr w:type="spellEnd"/>
        <w:r>
          <w:rPr>
            <w:rFonts w:ascii="Times New Roman" w:eastAsia="Times New Roman" w:hAnsi="Times New Roman" w:cs="Times New Roman"/>
            <w:color w:val="000000"/>
            <w:sz w:val="24"/>
            <w:szCs w:val="24"/>
          </w:rPr>
          <w:t xml:space="preserve"> et al., 2018)</w:t>
        </w:r>
      </w:hyperlink>
      <w:r>
        <w:rPr>
          <w:rFonts w:ascii="Times New Roman" w:eastAsia="Times New Roman" w:hAnsi="Times New Roman" w:cs="Times New Roman"/>
          <w:sz w:val="24"/>
          <w:szCs w:val="24"/>
        </w:rPr>
        <w:t xml:space="preserve">. Furthermore, hunger is one of the main barriers to engaging in weight loss programs in the long-term </w:t>
      </w:r>
      <w:hyperlink r:id="rId688">
        <w:r>
          <w:rPr>
            <w:rFonts w:ascii="Times New Roman" w:eastAsia="Times New Roman" w:hAnsi="Times New Roman" w:cs="Times New Roman"/>
            <w:color w:val="000000"/>
            <w:sz w:val="24"/>
            <w:szCs w:val="24"/>
          </w:rPr>
          <w:t>(Stubbs 2012; O’Connor et al., 2021)</w:t>
        </w:r>
      </w:hyperlink>
      <w:r>
        <w:rPr>
          <w:rFonts w:ascii="Times New Roman" w:eastAsia="Times New Roman" w:hAnsi="Times New Roman" w:cs="Times New Roman"/>
          <w:sz w:val="24"/>
          <w:szCs w:val="24"/>
        </w:rPr>
        <w:t xml:space="preserve">. Alongside physiological hunger, the scores of </w:t>
      </w:r>
      <w:proofErr w:type="gramStart"/>
      <w:r>
        <w:rPr>
          <w:rFonts w:ascii="Times New Roman" w:eastAsia="Times New Roman" w:hAnsi="Times New Roman" w:cs="Times New Roman"/>
          <w:sz w:val="24"/>
          <w:szCs w:val="24"/>
        </w:rPr>
        <w:t>liking</w:t>
      </w:r>
      <w:proofErr w:type="gramEnd"/>
      <w:r>
        <w:rPr>
          <w:rFonts w:ascii="Times New Roman" w:eastAsia="Times New Roman" w:hAnsi="Times New Roman" w:cs="Times New Roman"/>
          <w:sz w:val="24"/>
          <w:szCs w:val="24"/>
        </w:rPr>
        <w:t xml:space="preserve"> and wanting for high-fat foods are higher later in the day </w:t>
      </w:r>
      <w:hyperlink r:id="rId689">
        <w:r>
          <w:rPr>
            <w:rFonts w:ascii="Times New Roman" w:eastAsia="Times New Roman" w:hAnsi="Times New Roman" w:cs="Times New Roman"/>
            <w:color w:val="000000"/>
            <w:sz w:val="24"/>
            <w:szCs w:val="24"/>
          </w:rPr>
          <w:t>(Beaulieu et al., 2020)</w:t>
        </w:r>
      </w:hyperlink>
      <w:r>
        <w:rPr>
          <w:rFonts w:ascii="Times New Roman" w:eastAsia="Times New Roman" w:hAnsi="Times New Roman" w:cs="Times New Roman"/>
          <w:sz w:val="24"/>
          <w:szCs w:val="24"/>
        </w:rPr>
        <w:t xml:space="preserve">. The finding that hunger plays an important role in late evening eating aligns with a previous qualitative study </w:t>
      </w:r>
      <w:hyperlink r:id="rId690">
        <w:r>
          <w:rPr>
            <w:rFonts w:ascii="Times New Roman" w:eastAsia="Times New Roman" w:hAnsi="Times New Roman" w:cs="Times New Roman"/>
            <w:color w:val="000000"/>
            <w:sz w:val="24"/>
            <w:szCs w:val="24"/>
          </w:rPr>
          <w:t>(Kroeger et al., 2019)</w:t>
        </w:r>
      </w:hyperlink>
      <w:r>
        <w:rPr>
          <w:rFonts w:ascii="Times New Roman" w:eastAsia="Times New Roman" w:hAnsi="Times New Roman" w:cs="Times New Roman"/>
          <w:sz w:val="24"/>
          <w:szCs w:val="24"/>
        </w:rPr>
        <w:t xml:space="preserve"> in pregnant women and extends this finding to a non-pregnant sample of adults with overweight and obesity. As such, it will be beneficial for future research to explore strategies to reduce heightened hunger in the evening, such as encouraging intake of foods low in energy density </w:t>
      </w:r>
      <w:hyperlink r:id="rId691">
        <w:r>
          <w:rPr>
            <w:rFonts w:ascii="Times New Roman" w:eastAsia="Times New Roman" w:hAnsi="Times New Roman" w:cs="Times New Roman"/>
            <w:color w:val="000000"/>
            <w:sz w:val="24"/>
            <w:szCs w:val="24"/>
          </w:rPr>
          <w:t>(Buckland et al., 2018</w:t>
        </w:r>
      </w:hyperlink>
      <w:r>
        <w:rPr>
          <w:rFonts w:ascii="Times New Roman" w:eastAsia="Times New Roman" w:hAnsi="Times New Roman" w:cs="Times New Roman"/>
          <w:sz w:val="24"/>
          <w:szCs w:val="24"/>
        </w:rPr>
        <w:t xml:space="preserve">; </w:t>
      </w:r>
      <w:hyperlink r:id="rId692">
        <w:r>
          <w:rPr>
            <w:rFonts w:ascii="Times New Roman" w:eastAsia="Times New Roman" w:hAnsi="Times New Roman" w:cs="Times New Roman"/>
            <w:color w:val="000000"/>
            <w:sz w:val="24"/>
            <w:szCs w:val="24"/>
          </w:rPr>
          <w:t>Rolls 2017)</w:t>
        </w:r>
      </w:hyperlink>
      <w:r>
        <w:rPr>
          <w:rFonts w:ascii="Times New Roman" w:eastAsia="Times New Roman" w:hAnsi="Times New Roman" w:cs="Times New Roman"/>
          <w:sz w:val="24"/>
          <w:szCs w:val="24"/>
        </w:rPr>
        <w:t xml:space="preserve">, high in protein </w:t>
      </w:r>
      <w:hyperlink r:id="rId693">
        <w:r>
          <w:rPr>
            <w:rFonts w:ascii="Times New Roman" w:eastAsia="Times New Roman" w:hAnsi="Times New Roman" w:cs="Times New Roman"/>
            <w:color w:val="000000"/>
            <w:sz w:val="24"/>
            <w:szCs w:val="24"/>
          </w:rPr>
          <w:t>(de Carvalho et al., 2020) and high in fibre</w:t>
        </w:r>
      </w:hyperlink>
      <w:r>
        <w:rPr>
          <w:rFonts w:ascii="Times New Roman" w:eastAsia="Times New Roman" w:hAnsi="Times New Roman" w:cs="Times New Roman"/>
          <w:sz w:val="24"/>
          <w:szCs w:val="24"/>
        </w:rPr>
        <w:t xml:space="preserve"> </w:t>
      </w:r>
      <w:hyperlink r:id="rId694">
        <w:r>
          <w:rPr>
            <w:rFonts w:ascii="Times New Roman" w:eastAsia="Times New Roman" w:hAnsi="Times New Roman" w:cs="Times New Roman"/>
            <w:color w:val="000000"/>
            <w:sz w:val="24"/>
            <w:szCs w:val="24"/>
          </w:rPr>
          <w:t>(St-Pierre et al., 2009)</w:t>
        </w:r>
      </w:hyperlink>
      <w:r>
        <w:rPr>
          <w:rFonts w:ascii="Times New Roman" w:eastAsia="Times New Roman" w:hAnsi="Times New Roman" w:cs="Times New Roman"/>
          <w:sz w:val="24"/>
          <w:szCs w:val="24"/>
        </w:rPr>
        <w:t>.</w:t>
      </w:r>
    </w:p>
    <w:p w14:paraId="00000BD4" w14:textId="77777777" w:rsidR="00CB4215" w:rsidRDefault="00CB4215">
      <w:pPr>
        <w:spacing w:line="480" w:lineRule="auto"/>
        <w:rPr>
          <w:rFonts w:ascii="Times New Roman" w:eastAsia="Times New Roman" w:hAnsi="Times New Roman" w:cs="Times New Roman"/>
          <w:sz w:val="24"/>
          <w:szCs w:val="24"/>
        </w:rPr>
      </w:pPr>
    </w:p>
    <w:p w14:paraId="00000BD5" w14:textId="3AB6B0F0"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physiological triggers, this study highlighted that a food-rich environment, characterised by easy access to a variety of palatable foods, contributes to late evening eating. High availability of palatable foods is a main driver of increased energy intake </w:t>
      </w:r>
      <w:hyperlink r:id="rId695">
        <w:r>
          <w:rPr>
            <w:rFonts w:ascii="Times New Roman" w:eastAsia="Times New Roman" w:hAnsi="Times New Roman" w:cs="Times New Roman"/>
            <w:color w:val="000000"/>
            <w:sz w:val="24"/>
            <w:szCs w:val="24"/>
          </w:rPr>
          <w:t xml:space="preserve">(Hill et al., 2003; </w:t>
        </w:r>
        <w:proofErr w:type="spellStart"/>
        <w:r>
          <w:rPr>
            <w:rFonts w:ascii="Times New Roman" w:eastAsia="Times New Roman" w:hAnsi="Times New Roman" w:cs="Times New Roman"/>
            <w:color w:val="000000"/>
            <w:sz w:val="24"/>
            <w:szCs w:val="24"/>
          </w:rPr>
          <w:t>Privitera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Zuraikat</w:t>
        </w:r>
        <w:proofErr w:type="spellEnd"/>
        <w:r w:rsidR="009916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2014; Cohen and </w:t>
        </w:r>
        <w:proofErr w:type="spellStart"/>
        <w:r>
          <w:rPr>
            <w:rFonts w:ascii="Times New Roman" w:eastAsia="Times New Roman" w:hAnsi="Times New Roman" w:cs="Times New Roman"/>
            <w:color w:val="000000"/>
            <w:sz w:val="24"/>
            <w:szCs w:val="24"/>
          </w:rPr>
          <w:t>Babey</w:t>
        </w:r>
        <w:proofErr w:type="spellEnd"/>
        <w:r w:rsidR="009916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2012)</w:t>
        </w:r>
      </w:hyperlink>
      <w:r>
        <w:rPr>
          <w:rFonts w:ascii="Times New Roman" w:eastAsia="Times New Roman" w:hAnsi="Times New Roman" w:cs="Times New Roman"/>
          <w:sz w:val="24"/>
          <w:szCs w:val="24"/>
        </w:rPr>
        <w:t xml:space="preserve">. Food cues, such as the thought, sight and smell of foods, induce physiological responses, such as increased salivation and heart rate </w:t>
      </w:r>
      <w:hyperlink r:id="rId69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Nederkoorn</w:t>
        </w:r>
        <w:proofErr w:type="spellEnd"/>
        <w:r>
          <w:rPr>
            <w:rFonts w:ascii="Times New Roman" w:eastAsia="Times New Roman" w:hAnsi="Times New Roman" w:cs="Times New Roman"/>
            <w:color w:val="000000"/>
            <w:sz w:val="24"/>
            <w:szCs w:val="24"/>
          </w:rPr>
          <w:t xml:space="preserve"> and Jansen</w:t>
        </w:r>
        <w:r w:rsidR="009916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2002; </w:t>
        </w:r>
        <w:proofErr w:type="spellStart"/>
        <w:r>
          <w:rPr>
            <w:rFonts w:ascii="Times New Roman" w:eastAsia="Times New Roman" w:hAnsi="Times New Roman" w:cs="Times New Roman"/>
            <w:color w:val="000000"/>
            <w:sz w:val="24"/>
            <w:szCs w:val="24"/>
          </w:rPr>
          <w:t>Nederkoorn</w:t>
        </w:r>
        <w:proofErr w:type="spellEnd"/>
        <w:r>
          <w:rPr>
            <w:rFonts w:ascii="Times New Roman" w:eastAsia="Times New Roman" w:hAnsi="Times New Roman" w:cs="Times New Roman"/>
            <w:color w:val="000000"/>
            <w:sz w:val="24"/>
            <w:szCs w:val="24"/>
          </w:rPr>
          <w:t xml:space="preserve"> et al., 2000; Pelchat et al., 2004)</w:t>
        </w:r>
      </w:hyperlink>
      <w:r>
        <w:rPr>
          <w:rFonts w:ascii="Times New Roman" w:eastAsia="Times New Roman" w:hAnsi="Times New Roman" w:cs="Times New Roman"/>
          <w:sz w:val="24"/>
          <w:szCs w:val="24"/>
        </w:rPr>
        <w:t xml:space="preserve">. Some individuals are particularly susceptible to food cues </w:t>
      </w:r>
      <w:hyperlink r:id="rId697">
        <w:r>
          <w:rPr>
            <w:rFonts w:ascii="Times New Roman" w:eastAsia="Times New Roman" w:hAnsi="Times New Roman" w:cs="Times New Roman"/>
            <w:color w:val="000000"/>
            <w:sz w:val="24"/>
            <w:szCs w:val="24"/>
          </w:rPr>
          <w:t>(Martin et al., 2010)</w:t>
        </w:r>
      </w:hyperlink>
      <w:r>
        <w:rPr>
          <w:rFonts w:ascii="Times New Roman" w:eastAsia="Times New Roman" w:hAnsi="Times New Roman" w:cs="Times New Roman"/>
          <w:sz w:val="24"/>
          <w:szCs w:val="24"/>
        </w:rPr>
        <w:t xml:space="preserve"> and experience cravings and increased energy intake in response to food cues </w:t>
      </w:r>
      <w:hyperlink r:id="rId698">
        <w:r>
          <w:rPr>
            <w:rFonts w:ascii="Times New Roman" w:eastAsia="Times New Roman" w:hAnsi="Times New Roman" w:cs="Times New Roman"/>
            <w:color w:val="000000"/>
            <w:sz w:val="24"/>
            <w:szCs w:val="24"/>
          </w:rPr>
          <w:t>(Jansen 1998</w:t>
        </w:r>
      </w:hyperlink>
      <w:r>
        <w:t xml:space="preserve">; </w:t>
      </w:r>
      <w:hyperlink r:id="rId699">
        <w:r>
          <w:rPr>
            <w:rFonts w:ascii="Times New Roman" w:eastAsia="Times New Roman" w:hAnsi="Times New Roman" w:cs="Times New Roman"/>
            <w:color w:val="000000"/>
            <w:sz w:val="24"/>
            <w:szCs w:val="24"/>
          </w:rPr>
          <w:t>Cornell et al., 1989; van den Akker et al., 2013)</w:t>
        </w:r>
      </w:hyperlink>
      <w:r>
        <w:rPr>
          <w:rFonts w:ascii="Times New Roman" w:eastAsia="Times New Roman" w:hAnsi="Times New Roman" w:cs="Times New Roman"/>
          <w:sz w:val="24"/>
          <w:szCs w:val="24"/>
        </w:rPr>
        <w:t xml:space="preserve">. The participants in the current study also reported that easy access to palatable foods was related to snack consumption in the evening. Observational data indicates that consuming snacks in the evening is linked to the eating of energy-dense foods that are high in fat and sugar. This might potentially lead to an increased risk of consuming more energy and experiencing negative metabolic effects, particularly when these snacks are consumed at times that do not correspond with the body's natural </w:t>
      </w:r>
      <w:r>
        <w:rPr>
          <w:rFonts w:ascii="Times New Roman" w:eastAsia="Times New Roman" w:hAnsi="Times New Roman" w:cs="Times New Roman"/>
          <w:sz w:val="24"/>
          <w:szCs w:val="24"/>
        </w:rPr>
        <w:lastRenderedPageBreak/>
        <w:t xml:space="preserve">metabolic cycles </w:t>
      </w:r>
      <w:hyperlink r:id="rId700">
        <w:r>
          <w:rPr>
            <w:rFonts w:ascii="Times New Roman" w:eastAsia="Times New Roman" w:hAnsi="Times New Roman" w:cs="Times New Roman"/>
            <w:color w:val="000000"/>
            <w:sz w:val="24"/>
            <w:szCs w:val="24"/>
          </w:rPr>
          <w:t xml:space="preserve">(Barrington and Beresford 2019; Si Hassen et al., 2018; </w:t>
        </w:r>
        <w:proofErr w:type="spellStart"/>
        <w:r>
          <w:rPr>
            <w:rFonts w:ascii="Times New Roman" w:eastAsia="Times New Roman" w:hAnsi="Times New Roman" w:cs="Times New Roman"/>
            <w:color w:val="000000"/>
            <w:sz w:val="24"/>
            <w:szCs w:val="24"/>
          </w:rPr>
          <w:t>Chaix</w:t>
        </w:r>
        <w:proofErr w:type="spellEnd"/>
        <w:r>
          <w:rPr>
            <w:rFonts w:ascii="Times New Roman" w:eastAsia="Times New Roman" w:hAnsi="Times New Roman" w:cs="Times New Roman"/>
            <w:color w:val="000000"/>
            <w:sz w:val="24"/>
            <w:szCs w:val="24"/>
          </w:rPr>
          <w:t xml:space="preserve"> et al., 2019)</w:t>
        </w:r>
      </w:hyperlink>
      <w:r>
        <w:rPr>
          <w:rFonts w:ascii="Times New Roman" w:eastAsia="Times New Roman" w:hAnsi="Times New Roman" w:cs="Times New Roman"/>
          <w:sz w:val="24"/>
          <w:szCs w:val="24"/>
        </w:rPr>
        <w:t xml:space="preserve">. However, in the current study, not all participants reported challenges resisting a food-rich environment. While it is common to report the experience cravings, not all cravings lead to food intake (Hill 2007; </w:t>
      </w:r>
      <w:hyperlink r:id="rId701">
        <w:r>
          <w:rPr>
            <w:rFonts w:ascii="Times New Roman" w:eastAsia="Times New Roman" w:hAnsi="Times New Roman" w:cs="Times New Roman"/>
            <w:color w:val="000000"/>
            <w:sz w:val="24"/>
            <w:szCs w:val="24"/>
          </w:rPr>
          <w:t>Smithson and Hill 2017)</w:t>
        </w:r>
      </w:hyperlink>
      <w:r>
        <w:rPr>
          <w:rFonts w:ascii="Times New Roman" w:eastAsia="Times New Roman" w:hAnsi="Times New Roman" w:cs="Times New Roman"/>
          <w:sz w:val="24"/>
          <w:szCs w:val="24"/>
        </w:rPr>
        <w:t xml:space="preserve">. As such, the current findings highlight that a food-rich environment contributes to late evening eating, but there is individual variability with some participants being able to manage such hedonic temptations. This finding has important implications and suggests that future interventions to promote earlier eating patterns could target increasing the craving control in people susceptible to consuming foods in the evening </w:t>
      </w:r>
      <w:hyperlink r:id="rId702">
        <w:r>
          <w:rPr>
            <w:rFonts w:ascii="Times New Roman" w:eastAsia="Times New Roman" w:hAnsi="Times New Roman" w:cs="Times New Roman"/>
            <w:color w:val="000000"/>
            <w:sz w:val="24"/>
            <w:szCs w:val="24"/>
          </w:rPr>
          <w:t>(Dalton et al., 2017)</w:t>
        </w:r>
      </w:hyperlink>
      <w:r>
        <w:rPr>
          <w:rFonts w:ascii="Times New Roman" w:eastAsia="Times New Roman" w:hAnsi="Times New Roman" w:cs="Times New Roman"/>
          <w:sz w:val="24"/>
          <w:szCs w:val="24"/>
        </w:rPr>
        <w:t xml:space="preserve">. More broadly, consideration should also be given to how to promote an environment that supports healthy eating and physical activity, such as by increasing exposure to cues associated with healthy dietary intake </w:t>
      </w:r>
      <w:hyperlink r:id="rId703">
        <w:r>
          <w:rPr>
            <w:rFonts w:ascii="Times New Roman" w:eastAsia="Times New Roman" w:hAnsi="Times New Roman" w:cs="Times New Roman"/>
            <w:color w:val="000000"/>
            <w:sz w:val="24"/>
            <w:szCs w:val="24"/>
          </w:rPr>
          <w:t>(Buckland et al., 2018</w:t>
        </w:r>
      </w:hyperlink>
      <w:r>
        <w:rPr>
          <w:rFonts w:ascii="Times New Roman" w:eastAsia="Times New Roman" w:hAnsi="Times New Roman" w:cs="Times New Roman"/>
          <w:sz w:val="24"/>
          <w:szCs w:val="24"/>
        </w:rPr>
        <w:t xml:space="preserve">; Carter et al., 2018).    </w:t>
      </w:r>
    </w:p>
    <w:p w14:paraId="00000BD6" w14:textId="77777777" w:rsidR="00CB4215" w:rsidRDefault="00CB4215">
      <w:pPr>
        <w:spacing w:line="480" w:lineRule="auto"/>
        <w:rPr>
          <w:rFonts w:ascii="Times New Roman" w:eastAsia="Times New Roman" w:hAnsi="Times New Roman" w:cs="Times New Roman"/>
          <w:sz w:val="24"/>
          <w:szCs w:val="24"/>
        </w:rPr>
      </w:pPr>
    </w:p>
    <w:p w14:paraId="00000BD7"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Psychological factors, such as anxiety, sadness and stress were also identified as a contributor to late evening eating. This aligns with previous work indicating that late eaters were more likely to eat when stressed </w:t>
      </w:r>
      <w:hyperlink r:id="rId70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In addition, emotional overeating is linked with increased snack consumption in the evening (</w:t>
      </w:r>
      <w:hyperlink r:id="rId705">
        <w:r>
          <w:rPr>
            <w:rFonts w:ascii="Times New Roman" w:eastAsia="Times New Roman" w:hAnsi="Times New Roman" w:cs="Times New Roman"/>
            <w:color w:val="000000"/>
            <w:sz w:val="24"/>
            <w:szCs w:val="24"/>
          </w:rPr>
          <w:t>Leblanc et al., 2012)</w:t>
        </w:r>
      </w:hyperlink>
      <w:r>
        <w:rPr>
          <w:rFonts w:ascii="Times New Roman" w:eastAsia="Times New Roman" w:hAnsi="Times New Roman" w:cs="Times New Roman"/>
          <w:sz w:val="24"/>
          <w:szCs w:val="24"/>
        </w:rPr>
        <w:t xml:space="preserve">. Indeed, previous research has demonstrated that individuals with evening chronotypes more prone to experiencing adverse psychological symptoms such as anxiety, emotional overeating and stress related eating </w:t>
      </w:r>
      <w:hyperlink r:id="rId70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Mazri</w:t>
        </w:r>
        <w:proofErr w:type="spellEnd"/>
        <w:r>
          <w:rPr>
            <w:rFonts w:ascii="Times New Roman" w:eastAsia="Times New Roman" w:hAnsi="Times New Roman" w:cs="Times New Roman"/>
            <w:color w:val="000000"/>
            <w:sz w:val="24"/>
            <w:szCs w:val="24"/>
          </w:rPr>
          <w:t xml:space="preserve"> et al., 2019</w:t>
        </w:r>
      </w:hyperlink>
      <w:r>
        <w:t xml:space="preserve">; </w:t>
      </w:r>
      <w:hyperlink r:id="rId707">
        <w:proofErr w:type="spellStart"/>
        <w:r>
          <w:rPr>
            <w:rFonts w:ascii="Times New Roman" w:eastAsia="Times New Roman" w:hAnsi="Times New Roman" w:cs="Times New Roman"/>
            <w:color w:val="000000"/>
            <w:sz w:val="24"/>
            <w:szCs w:val="24"/>
          </w:rPr>
          <w:t>Konttinen</w:t>
        </w:r>
        <w:proofErr w:type="spellEnd"/>
        <w:r>
          <w:rPr>
            <w:rFonts w:ascii="Times New Roman" w:eastAsia="Times New Roman" w:hAnsi="Times New Roman" w:cs="Times New Roman"/>
            <w:color w:val="000000"/>
            <w:sz w:val="24"/>
            <w:szCs w:val="24"/>
          </w:rPr>
          <w:t xml:space="preserve"> et al., 2014</w:t>
        </w:r>
      </w:hyperlink>
      <w:r>
        <w:t xml:space="preserve">; </w:t>
      </w:r>
      <w:hyperlink r:id="rId708">
        <w:r>
          <w:rPr>
            <w:rFonts w:ascii="Times New Roman" w:eastAsia="Times New Roman" w:hAnsi="Times New Roman" w:cs="Times New Roman"/>
            <w:color w:val="000000"/>
            <w:sz w:val="24"/>
            <w:szCs w:val="24"/>
          </w:rPr>
          <w:t>Vera et al., 2018)</w:t>
        </w:r>
      </w:hyperlink>
      <w:r>
        <w:rPr>
          <w:rFonts w:ascii="Times New Roman" w:eastAsia="Times New Roman" w:hAnsi="Times New Roman" w:cs="Times New Roman"/>
          <w:sz w:val="24"/>
          <w:szCs w:val="24"/>
        </w:rPr>
        <w:t xml:space="preserve">. One possible explanation is that there are less self-regulating resources to manage negative affect later in the day </w:t>
      </w:r>
      <w:hyperlink r:id="rId709">
        <w:r>
          <w:rPr>
            <w:rFonts w:ascii="Times New Roman" w:eastAsia="Times New Roman" w:hAnsi="Times New Roman" w:cs="Times New Roman"/>
            <w:color w:val="000000"/>
            <w:sz w:val="24"/>
            <w:szCs w:val="24"/>
          </w:rPr>
          <w:t>(Millar 2017)</w:t>
        </w:r>
      </w:hyperlink>
      <w:r>
        <w:rPr>
          <w:rFonts w:ascii="Times New Roman" w:eastAsia="Times New Roman" w:hAnsi="Times New Roman" w:cs="Times New Roman"/>
          <w:sz w:val="24"/>
          <w:szCs w:val="24"/>
        </w:rPr>
        <w:t xml:space="preserve">. The current findings are also consistent with the Escape Theory by Heatherton and Baumeister (1991), which posits that food is used as an emotional defence from negative affective states, including anxiety, depression. </w:t>
      </w:r>
    </w:p>
    <w:p w14:paraId="00000BD8" w14:textId="77777777" w:rsidR="00CB4215" w:rsidRDefault="00CB4215">
      <w:pPr>
        <w:spacing w:line="480" w:lineRule="auto"/>
        <w:rPr>
          <w:rFonts w:ascii="Times New Roman" w:eastAsia="Times New Roman" w:hAnsi="Times New Roman" w:cs="Times New Roman"/>
          <w:sz w:val="24"/>
          <w:szCs w:val="24"/>
        </w:rPr>
      </w:pPr>
    </w:p>
    <w:p w14:paraId="00000BD9" w14:textId="77777777" w:rsidR="00CB4215" w:rsidRDefault="000530B4">
      <w:pPr>
        <w:pStyle w:val="Heading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6.7.2 Barriers and enablers of changing to early evening eating</w:t>
      </w:r>
    </w:p>
    <w:p w14:paraId="00000BDA" w14:textId="77777777" w:rsidR="00CB4215" w:rsidRDefault="00CB4215"/>
    <w:p w14:paraId="00000BDB"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present study, while there was uncertainty about the precise benefits of early evening eating, participants were aware of general recommendations about eating earlier in the evening. Participants also referred to health benefits being a main enabler to changing to earlier eating times. Epidemiological evidence has shown eating late during the day is associated with higher risk of obesity (Martínez-Lozano et al., 2020; Okada et al., 2019; </w:t>
      </w:r>
      <w:proofErr w:type="spellStart"/>
      <w:r>
        <w:rPr>
          <w:rFonts w:ascii="Times New Roman" w:eastAsia="Times New Roman" w:hAnsi="Times New Roman" w:cs="Times New Roman"/>
          <w:sz w:val="24"/>
          <w:szCs w:val="24"/>
        </w:rPr>
        <w:t>Madjd</w:t>
      </w:r>
      <w:proofErr w:type="spellEnd"/>
      <w:r>
        <w:rPr>
          <w:rFonts w:ascii="Times New Roman" w:eastAsia="Times New Roman" w:hAnsi="Times New Roman" w:cs="Times New Roman"/>
          <w:sz w:val="24"/>
          <w:szCs w:val="24"/>
        </w:rPr>
        <w:t xml:space="preserve"> et al., 2021; Zaman et al., 2019; </w:t>
      </w:r>
      <w:proofErr w:type="spellStart"/>
      <w:r>
        <w:rPr>
          <w:rFonts w:ascii="Times New Roman" w:eastAsia="Times New Roman" w:hAnsi="Times New Roman" w:cs="Times New Roman"/>
          <w:sz w:val="24"/>
          <w:szCs w:val="24"/>
        </w:rPr>
        <w:t>McHill</w:t>
      </w:r>
      <w:proofErr w:type="spellEnd"/>
      <w:r>
        <w:rPr>
          <w:rFonts w:ascii="Times New Roman" w:eastAsia="Times New Roman" w:hAnsi="Times New Roman" w:cs="Times New Roman"/>
          <w:sz w:val="24"/>
          <w:szCs w:val="24"/>
        </w:rPr>
        <w:t xml:space="preserve"> et al., 2017; Gong et al., 2021) and reduced weight loss (</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Raynor et al., 2018; </w:t>
      </w:r>
      <w:proofErr w:type="spellStart"/>
      <w:r>
        <w:rPr>
          <w:rFonts w:ascii="Times New Roman" w:eastAsia="Times New Roman" w:hAnsi="Times New Roman" w:cs="Times New Roman"/>
          <w:sz w:val="24"/>
          <w:szCs w:val="24"/>
        </w:rPr>
        <w:t>Jakubowicz</w:t>
      </w:r>
      <w:proofErr w:type="spellEnd"/>
      <w:r>
        <w:rPr>
          <w:rFonts w:ascii="Times New Roman" w:eastAsia="Times New Roman" w:hAnsi="Times New Roman" w:cs="Times New Roman"/>
          <w:sz w:val="24"/>
          <w:szCs w:val="24"/>
        </w:rPr>
        <w:t xml:space="preserve"> et al., 2013;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Lombardo et al., 2014). It has also been recommended by NHS England to avoid eating a large meal just before going to bed to help digestion (NHS, 2021). Communicating such health benefits in an engaging and relatable way may be persuasive to influence earlier eating patterns. Indeed, ‘inform about health consequences’ (BCIO:007063; </w:t>
      </w:r>
      <w:hyperlink r:id="rId710">
        <w:r>
          <w:rPr>
            <w:rFonts w:ascii="Times New Roman" w:eastAsia="Times New Roman" w:hAnsi="Times New Roman" w:cs="Times New Roman"/>
            <w:color w:val="000000"/>
            <w:sz w:val="24"/>
            <w:szCs w:val="24"/>
          </w:rPr>
          <w:t>https://bciosearch.org/BCIO_007063</w:t>
        </w:r>
      </w:hyperlink>
      <w:r>
        <w:rPr>
          <w:rFonts w:ascii="Times New Roman" w:eastAsia="Times New Roman" w:hAnsi="Times New Roman" w:cs="Times New Roman"/>
          <w:sz w:val="24"/>
          <w:szCs w:val="24"/>
        </w:rPr>
        <w:t xml:space="preserve">) is a Behaviour Change Technique within the Behaviour Change Technique Ontology (BCTO). The Behaviour Change Technique Ontology (BCTO) consists of 281 BCTs organised into 20 higher-level groups over five hierarchical levels, designed to provide a standard terminology and comprehensive classification system for the content of behaviour change interventions (Marques et al., 2023). </w:t>
      </w:r>
    </w:p>
    <w:p w14:paraId="00000BDC" w14:textId="77777777" w:rsidR="00CB4215" w:rsidRDefault="00CB4215">
      <w:pPr>
        <w:spacing w:line="480" w:lineRule="auto"/>
        <w:rPr>
          <w:rFonts w:ascii="Times New Roman" w:eastAsia="Times New Roman" w:hAnsi="Times New Roman" w:cs="Times New Roman"/>
          <w:sz w:val="24"/>
          <w:szCs w:val="24"/>
        </w:rPr>
      </w:pPr>
    </w:p>
    <w:p w14:paraId="00000BDD"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influence of social others (social opportunity) was identified as a key barrier to changing late evening eating patterns. This is consistent with previous research by Kroeger et al. (2019), in which most pregnant women described late evening eating due to others in the household. The findings of current study also align with Social-ecological Model (SEM), which suggests an individual’s behaviour is influenced by multifaceted levels, including intrapersonal characteristics, interpersonal processes, institutional factors, community </w:t>
      </w:r>
      <w:r>
        <w:rPr>
          <w:rFonts w:ascii="Times New Roman" w:eastAsia="Times New Roman" w:hAnsi="Times New Roman" w:cs="Times New Roman"/>
          <w:sz w:val="24"/>
          <w:szCs w:val="24"/>
        </w:rPr>
        <w:lastRenderedPageBreak/>
        <w:t xml:space="preserve">features and public policy. At the interpersonal level, the SEM highlights the role of social relationships and networks in shaping behaviours </w:t>
      </w:r>
      <w:hyperlink r:id="rId711">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Salihu</w:t>
        </w:r>
        <w:proofErr w:type="spellEnd"/>
        <w:r>
          <w:rPr>
            <w:rFonts w:ascii="Times New Roman" w:eastAsia="Times New Roman" w:hAnsi="Times New Roman" w:cs="Times New Roman"/>
            <w:color w:val="000000"/>
            <w:sz w:val="24"/>
            <w:szCs w:val="24"/>
          </w:rPr>
          <w:t xml:space="preserve"> et al., 2015)</w:t>
        </w:r>
      </w:hyperlink>
      <w:r>
        <w:rPr>
          <w:rFonts w:ascii="Times New Roman" w:eastAsia="Times New Roman" w:hAnsi="Times New Roman" w:cs="Times New Roman"/>
          <w:sz w:val="24"/>
          <w:szCs w:val="24"/>
        </w:rPr>
        <w:t xml:space="preserve">. In the present study, social engagements or family routines could inhibit changing to earlier eating patterns. Conversely, social influence was also reported as a potential enabler for promoting earlier eating patterns. This is also in line with Larson et al. (2013), where the frequency of communal meals correlated with better dietary patterns among adults, highlighting the role of social dynamics in meal timing </w:t>
      </w:r>
      <w:hyperlink r:id="rId71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2019)</w:t>
        </w:r>
      </w:hyperlink>
      <w:r>
        <w:rPr>
          <w:rFonts w:ascii="Times New Roman" w:eastAsia="Times New Roman" w:hAnsi="Times New Roman" w:cs="Times New Roman"/>
          <w:sz w:val="24"/>
          <w:szCs w:val="24"/>
        </w:rPr>
        <w:t xml:space="preserve">. Furthermore, previous research has demonstrated that social support, particularly from family members, is a valuable approach to enhancing the sustainability of health interventions (Murray et al., 2012). Therefore, it is recommended that future studies consider the role of interactions within the family or co-habitants and develop tailored strategies to account for social influences. </w:t>
      </w:r>
    </w:p>
    <w:p w14:paraId="00000BDE" w14:textId="77777777" w:rsidR="00CB4215" w:rsidRDefault="00CB4215">
      <w:pPr>
        <w:spacing w:line="480" w:lineRule="auto"/>
        <w:rPr>
          <w:rFonts w:ascii="Times New Roman" w:eastAsia="Times New Roman" w:hAnsi="Times New Roman" w:cs="Times New Roman"/>
          <w:sz w:val="24"/>
          <w:szCs w:val="24"/>
        </w:rPr>
      </w:pPr>
    </w:p>
    <w:p w14:paraId="00000BDF"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 constraint (physical opportunity) was also repeatedly highlighted as a barrier to changing to earlier eating patterns. Previous qualitative studies have indicated that time constraint is identified as a common barrier to meal preparation </w:t>
      </w:r>
      <w:hyperlink r:id="rId713">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Mancino</w:t>
        </w:r>
        <w:proofErr w:type="spellEnd"/>
        <w:r>
          <w:rPr>
            <w:rFonts w:ascii="Times New Roman" w:eastAsia="Times New Roman" w:hAnsi="Times New Roman" w:cs="Times New Roman"/>
            <w:color w:val="000000"/>
            <w:sz w:val="24"/>
            <w:szCs w:val="24"/>
          </w:rPr>
          <w:t xml:space="preserve"> et al., 2007; Jabs and Devine 2006; Jabs et al., 2007)</w:t>
        </w:r>
      </w:hyperlink>
      <w:r>
        <w:rPr>
          <w:rFonts w:ascii="Times New Roman" w:eastAsia="Times New Roman" w:hAnsi="Times New Roman" w:cs="Times New Roman"/>
          <w:sz w:val="24"/>
          <w:szCs w:val="24"/>
        </w:rPr>
        <w:t xml:space="preserve">. Meal planning has been suggested as a solution to balance time demands and meal preparation </w:t>
      </w:r>
      <w:hyperlink r:id="rId71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Virudachalam</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 xml:space="preserve">. Indeed, previous studies have demonstrated that meal planning is associated with increased food variety, better dietary quality and reduced risk of obesity </w:t>
      </w:r>
      <w:hyperlink r:id="rId715">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Virudachalam</w:t>
        </w:r>
        <w:proofErr w:type="spellEnd"/>
        <w:r>
          <w:rPr>
            <w:rFonts w:ascii="Times New Roman" w:eastAsia="Times New Roman" w:hAnsi="Times New Roman" w:cs="Times New Roman"/>
            <w:color w:val="000000"/>
            <w:sz w:val="24"/>
            <w:szCs w:val="24"/>
          </w:rPr>
          <w:t xml:space="preserve"> et al., 2016; </w:t>
        </w:r>
        <w:proofErr w:type="spellStart"/>
        <w:r>
          <w:rPr>
            <w:rFonts w:ascii="Times New Roman" w:eastAsia="Times New Roman" w:hAnsi="Times New Roman" w:cs="Times New Roman"/>
            <w:color w:val="000000"/>
            <w:sz w:val="24"/>
            <w:szCs w:val="24"/>
          </w:rPr>
          <w:t>Aubé</w:t>
        </w:r>
        <w:proofErr w:type="spellEnd"/>
        <w:r>
          <w:rPr>
            <w:rFonts w:ascii="Times New Roman" w:eastAsia="Times New Roman" w:hAnsi="Times New Roman" w:cs="Times New Roman"/>
            <w:color w:val="000000"/>
            <w:sz w:val="24"/>
            <w:szCs w:val="24"/>
          </w:rPr>
          <w:t xml:space="preserve"> and Marquis 2011; </w:t>
        </w:r>
        <w:proofErr w:type="spellStart"/>
        <w:r>
          <w:rPr>
            <w:rFonts w:ascii="Times New Roman" w:eastAsia="Times New Roman" w:hAnsi="Times New Roman" w:cs="Times New Roman"/>
            <w:color w:val="000000"/>
            <w:sz w:val="24"/>
            <w:szCs w:val="24"/>
          </w:rPr>
          <w:t>Ducrot</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For example, an observational study of 1136 Australian women showed that women who planned meals consumed more fruit and vegetables than women who decided what to eat for dinner on the same evening (Crawford et al., 2007). As such, it will be beneficial for future research to explore strategies to address time constraints and support meal planning and preparation (e.g. planning ahead the foods that will be consumed for the next few days; </w:t>
      </w:r>
      <w:hyperlink r:id="rId716">
        <w:proofErr w:type="spellStart"/>
        <w:r>
          <w:rPr>
            <w:rFonts w:ascii="Times New Roman" w:eastAsia="Times New Roman" w:hAnsi="Times New Roman" w:cs="Times New Roman"/>
            <w:color w:val="000000"/>
            <w:sz w:val="24"/>
            <w:szCs w:val="24"/>
          </w:rPr>
          <w:t>Ducrot</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Participants in this study suggested that there </w:t>
      </w:r>
      <w:r>
        <w:rPr>
          <w:rFonts w:ascii="Times New Roman" w:eastAsia="Times New Roman" w:hAnsi="Times New Roman" w:cs="Times New Roman"/>
          <w:sz w:val="24"/>
          <w:szCs w:val="24"/>
        </w:rPr>
        <w:lastRenderedPageBreak/>
        <w:t xml:space="preserve">should be practical strategies to offset time scarcity, such as pre-prepared meals in the freezer, use of a slow cooker or air fryer, and batch cooking. This aligns with previous research that has indicated air frying shows a higher nutritional quality than conventional technology to support healthy eating patterns and provide environmental advantages </w:t>
      </w:r>
      <w:hyperlink r:id="rId717">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Zaghi</w:t>
        </w:r>
        <w:proofErr w:type="spellEnd"/>
        <w:r>
          <w:rPr>
            <w:rFonts w:ascii="Times New Roman" w:eastAsia="Times New Roman" w:hAnsi="Times New Roman" w:cs="Times New Roman"/>
            <w:color w:val="000000"/>
            <w:sz w:val="24"/>
            <w:szCs w:val="24"/>
          </w:rPr>
          <w:t xml:space="preserve"> et al., 2019; Liu et al., 2023)</w:t>
        </w:r>
      </w:hyperlink>
      <w:r>
        <w:rPr>
          <w:rFonts w:ascii="Times New Roman" w:eastAsia="Times New Roman" w:hAnsi="Times New Roman" w:cs="Times New Roman"/>
          <w:sz w:val="24"/>
          <w:szCs w:val="24"/>
        </w:rPr>
        <w:t xml:space="preserve">. These recommendations also suggest practical tips about how to facilitate earlier eating patterns (e.g., information about preparing meals in advance, providing meal recipes and meal planning).    </w:t>
      </w:r>
    </w:p>
    <w:p w14:paraId="00000BE0" w14:textId="77777777" w:rsidR="00CB4215" w:rsidRDefault="00CB4215">
      <w:pPr>
        <w:spacing w:line="480" w:lineRule="auto"/>
        <w:rPr>
          <w:rFonts w:ascii="Times New Roman" w:eastAsia="Times New Roman" w:hAnsi="Times New Roman" w:cs="Times New Roman"/>
          <w:sz w:val="24"/>
          <w:szCs w:val="24"/>
        </w:rPr>
      </w:pPr>
    </w:p>
    <w:p w14:paraId="00000BE2" w14:textId="77992156" w:rsidR="00CB4215" w:rsidRPr="005319A8" w:rsidRDefault="000530B4" w:rsidP="005319A8">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6.7.3 Strengths and limitations</w:t>
      </w:r>
    </w:p>
    <w:p w14:paraId="00000BE3" w14:textId="140EB537" w:rsidR="00CB4215" w:rsidRDefault="007E2DD6" w:rsidP="002C2D40">
      <w:pPr>
        <w:spacing w:line="480"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57"/>
          <w:id w:val="2135355330"/>
        </w:sdtPr>
        <w:sdtEndPr/>
        <w:sdtContent>
          <w:r w:rsidR="000530B4" w:rsidRPr="002C2D40">
            <w:rPr>
              <w:rFonts w:ascii="Times New Roman" w:eastAsia="Gungsuh" w:hAnsi="Times New Roman" w:cs="Times New Roman"/>
              <w:sz w:val="24"/>
              <w:szCs w:val="24"/>
            </w:rPr>
            <w:t xml:space="preserve">The present study has several strengths. Firstly, participants comprised of a community-based sample with overweight and obesity living in Sheffield, Yorkshire. Yorkshire and Humber have some of the UK’s highest levels of overweight or obesity (NHS Digital, 2019). Therefore, this study represents a community-based sample living in a regional area with high rates of overweight and obesity. Secondly, this study is the first to use a theoretical model (COM-B model) to explore the barriers and enablers associated with changing to earlier eating patterns among UK adults living with overweight and obesity. Use of theory is important as interventions which specifically target theory-informed barriers are more likely to change behaviour than less defined or targeted interventions (Michie et al., 2008). Thirdly, study is also one of few studies that have used qualitative methods that enable participants to describe their experiences in detail, providing rich insights into this topic. This study used semi-structured interviews to extend a previous qualitative study using focus groups in pregnant women to adults living with overweight or obesity (Kroeger et al., 2019). However, despite its strengths, this study has limitations that need to be considered. Firstly, most of the sample were well-educated, White or Asian/Asian British, and reported relatively high household incomes (36% ≥ £40,000). As such, the findings may not generalise to other </w:t>
          </w:r>
          <w:r w:rsidR="000530B4" w:rsidRPr="002C2D40">
            <w:rPr>
              <w:rFonts w:ascii="Times New Roman" w:eastAsia="Gungsuh" w:hAnsi="Times New Roman" w:cs="Times New Roman"/>
              <w:sz w:val="24"/>
              <w:szCs w:val="24"/>
            </w:rPr>
            <w:lastRenderedPageBreak/>
            <w:t xml:space="preserve">individuals from other ethnicities and lower socioeconomic backgrounds. This is particularly important given the social gradient in obesity with highest obesity rates amongst those from the most deprived areas </w:t>
          </w:r>
        </w:sdtContent>
      </w:sdt>
      <w:hyperlink r:id="rId718">
        <w:r w:rsidR="000530B4" w:rsidRPr="002C2D40">
          <w:rPr>
            <w:rFonts w:ascii="Times New Roman" w:eastAsia="Times New Roman" w:hAnsi="Times New Roman" w:cs="Times New Roman"/>
            <w:color w:val="000000"/>
            <w:sz w:val="24"/>
            <w:szCs w:val="24"/>
          </w:rPr>
          <w:t xml:space="preserve">(Brehm and </w:t>
        </w:r>
        <w:proofErr w:type="spellStart"/>
        <w:r w:rsidR="000530B4" w:rsidRPr="002C2D40">
          <w:rPr>
            <w:rFonts w:ascii="Times New Roman" w:eastAsia="Times New Roman" w:hAnsi="Times New Roman" w:cs="Times New Roman"/>
            <w:color w:val="000000"/>
            <w:sz w:val="24"/>
            <w:szCs w:val="24"/>
          </w:rPr>
          <w:t>D’Alessio</w:t>
        </w:r>
        <w:proofErr w:type="spellEnd"/>
        <w:r w:rsidR="00AC014F">
          <w:rPr>
            <w:rFonts w:ascii="Times New Roman" w:eastAsia="Times New Roman" w:hAnsi="Times New Roman" w:cs="Times New Roman"/>
            <w:color w:val="000000"/>
            <w:sz w:val="24"/>
            <w:szCs w:val="24"/>
          </w:rPr>
          <w:t>,</w:t>
        </w:r>
        <w:r w:rsidR="000530B4" w:rsidRPr="002C2D40">
          <w:rPr>
            <w:rFonts w:ascii="Times New Roman" w:eastAsia="Times New Roman" w:hAnsi="Times New Roman" w:cs="Times New Roman"/>
            <w:color w:val="000000"/>
            <w:sz w:val="24"/>
            <w:szCs w:val="24"/>
          </w:rPr>
          <w:t xml:space="preserve"> 2000)</w:t>
        </w:r>
      </w:hyperlink>
      <w:r w:rsidR="000530B4" w:rsidRPr="002C2D40">
        <w:rPr>
          <w:rFonts w:ascii="Times New Roman" w:eastAsia="Times New Roman" w:hAnsi="Times New Roman" w:cs="Times New Roman"/>
          <w:sz w:val="24"/>
          <w:szCs w:val="24"/>
        </w:rPr>
        <w:t>. Secondly, the sample was self-selecting, which could result in the recruitment of participants who are particularly interested in meal timing and potentially more willing to change late evening eating. Thirdly, this study only assessed self-reported meal timings. Therefore, it is not possible to explore meal composition and dietary quality. Future studies could incorporate meal timing and dietary intake to provide a comprehensive understanding of the evening eating patterns in people living with overweight and obesity. Finally, chronotype was</w:t>
      </w:r>
      <w:r w:rsidR="000530B4">
        <w:rPr>
          <w:rFonts w:ascii="Times New Roman" w:eastAsia="Times New Roman" w:hAnsi="Times New Roman" w:cs="Times New Roman"/>
          <w:sz w:val="24"/>
          <w:szCs w:val="24"/>
        </w:rPr>
        <w:t xml:space="preserve"> not assessed in this study. It has been shown that later chronotypes consume twice as many calories after 8 PM and have lower levels of physical activity than early chronotypes </w:t>
      </w:r>
      <w:hyperlink r:id="rId719">
        <w:r w:rsidR="000530B4">
          <w:rPr>
            <w:rFonts w:ascii="Times New Roman" w:eastAsia="Times New Roman" w:hAnsi="Times New Roman" w:cs="Times New Roman"/>
            <w:color w:val="000000"/>
            <w:sz w:val="24"/>
            <w:szCs w:val="24"/>
          </w:rPr>
          <w:t>(Lucassen et al., 2013</w:t>
        </w:r>
      </w:hyperlink>
      <w:r w:rsidR="000530B4">
        <w:rPr>
          <w:rFonts w:ascii="Times New Roman" w:eastAsia="Times New Roman" w:hAnsi="Times New Roman" w:cs="Times New Roman"/>
          <w:sz w:val="24"/>
          <w:szCs w:val="24"/>
        </w:rPr>
        <w:t xml:space="preserve">; </w:t>
      </w:r>
      <w:proofErr w:type="spellStart"/>
      <w:r w:rsidR="000530B4">
        <w:rPr>
          <w:rFonts w:ascii="Times New Roman" w:eastAsia="Times New Roman" w:hAnsi="Times New Roman" w:cs="Times New Roman"/>
          <w:sz w:val="24"/>
          <w:szCs w:val="24"/>
        </w:rPr>
        <w:t>Sempere</w:t>
      </w:r>
      <w:proofErr w:type="spellEnd"/>
      <w:r w:rsidR="000530B4">
        <w:rPr>
          <w:rFonts w:ascii="Times New Roman" w:eastAsia="Times New Roman" w:hAnsi="Times New Roman" w:cs="Times New Roman"/>
          <w:sz w:val="24"/>
          <w:szCs w:val="24"/>
        </w:rPr>
        <w:t xml:space="preserve">-Rubio et al., 2022). Future research could incorporate chronotype assessments to provide a more comprehensive analysis of the factors, including behavioural lifestyle factors that influence late evening eating.   </w:t>
      </w:r>
    </w:p>
    <w:p w14:paraId="00000BE4" w14:textId="77777777" w:rsidR="00CB4215" w:rsidRDefault="00CB4215">
      <w:pPr>
        <w:spacing w:line="480" w:lineRule="auto"/>
        <w:rPr>
          <w:rFonts w:ascii="Times New Roman" w:eastAsia="Times New Roman" w:hAnsi="Times New Roman" w:cs="Times New Roman"/>
          <w:sz w:val="24"/>
          <w:szCs w:val="24"/>
        </w:rPr>
      </w:pPr>
    </w:p>
    <w:p w14:paraId="00000BE5" w14:textId="77777777" w:rsidR="00CB4215" w:rsidRDefault="000530B4">
      <w:pPr>
        <w:pStyle w:val="Heading3"/>
        <w:spacing w:line="480" w:lineRule="auto"/>
        <w:rPr>
          <w:rFonts w:ascii="Times New Roman" w:eastAsia="Times New Roman" w:hAnsi="Times New Roman" w:cs="Times New Roman"/>
          <w:b/>
          <w:color w:val="000000"/>
        </w:rPr>
      </w:pPr>
      <w:bookmarkStart w:id="120" w:name="_Toc172984825"/>
      <w:r>
        <w:rPr>
          <w:rFonts w:ascii="Times New Roman" w:eastAsia="Times New Roman" w:hAnsi="Times New Roman" w:cs="Times New Roman"/>
          <w:b/>
          <w:color w:val="000000"/>
        </w:rPr>
        <w:t>6.8 Conclusion</w:t>
      </w:r>
      <w:bookmarkEnd w:id="120"/>
    </w:p>
    <w:p w14:paraId="00000BE6" w14:textId="77777777" w:rsidR="00CB4215" w:rsidRDefault="000530B4">
      <w:pPr>
        <w:spacing w:line="480" w:lineRule="auto"/>
        <w:rPr>
          <w:rFonts w:ascii="Times New Roman" w:eastAsia="Times New Roman" w:hAnsi="Times New Roman" w:cs="Times New Roman"/>
          <w:sz w:val="24"/>
          <w:szCs w:val="24"/>
        </w:rPr>
        <w:sectPr w:rsidR="00CB4215">
          <w:pgSz w:w="11909" w:h="16834"/>
          <w:pgMar w:top="1440" w:right="1440" w:bottom="1440" w:left="1440" w:header="720" w:footer="720" w:gutter="0"/>
          <w:cols w:space="720"/>
        </w:sectPr>
      </w:pPr>
      <w:r>
        <w:rPr>
          <w:rFonts w:ascii="Times New Roman" w:eastAsia="Times New Roman" w:hAnsi="Times New Roman" w:cs="Times New Roman"/>
          <w:sz w:val="24"/>
          <w:szCs w:val="24"/>
        </w:rPr>
        <w:t xml:space="preserve">In conclusion, the current research used semi-structured interviews to identify main factors that influence late evening eating in people living with obesity. The study also identified barriers and enablers to changing to earlier evening consumption by integrating the COM-B model. Late evening eating emerged as a complex behaviour modulated by both intrinsic and extrinsic determinants. While participants noted some barriers to changing to earlier eating patterns, practical strategies are provided to address such barriers, such as increasing the awareness of the health benefits of early evening eating and addressing time constraints around meal planning and preparation. The next step will be to apply these findings to inform </w:t>
      </w:r>
      <w:r>
        <w:rPr>
          <w:rFonts w:ascii="Times New Roman" w:eastAsia="Times New Roman" w:hAnsi="Times New Roman" w:cs="Times New Roman"/>
          <w:sz w:val="24"/>
          <w:szCs w:val="24"/>
        </w:rPr>
        <w:lastRenderedPageBreak/>
        <w:t xml:space="preserve">interventions to encourage earlier eating times in people at risk of overconsumption and obesity.   </w:t>
      </w:r>
    </w:p>
    <w:p w14:paraId="00000BE7" w14:textId="77777777" w:rsidR="00CB4215" w:rsidRDefault="000530B4">
      <w:pPr>
        <w:pStyle w:val="Heading1"/>
        <w:spacing w:line="480" w:lineRule="auto"/>
        <w:rPr>
          <w:rFonts w:ascii="Times New Roman" w:eastAsia="Times New Roman" w:hAnsi="Times New Roman" w:cs="Times New Roman"/>
        </w:rPr>
      </w:pPr>
      <w:bookmarkStart w:id="121" w:name="_Toc172984826"/>
      <w:r>
        <w:rPr>
          <w:rFonts w:ascii="Times New Roman" w:eastAsia="Times New Roman" w:hAnsi="Times New Roman" w:cs="Times New Roman"/>
          <w:b/>
        </w:rPr>
        <w:lastRenderedPageBreak/>
        <w:t>Chapter</w:t>
      </w:r>
      <w:r>
        <w:rPr>
          <w:rFonts w:ascii="Times New Roman" w:eastAsia="Times New Roman" w:hAnsi="Times New Roman" w:cs="Times New Roman"/>
        </w:rPr>
        <w:t xml:space="preserve"> 7</w:t>
      </w:r>
      <w:bookmarkEnd w:id="121"/>
    </w:p>
    <w:p w14:paraId="00000BE8" w14:textId="77777777" w:rsidR="00CB4215" w:rsidRDefault="000530B4">
      <w:pPr>
        <w:pStyle w:val="Heading2"/>
        <w:spacing w:line="480" w:lineRule="auto"/>
        <w:rPr>
          <w:rFonts w:ascii="Times New Roman" w:eastAsia="Times New Roman" w:hAnsi="Times New Roman" w:cs="Times New Roman"/>
          <w:b/>
        </w:rPr>
      </w:pPr>
      <w:bookmarkStart w:id="122" w:name="_Toc172984827"/>
      <w:r>
        <w:rPr>
          <w:rFonts w:ascii="Times New Roman" w:eastAsia="Times New Roman" w:hAnsi="Times New Roman" w:cs="Times New Roman"/>
          <w:b/>
        </w:rPr>
        <w:t>General discussion</w:t>
      </w:r>
      <w:bookmarkEnd w:id="122"/>
    </w:p>
    <w:p w14:paraId="00000BE9"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investigated the role of meal timing on BMI, eating behaviour traits and health behaviours. The current chapter aims to synthesise the research findings in the context of the current literature, discussing the strengths and limitations of the research conducted (for the key findings see Table 7.1). The implications of this work are then considered along with potential directions for future studies. Firstly, a brief overview of the aims of the thesis is provided. Secondly, the primary findings are synthesised and discussed in the light of the wider literature. Thirdly, the overall strengths and limitations of the thesis are discussed. Finally, suggestions for further research are provided.</w:t>
      </w:r>
    </w:p>
    <w:p w14:paraId="00000BEA" w14:textId="77777777" w:rsidR="00CB4215" w:rsidRDefault="00CB4215">
      <w:pPr>
        <w:spacing w:line="480" w:lineRule="auto"/>
        <w:rPr>
          <w:rFonts w:ascii="Times New Roman" w:eastAsia="Times New Roman" w:hAnsi="Times New Roman" w:cs="Times New Roman"/>
          <w:sz w:val="24"/>
          <w:szCs w:val="24"/>
        </w:rPr>
      </w:pPr>
    </w:p>
    <w:p w14:paraId="00000BEB" w14:textId="77777777" w:rsidR="00CB4215" w:rsidRDefault="000530B4">
      <w:pPr>
        <w:pStyle w:val="Heading3"/>
        <w:spacing w:line="480" w:lineRule="auto"/>
        <w:rPr>
          <w:rFonts w:ascii="Times New Roman" w:eastAsia="Times New Roman" w:hAnsi="Times New Roman" w:cs="Times New Roman"/>
          <w:b/>
          <w:color w:val="000000"/>
        </w:rPr>
      </w:pPr>
      <w:bookmarkStart w:id="123" w:name="_Toc172984828"/>
      <w:r>
        <w:rPr>
          <w:rFonts w:ascii="Times New Roman" w:eastAsia="Times New Roman" w:hAnsi="Times New Roman" w:cs="Times New Roman"/>
          <w:b/>
          <w:color w:val="000000"/>
        </w:rPr>
        <w:t>7.1 Thesis aims</w:t>
      </w:r>
      <w:bookmarkEnd w:id="123"/>
    </w:p>
    <w:p w14:paraId="73104A64" w14:textId="77777777" w:rsidR="00F074C9"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thesis aimed to achieve four key aims through the studies reported in this thesis. First to explore the associations between meal timing, BMI, eating behaviour traits and health behaviours. Secondly, this thesis aimed to compare the eating behaviour traits and health behaviours between early eaters and late eaters. Finally, it aimed to explore the factors contributing to late evening eating, and barriers and enablers to changing to earlier eating patterns. To achieve these aims, two quantitative studies and one qualitative study were conducted. The overall aim emerged from the literature exploring the role of meal timing in body weight (e.g. </w:t>
      </w:r>
      <w:hyperlink r:id="rId720">
        <w:proofErr w:type="spellStart"/>
        <w:r>
          <w:rPr>
            <w:rFonts w:ascii="Times New Roman" w:eastAsia="Times New Roman" w:hAnsi="Times New Roman" w:cs="Times New Roman"/>
            <w:color w:val="000000"/>
            <w:sz w:val="24"/>
            <w:szCs w:val="24"/>
          </w:rPr>
          <w:t>Madjd</w:t>
        </w:r>
        <w:proofErr w:type="spellEnd"/>
        <w:r>
          <w:rPr>
            <w:rFonts w:ascii="Times New Roman" w:eastAsia="Times New Roman" w:hAnsi="Times New Roman" w:cs="Times New Roman"/>
            <w:color w:val="000000"/>
            <w:sz w:val="24"/>
            <w:szCs w:val="24"/>
          </w:rPr>
          <w:t xml:space="preserve"> et al., 2021; Okada et al., 2019)</w:t>
        </w:r>
      </w:hyperlink>
      <w:r>
        <w:rPr>
          <w:rFonts w:ascii="Times New Roman" w:eastAsia="Times New Roman" w:hAnsi="Times New Roman" w:cs="Times New Roman"/>
          <w:sz w:val="24"/>
          <w:szCs w:val="24"/>
        </w:rPr>
        <w:t xml:space="preserve"> and providing a new dimension in nutrition science. While the development of obesity is influenced by many factors, it is important to consider the meal timing as well as common factors such as calorie intake and </w:t>
      </w:r>
      <w:r>
        <w:rPr>
          <w:rFonts w:ascii="Times New Roman" w:eastAsia="Times New Roman" w:hAnsi="Times New Roman" w:cs="Times New Roman"/>
          <w:sz w:val="24"/>
          <w:szCs w:val="24"/>
        </w:rPr>
        <w:lastRenderedPageBreak/>
        <w:t xml:space="preserve">food content </w:t>
      </w:r>
      <w:hyperlink r:id="rId721">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Beccuti</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Furthermore, multiple studies have found that late eating is related to a variety of health issues, including obesity, impaired glucose tolerance, insulin resistance, elevated cholesterol levels, and an increased risk of cardiovascular diseases, type 2 diabetes, and metabolic syndrome </w:t>
      </w:r>
      <w:hyperlink r:id="rId72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Turek</w:t>
        </w:r>
        <w:proofErr w:type="spellEnd"/>
        <w:r>
          <w:rPr>
            <w:rFonts w:ascii="Times New Roman" w:eastAsia="Times New Roman" w:hAnsi="Times New Roman" w:cs="Times New Roman"/>
            <w:color w:val="000000"/>
            <w:sz w:val="24"/>
            <w:szCs w:val="24"/>
          </w:rPr>
          <w:t xml:space="preserve"> et al., 2005; Antunes et al., 2010; Barclay et al., 2013; Di Lorenzo et al.,2003; Morris et al., 2016; Shi et al., 2013; Vetter et al., 2016; </w:t>
        </w:r>
        <w:proofErr w:type="spellStart"/>
        <w:r>
          <w:rPr>
            <w:rFonts w:ascii="Times New Roman" w:eastAsia="Times New Roman" w:hAnsi="Times New Roman" w:cs="Times New Roman"/>
            <w:color w:val="000000"/>
            <w:sz w:val="24"/>
            <w:szCs w:val="24"/>
          </w:rPr>
          <w:t>Zarrinpar</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 xml:space="preserve">. Specifically, a systematic review and meta-analysis of 28 studies found that night shift workers had an increased risk of obesity than daytime workers, although there were no significant differences in total energy consumption between shift and daytime workers </w:t>
      </w:r>
      <w:hyperlink r:id="rId723">
        <w:r>
          <w:rPr>
            <w:rFonts w:ascii="Times New Roman" w:eastAsia="Times New Roman" w:hAnsi="Times New Roman" w:cs="Times New Roman"/>
            <w:color w:val="000000"/>
            <w:sz w:val="24"/>
            <w:szCs w:val="24"/>
          </w:rPr>
          <w:t>(Sun et al., 2018)</w:t>
        </w:r>
      </w:hyperlink>
      <w:r>
        <w:rPr>
          <w:rFonts w:ascii="Times New Roman" w:eastAsia="Times New Roman" w:hAnsi="Times New Roman" w:cs="Times New Roman"/>
          <w:sz w:val="24"/>
          <w:szCs w:val="24"/>
        </w:rPr>
        <w:t xml:space="preserve">. Therefore, it was hypothesised that other factors, such as the timing of meals, might account for the increased risk of obesity and cardiometabolic disease among those who work night shifts </w:t>
      </w:r>
      <w:hyperlink r:id="rId724">
        <w:r>
          <w:rPr>
            <w:rFonts w:ascii="Times New Roman" w:eastAsia="Times New Roman" w:hAnsi="Times New Roman" w:cs="Times New Roman"/>
            <w:color w:val="000000"/>
            <w:sz w:val="24"/>
            <w:szCs w:val="24"/>
          </w:rPr>
          <w:t>(Bonham et al., 2016)</w:t>
        </w:r>
      </w:hyperlink>
      <w:r>
        <w:rPr>
          <w:rFonts w:ascii="Times New Roman" w:eastAsia="Times New Roman" w:hAnsi="Times New Roman" w:cs="Times New Roman"/>
          <w:sz w:val="24"/>
          <w:szCs w:val="24"/>
        </w:rPr>
        <w:t xml:space="preserve">. </w:t>
      </w:r>
    </w:p>
    <w:p w14:paraId="2F428330" w14:textId="77777777" w:rsidR="00F074C9" w:rsidRDefault="00F074C9">
      <w:pPr>
        <w:spacing w:line="480" w:lineRule="auto"/>
        <w:rPr>
          <w:rFonts w:ascii="Times New Roman" w:eastAsia="Times New Roman" w:hAnsi="Times New Roman" w:cs="Times New Roman"/>
          <w:sz w:val="24"/>
          <w:szCs w:val="24"/>
        </w:rPr>
      </w:pPr>
    </w:p>
    <w:p w14:paraId="5BC6886C" w14:textId="77777777" w:rsidR="00F074C9"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Observational and experimental studies also</w:t>
      </w:r>
      <w:r>
        <w:rPr>
          <w:rFonts w:ascii="Times New Roman" w:eastAsia="Times New Roman" w:hAnsi="Times New Roman" w:cs="Times New Roman"/>
          <w:sz w:val="24"/>
          <w:szCs w:val="24"/>
        </w:rPr>
        <w:t xml:space="preserve"> indicated that late evening eating is significantly related to higher total energy intake (e.g. </w:t>
      </w:r>
      <w:hyperlink r:id="rId725">
        <w:r>
          <w:rPr>
            <w:rFonts w:ascii="Times New Roman" w:eastAsia="Times New Roman" w:hAnsi="Times New Roman" w:cs="Times New Roman"/>
            <w:color w:val="000000"/>
            <w:sz w:val="24"/>
            <w:szCs w:val="24"/>
          </w:rPr>
          <w:t>Jacob et al., 2023)</w:t>
        </w:r>
      </w:hyperlink>
      <w:r>
        <w:rPr>
          <w:rFonts w:ascii="Times New Roman" w:eastAsia="Times New Roman" w:hAnsi="Times New Roman" w:cs="Times New Roman"/>
          <w:sz w:val="24"/>
          <w:szCs w:val="24"/>
        </w:rPr>
        <w:t xml:space="preserve">, higher BMI </w:t>
      </w:r>
      <w:hyperlink r:id="rId726">
        <w:r>
          <w:rPr>
            <w:rFonts w:ascii="Times New Roman" w:eastAsia="Times New Roman" w:hAnsi="Times New Roman" w:cs="Times New Roman"/>
            <w:color w:val="000000"/>
            <w:sz w:val="24"/>
            <w:szCs w:val="24"/>
          </w:rPr>
          <w:t>(e.g. Okada et al., 2019)</w:t>
        </w:r>
      </w:hyperlink>
      <w:r>
        <w:rPr>
          <w:rFonts w:ascii="Times New Roman" w:eastAsia="Times New Roman" w:hAnsi="Times New Roman" w:cs="Times New Roman"/>
          <w:sz w:val="24"/>
          <w:szCs w:val="24"/>
        </w:rPr>
        <w:t xml:space="preserve"> and reduced weight loss </w:t>
      </w:r>
      <w:hyperlink r:id="rId727">
        <w:r>
          <w:rPr>
            <w:rFonts w:ascii="Times New Roman" w:eastAsia="Times New Roman" w:hAnsi="Times New Roman" w:cs="Times New Roman"/>
            <w:color w:val="000000"/>
            <w:sz w:val="24"/>
            <w:szCs w:val="24"/>
          </w:rPr>
          <w:t xml:space="preserve">(e.g. </w:t>
        </w:r>
        <w:proofErr w:type="spellStart"/>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et al., 2013)</w:t>
        </w:r>
      </w:hyperlink>
      <w:r>
        <w:rPr>
          <w:rFonts w:ascii="Times New Roman" w:eastAsia="Times New Roman" w:hAnsi="Times New Roman" w:cs="Times New Roman"/>
          <w:sz w:val="24"/>
          <w:szCs w:val="24"/>
        </w:rPr>
        <w:t xml:space="preserve">, although there are some inconsistencies </w:t>
      </w:r>
      <w:hyperlink r:id="rId72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Inconsistencies in observational studies may be due to differences in measurement tools of meal timing and various definitions of late eating. Specifically, most studies assessed meal timing via questionnaires </w:t>
      </w:r>
      <w:hyperlink r:id="rId72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Kahleova</w:t>
        </w:r>
        <w:proofErr w:type="spellEnd"/>
        <w:r>
          <w:rPr>
            <w:rFonts w:ascii="Times New Roman" w:eastAsia="Times New Roman" w:hAnsi="Times New Roman" w:cs="Times New Roman"/>
            <w:color w:val="000000"/>
            <w:sz w:val="24"/>
            <w:szCs w:val="24"/>
          </w:rPr>
          <w:t xml:space="preserve"> et al., 2017; Yoshida et al., 2018; Bo et al., 2014)</w:t>
        </w:r>
      </w:hyperlink>
      <w:r>
        <w:rPr>
          <w:rFonts w:ascii="Times New Roman" w:eastAsia="Times New Roman" w:hAnsi="Times New Roman" w:cs="Times New Roman"/>
          <w:sz w:val="24"/>
          <w:szCs w:val="24"/>
        </w:rPr>
        <w:t xml:space="preserve">, food diaries </w:t>
      </w:r>
      <w:hyperlink r:id="rId73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 Baron et al., 2011; </w:t>
        </w:r>
        <w:proofErr w:type="spellStart"/>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et al., 2013)</w:t>
        </w:r>
      </w:hyperlink>
      <w:r>
        <w:rPr>
          <w:rFonts w:ascii="Times New Roman" w:eastAsia="Times New Roman" w:hAnsi="Times New Roman" w:cs="Times New Roman"/>
          <w:sz w:val="24"/>
          <w:szCs w:val="24"/>
        </w:rPr>
        <w:t xml:space="preserve">, or picture-based smartphone applications </w:t>
      </w:r>
      <w:hyperlink r:id="rId731">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McHill</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The accuracy and reliability of these methods can be different, which may influence the consistency of the results. For example, the Meal Pattern Questionnaire asks participants to give a detailed description of their eating habits over a 24-hour period. However, it has not been validated against previously collected food timing data </w:t>
      </w:r>
      <w:hyperlink r:id="rId73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Bertéus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Forslund</w:t>
        </w:r>
        <w:proofErr w:type="spellEnd"/>
        <w:r>
          <w:rPr>
            <w:rFonts w:ascii="Times New Roman" w:eastAsia="Times New Roman" w:hAnsi="Times New Roman" w:cs="Times New Roman"/>
            <w:color w:val="000000"/>
            <w:sz w:val="24"/>
            <w:szCs w:val="24"/>
          </w:rPr>
          <w:t xml:space="preserve"> et al., 2002)</w:t>
        </w:r>
      </w:hyperlink>
      <w:r>
        <w:rPr>
          <w:rFonts w:ascii="Times New Roman" w:eastAsia="Times New Roman" w:hAnsi="Times New Roman" w:cs="Times New Roman"/>
          <w:sz w:val="24"/>
          <w:szCs w:val="24"/>
        </w:rPr>
        <w:t xml:space="preserve">. In addition, picture-based technologies are being used for dietary assessment </w:t>
      </w:r>
      <w:hyperlink r:id="rId733">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McHill</w:t>
        </w:r>
        <w:proofErr w:type="spellEnd"/>
        <w:r>
          <w:rPr>
            <w:rFonts w:ascii="Times New Roman" w:eastAsia="Times New Roman" w:hAnsi="Times New Roman" w:cs="Times New Roman"/>
            <w:color w:val="000000"/>
            <w:sz w:val="24"/>
            <w:szCs w:val="24"/>
          </w:rPr>
          <w:t xml:space="preserve"> et al. </w:t>
        </w:r>
        <w:r>
          <w:rPr>
            <w:rFonts w:ascii="Times New Roman" w:eastAsia="Times New Roman" w:hAnsi="Times New Roman" w:cs="Times New Roman"/>
            <w:color w:val="000000"/>
            <w:sz w:val="24"/>
            <w:szCs w:val="24"/>
          </w:rPr>
          <w:lastRenderedPageBreak/>
          <w:t>2017; Gupta et al., 2017)</w:t>
        </w:r>
      </w:hyperlink>
      <w:r>
        <w:rPr>
          <w:rFonts w:ascii="Times New Roman" w:eastAsia="Times New Roman" w:hAnsi="Times New Roman" w:cs="Times New Roman"/>
          <w:sz w:val="24"/>
          <w:szCs w:val="24"/>
        </w:rPr>
        <w:t xml:space="preserve">. Although the use of photographic food records tends to increase the accuracy of self-reported energy consumption, underreporting has still been observed in studies using photographic food records </w:t>
      </w:r>
      <w:hyperlink r:id="rId73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Pendergast</w:t>
        </w:r>
        <w:proofErr w:type="spellEnd"/>
        <w:r>
          <w:rPr>
            <w:rFonts w:ascii="Times New Roman" w:eastAsia="Times New Roman" w:hAnsi="Times New Roman" w:cs="Times New Roman"/>
            <w:color w:val="000000"/>
            <w:sz w:val="24"/>
            <w:szCs w:val="24"/>
          </w:rPr>
          <w:t xml:space="preserve"> et al., 2017; Rollo et al., 2015)</w:t>
        </w:r>
      </w:hyperlink>
      <w:r>
        <w:rPr>
          <w:rFonts w:ascii="Times New Roman" w:eastAsia="Times New Roman" w:hAnsi="Times New Roman" w:cs="Times New Roman"/>
          <w:sz w:val="24"/>
          <w:szCs w:val="24"/>
        </w:rPr>
        <w:t xml:space="preserve">. Therefore, in order to advance the field of dietary pattern research, it is necessary to thoroughly investigate, validate and improve current dietary pattern data collection methods and to further develop innovative methods </w:t>
      </w:r>
      <w:hyperlink r:id="rId735">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2019)</w:t>
        </w:r>
      </w:hyperlink>
      <w:r>
        <w:rPr>
          <w:rFonts w:ascii="Times New Roman" w:eastAsia="Times New Roman" w:hAnsi="Times New Roman" w:cs="Times New Roman"/>
          <w:sz w:val="24"/>
          <w:szCs w:val="24"/>
        </w:rPr>
        <w:t xml:space="preserve">. </w:t>
      </w:r>
    </w:p>
    <w:p w14:paraId="615F67DA" w14:textId="77777777" w:rsidR="00F074C9" w:rsidRDefault="00F074C9">
      <w:pPr>
        <w:spacing w:line="480" w:lineRule="auto"/>
        <w:rPr>
          <w:rFonts w:ascii="Times New Roman" w:eastAsia="Times New Roman" w:hAnsi="Times New Roman" w:cs="Times New Roman"/>
          <w:sz w:val="24"/>
          <w:szCs w:val="24"/>
        </w:rPr>
      </w:pPr>
    </w:p>
    <w:p w14:paraId="00000BEC" w14:textId="6A6C8CB8" w:rsidR="00CB4215"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 xml:space="preserve">In addition, </w:t>
      </w:r>
      <w:proofErr w:type="spellStart"/>
      <w:r w:rsidRPr="00D03B56">
        <w:rPr>
          <w:rFonts w:ascii="Times New Roman" w:eastAsia="Times New Roman" w:hAnsi="Times New Roman" w:cs="Times New Roman"/>
          <w:sz w:val="24"/>
          <w:szCs w:val="24"/>
        </w:rPr>
        <w:t>McHill</w:t>
      </w:r>
      <w:proofErr w:type="spellEnd"/>
      <w:r w:rsidRPr="00D03B56">
        <w:rPr>
          <w:rFonts w:ascii="Times New Roman" w:eastAsia="Times New Roman" w:hAnsi="Times New Roman" w:cs="Times New Roman"/>
          <w:sz w:val="24"/>
          <w:szCs w:val="24"/>
        </w:rPr>
        <w:t xml:space="preserve"> and colleagues (2017) conducted a study of 110 adults and found a significant correlation between increased BMI and later food consumption during the “biological night”, as assessed</w:t>
      </w:r>
      <w:r>
        <w:rPr>
          <w:rFonts w:ascii="Times New Roman" w:eastAsia="Times New Roman" w:hAnsi="Times New Roman" w:cs="Times New Roman"/>
          <w:sz w:val="24"/>
          <w:szCs w:val="24"/>
        </w:rPr>
        <w:t xml:space="preserve"> by Dim-light melatonin onset (DLMO), rather than by clock hours, emphasising the need to consider the timing of meals in relation to the body's internal clock. This study may provide an explanation for the lack of associations between late eating and increased BMI in some studies, as the concept of </w:t>
      </w:r>
      <w:r w:rsidR="00487D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'night'</w:t>
      </w:r>
      <w:r w:rsidR="00487D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does not always correspond to an individual's biological night, which may vary according to individuals’ chronotype </w:t>
      </w:r>
      <w:hyperlink r:id="rId736">
        <w:r>
          <w:rPr>
            <w:rFonts w:ascii="Times New Roman" w:eastAsia="Times New Roman" w:hAnsi="Times New Roman" w:cs="Times New Roman"/>
            <w:color w:val="000000"/>
            <w:sz w:val="24"/>
            <w:szCs w:val="24"/>
          </w:rPr>
          <w:t>(Reid et al., 2014)</w:t>
        </w:r>
      </w:hyperlink>
      <w:r>
        <w:rPr>
          <w:rFonts w:ascii="Times New Roman" w:eastAsia="Times New Roman" w:hAnsi="Times New Roman" w:cs="Times New Roman"/>
          <w:sz w:val="24"/>
          <w:szCs w:val="24"/>
        </w:rPr>
        <w:t xml:space="preserve">. Metabolic mechanisms may explain the relationship between later meal timing and increased BMI. It has been found that postprandial metabolic processes, such as the rate of gastric emptying and postprandial energy expenditure, are deregulated in the evening compared with in the morning </w:t>
      </w:r>
      <w:hyperlink r:id="rId737">
        <w:r>
          <w:rPr>
            <w:rFonts w:ascii="Times New Roman" w:eastAsia="Times New Roman" w:hAnsi="Times New Roman" w:cs="Times New Roman"/>
            <w:color w:val="000000"/>
            <w:sz w:val="24"/>
            <w:szCs w:val="24"/>
          </w:rPr>
          <w:t>(Morris et al., 2015)</w:t>
        </w:r>
      </w:hyperlink>
      <w:r>
        <w:rPr>
          <w:rFonts w:ascii="Times New Roman" w:eastAsia="Times New Roman" w:hAnsi="Times New Roman" w:cs="Times New Roman"/>
          <w:sz w:val="24"/>
          <w:szCs w:val="24"/>
        </w:rPr>
        <w:t>. Therefore, while there are some inconsistencies in the food timing literature, eating late is identified as a risk factor for obesity in the long term.</w:t>
      </w:r>
    </w:p>
    <w:p w14:paraId="00000BED" w14:textId="77777777" w:rsidR="00CB4215" w:rsidRDefault="00CB4215">
      <w:pPr>
        <w:spacing w:line="480" w:lineRule="auto"/>
        <w:rPr>
          <w:rFonts w:ascii="Times New Roman" w:eastAsia="Times New Roman" w:hAnsi="Times New Roman" w:cs="Times New Roman"/>
          <w:sz w:val="24"/>
          <w:szCs w:val="24"/>
        </w:rPr>
      </w:pPr>
    </w:p>
    <w:p w14:paraId="7A4AE3CA" w14:textId="77777777" w:rsidR="00F074C9" w:rsidRPr="00D03B56"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there are some issues with the existing food timing literature that need to be addressed in this thesis. Firstly,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studies explored the associations between late eating, energy intake, BMI and weight loss. However, limited studies investigated the associations between late eating and eating behaviour traits and examined the characteristics </w:t>
      </w:r>
      <w:r>
        <w:rPr>
          <w:rFonts w:ascii="Times New Roman" w:eastAsia="Times New Roman" w:hAnsi="Times New Roman" w:cs="Times New Roman"/>
          <w:sz w:val="24"/>
          <w:szCs w:val="24"/>
        </w:rPr>
        <w:lastRenderedPageBreak/>
        <w:t xml:space="preserve">of late eaters. Only one study conducted by Jacob and colleagues (2023) found late eating was significantly associated with traits, such as disinhibition and susceptibility to hunger in participants with overweight or obesity. However, Jacob et al. (2023) used a 51-item Three-Factor Eating Questionnaire and the Binge Eating Scale (BES) to assess eating behaviour traits, including cognitive restraint, disinhibition, hunger sensitivity and binge eating severity. However, there are other </w:t>
      </w:r>
      <w:r w:rsidRPr="00D03B56">
        <w:rPr>
          <w:rFonts w:ascii="Times New Roman" w:eastAsia="Times New Roman" w:hAnsi="Times New Roman" w:cs="Times New Roman"/>
          <w:sz w:val="24"/>
          <w:szCs w:val="24"/>
        </w:rPr>
        <w:t xml:space="preserve">eating behaviour traits linked with BMI. Research has shown that people who scored higher on food responsiveness and emotional </w:t>
      </w:r>
      <w:r w:rsidR="00D31EB2" w:rsidRPr="00D03B56">
        <w:rPr>
          <w:rFonts w:ascii="Times New Roman" w:eastAsia="Times New Roman" w:hAnsi="Times New Roman" w:cs="Times New Roman"/>
          <w:sz w:val="24"/>
          <w:szCs w:val="24"/>
        </w:rPr>
        <w:t xml:space="preserve">eating </w:t>
      </w:r>
      <w:r w:rsidRPr="00D03B56">
        <w:rPr>
          <w:rFonts w:ascii="Times New Roman" w:eastAsia="Times New Roman" w:hAnsi="Times New Roman" w:cs="Times New Roman"/>
          <w:sz w:val="24"/>
          <w:szCs w:val="24"/>
        </w:rPr>
        <w:t xml:space="preserve">had higher BMIs. In contrast, increased levels of satiety responsiveness, emotional under-eating, and slowness in eating are significantly related to decreased BMI </w:t>
      </w:r>
      <w:hyperlink r:id="rId738">
        <w:r w:rsidRPr="00D03B56">
          <w:rPr>
            <w:rFonts w:ascii="Times New Roman" w:eastAsia="Times New Roman" w:hAnsi="Times New Roman" w:cs="Times New Roman"/>
            <w:color w:val="000000"/>
            <w:sz w:val="24"/>
            <w:szCs w:val="24"/>
          </w:rPr>
          <w:t>(</w:t>
        </w:r>
        <w:proofErr w:type="spellStart"/>
        <w:r w:rsidRPr="00D03B56">
          <w:rPr>
            <w:rFonts w:ascii="Times New Roman" w:eastAsia="Times New Roman" w:hAnsi="Times New Roman" w:cs="Times New Roman"/>
            <w:color w:val="000000"/>
            <w:sz w:val="24"/>
            <w:szCs w:val="24"/>
          </w:rPr>
          <w:t>Hunot</w:t>
        </w:r>
        <w:proofErr w:type="spellEnd"/>
        <w:r w:rsidRPr="00D03B56">
          <w:rPr>
            <w:rFonts w:ascii="Times New Roman" w:eastAsia="Times New Roman" w:hAnsi="Times New Roman" w:cs="Times New Roman"/>
            <w:color w:val="000000"/>
            <w:sz w:val="24"/>
            <w:szCs w:val="24"/>
          </w:rPr>
          <w:t xml:space="preserve"> et al., 2016)</w:t>
        </w:r>
      </w:hyperlink>
      <w:r w:rsidRPr="00D03B56">
        <w:rPr>
          <w:rFonts w:ascii="Times New Roman" w:eastAsia="Times New Roman" w:hAnsi="Times New Roman" w:cs="Times New Roman"/>
          <w:sz w:val="24"/>
          <w:szCs w:val="24"/>
        </w:rPr>
        <w:t xml:space="preserve">. Previous research has also shown the relationship between lower craving control scores and higher levels of binge eating, disinhibition and hunger sensitivity, as well as increased BMI </w:t>
      </w:r>
      <w:hyperlink r:id="rId739">
        <w:r w:rsidRPr="00D03B56">
          <w:rPr>
            <w:rFonts w:ascii="Times New Roman" w:eastAsia="Times New Roman" w:hAnsi="Times New Roman" w:cs="Times New Roman"/>
            <w:color w:val="000000"/>
            <w:sz w:val="24"/>
            <w:szCs w:val="24"/>
          </w:rPr>
          <w:t>(</w:t>
        </w:r>
        <w:proofErr w:type="spellStart"/>
        <w:r w:rsidRPr="00D03B56">
          <w:rPr>
            <w:rFonts w:ascii="Times New Roman" w:eastAsia="Times New Roman" w:hAnsi="Times New Roman" w:cs="Times New Roman"/>
            <w:color w:val="000000"/>
            <w:sz w:val="24"/>
            <w:szCs w:val="24"/>
          </w:rPr>
          <w:t>Abilés</w:t>
        </w:r>
        <w:proofErr w:type="spellEnd"/>
        <w:r w:rsidRPr="00D03B56">
          <w:rPr>
            <w:rFonts w:ascii="Times New Roman" w:eastAsia="Times New Roman" w:hAnsi="Times New Roman" w:cs="Times New Roman"/>
            <w:color w:val="000000"/>
            <w:sz w:val="24"/>
            <w:szCs w:val="24"/>
          </w:rPr>
          <w:t xml:space="preserve"> et al., 2010; Delahanty et al., 2002; Hill 2007)</w:t>
        </w:r>
      </w:hyperlink>
      <w:r w:rsidRPr="00D03B56">
        <w:rPr>
          <w:rFonts w:ascii="Times New Roman" w:eastAsia="Times New Roman" w:hAnsi="Times New Roman" w:cs="Times New Roman"/>
          <w:sz w:val="24"/>
          <w:szCs w:val="24"/>
        </w:rPr>
        <w:t xml:space="preserve">. Yet, there is no research to explore the associations between meal timing and these eating behaviour traits, such as craving control, and satiety responsiveness with late eating. Thus, examining the differences in eating behaviour traits related to increased overconsumption and higher BMIs between early and late eaters was worth investigating. </w:t>
      </w:r>
    </w:p>
    <w:p w14:paraId="101B0813" w14:textId="77777777" w:rsidR="00F074C9" w:rsidRPr="00D03B56" w:rsidRDefault="00F074C9">
      <w:pPr>
        <w:spacing w:line="480" w:lineRule="auto"/>
        <w:rPr>
          <w:rFonts w:ascii="Times New Roman" w:eastAsia="Times New Roman" w:hAnsi="Times New Roman" w:cs="Times New Roman"/>
          <w:sz w:val="24"/>
          <w:szCs w:val="24"/>
        </w:rPr>
      </w:pPr>
    </w:p>
    <w:p w14:paraId="00000BEE" w14:textId="34E935F3" w:rsidR="00CB4215"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Secondly, as previous studies</w:t>
      </w:r>
      <w:r>
        <w:rPr>
          <w:rFonts w:ascii="Times New Roman" w:eastAsia="Times New Roman" w:hAnsi="Times New Roman" w:cs="Times New Roman"/>
          <w:sz w:val="24"/>
          <w:szCs w:val="24"/>
        </w:rPr>
        <w:t xml:space="preserve"> recruited participants across all weight ranges, including those with overweight/obesity and those with healthy weight, it was unclear whether late eating influenced BMI in the same way among participants with obesity. It has been suggested that weight and obesity status are associated with meal timing and frequency </w:t>
      </w:r>
      <w:hyperlink r:id="rId74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2019)</w:t>
        </w:r>
      </w:hyperlink>
      <w:r>
        <w:rPr>
          <w:rFonts w:ascii="Times New Roman" w:eastAsia="Times New Roman" w:hAnsi="Times New Roman" w:cs="Times New Roman"/>
          <w:sz w:val="24"/>
          <w:szCs w:val="24"/>
        </w:rPr>
        <w:t xml:space="preserve">. For instance, a population-based cohort study showed that individuals with overweight had a higher tendency to skip breakfast </w:t>
      </w:r>
      <w:hyperlink r:id="rId741">
        <w:r>
          <w:rPr>
            <w:rFonts w:ascii="Times New Roman" w:eastAsia="Times New Roman" w:hAnsi="Times New Roman" w:cs="Times New Roman"/>
            <w:color w:val="000000"/>
            <w:sz w:val="24"/>
            <w:szCs w:val="24"/>
          </w:rPr>
          <w:t xml:space="preserve">(Kant and </w:t>
        </w:r>
        <w:proofErr w:type="spellStart"/>
        <w:r>
          <w:rPr>
            <w:rFonts w:ascii="Times New Roman" w:eastAsia="Times New Roman" w:hAnsi="Times New Roman" w:cs="Times New Roman"/>
            <w:color w:val="000000"/>
            <w:sz w:val="24"/>
            <w:szCs w:val="24"/>
          </w:rPr>
          <w:t>Graubard</w:t>
        </w:r>
        <w:proofErr w:type="spellEnd"/>
        <w:r w:rsidR="00AC014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2015)</w:t>
        </w:r>
      </w:hyperlink>
      <w:r>
        <w:rPr>
          <w:rFonts w:ascii="Times New Roman" w:eastAsia="Times New Roman" w:hAnsi="Times New Roman" w:cs="Times New Roman"/>
          <w:sz w:val="24"/>
          <w:szCs w:val="24"/>
        </w:rPr>
        <w:t xml:space="preserve"> and consume a greater amount of energy in the evening </w:t>
      </w:r>
      <w:hyperlink r:id="rId742">
        <w:r>
          <w:rPr>
            <w:rFonts w:ascii="Times New Roman" w:eastAsia="Times New Roman" w:hAnsi="Times New Roman" w:cs="Times New Roman"/>
            <w:color w:val="000000"/>
            <w:sz w:val="24"/>
            <w:szCs w:val="24"/>
          </w:rPr>
          <w:t>(Winkler et al., 1999)</w:t>
        </w:r>
      </w:hyperlink>
      <w:r>
        <w:rPr>
          <w:rFonts w:ascii="Times New Roman" w:eastAsia="Times New Roman" w:hAnsi="Times New Roman" w:cs="Times New Roman"/>
          <w:sz w:val="24"/>
          <w:szCs w:val="24"/>
        </w:rPr>
        <w:t xml:space="preserve">. As such, exploring the characteristics of late eaters living with obesity is needed. Finally, meal timing could be influenced by a variety of </w:t>
      </w:r>
      <w:r>
        <w:rPr>
          <w:rFonts w:ascii="Times New Roman" w:eastAsia="Times New Roman" w:hAnsi="Times New Roman" w:cs="Times New Roman"/>
          <w:sz w:val="24"/>
          <w:szCs w:val="24"/>
        </w:rPr>
        <w:lastRenderedPageBreak/>
        <w:t xml:space="preserve">factors, ranging from individual characteristics and choices, cultural contexts, and environmental to physiological determinants </w:t>
      </w:r>
      <w:hyperlink r:id="rId743">
        <w:r>
          <w:rPr>
            <w:rFonts w:ascii="Times New Roman" w:eastAsia="Times New Roman" w:hAnsi="Times New Roman" w:cs="Times New Roman"/>
            <w:color w:val="000000"/>
            <w:sz w:val="24"/>
            <w:szCs w:val="24"/>
          </w:rPr>
          <w:t>(Leung et al., 2019; Vetter and Scheer</w:t>
        </w:r>
        <w:r w:rsidR="00AC014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2019)</w:t>
        </w:r>
      </w:hyperlink>
      <w:r>
        <w:rPr>
          <w:rFonts w:ascii="Times New Roman" w:eastAsia="Times New Roman" w:hAnsi="Times New Roman" w:cs="Times New Roman"/>
          <w:sz w:val="24"/>
          <w:szCs w:val="24"/>
        </w:rPr>
        <w:t xml:space="preserve">. However, to date, there is no qualitative research investigating the factors that influence late evening eating and barriers and enablers to encourage earlier eating times in adults living with overweight and obesity. Understanding the reasons for late evening eating is needed to provide in-depth information that can be used to inform interventions to encourage individuals at risk of obesity to reduce late evening eating. </w:t>
      </w:r>
    </w:p>
    <w:p w14:paraId="00000BEF" w14:textId="77777777" w:rsidR="00CB4215" w:rsidRDefault="00CB4215">
      <w:pPr>
        <w:spacing w:line="480" w:lineRule="auto"/>
        <w:rPr>
          <w:rFonts w:ascii="Times New Roman" w:eastAsia="Times New Roman" w:hAnsi="Times New Roman" w:cs="Times New Roman"/>
          <w:sz w:val="24"/>
          <w:szCs w:val="24"/>
        </w:rPr>
      </w:pPr>
    </w:p>
    <w:p w14:paraId="00000BF0" w14:textId="12D33868" w:rsidR="00CB4215" w:rsidRDefault="000530B4">
      <w:pPr>
        <w:spacing w:line="480" w:lineRule="auto"/>
        <w:rPr>
          <w:rFonts w:ascii="Times New Roman" w:eastAsia="Times New Roman" w:hAnsi="Times New Roman" w:cs="Times New Roman"/>
          <w:sz w:val="24"/>
          <w:szCs w:val="24"/>
        </w:rPr>
        <w:sectPr w:rsidR="00CB4215">
          <w:headerReference w:type="default" r:id="rId744"/>
          <w:footerReference w:type="default" r:id="rId745"/>
          <w:pgSz w:w="11909" w:h="16834"/>
          <w:pgMar w:top="1440" w:right="1440" w:bottom="1440" w:left="1440" w:header="720" w:footer="720" w:gutter="0"/>
          <w:cols w:space="720"/>
        </w:sectPr>
      </w:pPr>
      <w:r>
        <w:rPr>
          <w:rFonts w:ascii="Times New Roman" w:eastAsia="Times New Roman" w:hAnsi="Times New Roman" w:cs="Times New Roman"/>
          <w:sz w:val="24"/>
          <w:szCs w:val="24"/>
        </w:rPr>
        <w:t>In summary, Chapter 1 introduced the background of meal timing and provided a theoretical foundation for the following empirical studies. Furthermore, Chapter 2 provided a narrative review of understanding the influence of meal timing and body weight. In addition, Chapter 3 included the methods, procedures and measurements used in the studies. Moreover, the associations between late eating, BMI, eating behaviour traits and health behaviours in a general sample were assessed in Study 1</w:t>
      </w:r>
      <w:r w:rsidR="005E54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(Chapter 4). To extend the previous study (Chapter 4), by using an objective assessment of physical activity and sleep, the associations described in Study 1 (Chapter 4) were assessed in participants living with obesity (Chapter 5).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identify the factors contributing to late evening eating and barriers and enablers to changing to earlier eating times, a qualitative study (Chapter 6) was conducted.</w:t>
      </w:r>
    </w:p>
    <w:p w14:paraId="00000BF1" w14:textId="77777777" w:rsidR="00CB4215" w:rsidRPr="00F074C9" w:rsidRDefault="000530B4">
      <w:pPr>
        <w:keepNext/>
        <w:pBdr>
          <w:top w:val="nil"/>
          <w:left w:val="nil"/>
          <w:bottom w:val="nil"/>
          <w:right w:val="nil"/>
          <w:between w:val="nil"/>
        </w:pBdr>
        <w:spacing w:line="240" w:lineRule="auto"/>
        <w:rPr>
          <w:rFonts w:ascii="Times New Roman" w:eastAsia="Times New Roman" w:hAnsi="Times New Roman" w:cs="Times New Roman"/>
          <w:i/>
          <w:color w:val="000000"/>
          <w:sz w:val="20"/>
          <w:szCs w:val="20"/>
        </w:rPr>
      </w:pPr>
      <w:bookmarkStart w:id="124" w:name="_heading=h.2ce457m" w:colFirst="0" w:colLast="0"/>
      <w:bookmarkEnd w:id="124"/>
      <w:r w:rsidRPr="00D03B56">
        <w:rPr>
          <w:rFonts w:ascii="Times New Roman" w:eastAsia="Times New Roman" w:hAnsi="Times New Roman" w:cs="Times New Roman"/>
          <w:i/>
          <w:color w:val="000000"/>
          <w:sz w:val="20"/>
          <w:szCs w:val="20"/>
        </w:rPr>
        <w:lastRenderedPageBreak/>
        <w:t xml:space="preserve">Table 7.1. </w:t>
      </w:r>
      <w:r w:rsidRPr="00D03B56">
        <w:rPr>
          <w:rFonts w:ascii="Times New Roman" w:eastAsia="Times New Roman" w:hAnsi="Times New Roman" w:cs="Times New Roman"/>
          <w:color w:val="000000"/>
          <w:sz w:val="20"/>
          <w:szCs w:val="20"/>
        </w:rPr>
        <w:t>Summary of research findings.</w:t>
      </w:r>
    </w:p>
    <w:tbl>
      <w:tblPr>
        <w:tblStyle w:val="af4"/>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3488"/>
        <w:gridCol w:w="3489"/>
        <w:gridCol w:w="3489"/>
      </w:tblGrid>
      <w:tr w:rsidR="00CB4215" w14:paraId="5F462D13" w14:textId="77777777">
        <w:tc>
          <w:tcPr>
            <w:tcW w:w="3488" w:type="dxa"/>
            <w:tcBorders>
              <w:left w:val="nil"/>
              <w:right w:val="nil"/>
            </w:tcBorders>
            <w:shd w:val="clear" w:color="auto" w:fill="auto"/>
            <w:tcMar>
              <w:top w:w="100" w:type="dxa"/>
              <w:left w:w="100" w:type="dxa"/>
              <w:bottom w:w="100" w:type="dxa"/>
              <w:right w:w="100" w:type="dxa"/>
            </w:tcMar>
          </w:tcPr>
          <w:p w14:paraId="00000BF2"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Study characteristics</w:t>
            </w:r>
          </w:p>
        </w:tc>
        <w:tc>
          <w:tcPr>
            <w:tcW w:w="3488" w:type="dxa"/>
            <w:tcBorders>
              <w:left w:val="nil"/>
              <w:right w:val="nil"/>
            </w:tcBorders>
            <w:shd w:val="clear" w:color="auto" w:fill="auto"/>
            <w:tcMar>
              <w:top w:w="100" w:type="dxa"/>
              <w:left w:w="100" w:type="dxa"/>
              <w:bottom w:w="100" w:type="dxa"/>
              <w:right w:w="100" w:type="dxa"/>
            </w:tcMar>
          </w:tcPr>
          <w:p w14:paraId="00000BF3"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Chapter 4</w:t>
            </w:r>
          </w:p>
        </w:tc>
        <w:tc>
          <w:tcPr>
            <w:tcW w:w="3489" w:type="dxa"/>
            <w:tcBorders>
              <w:left w:val="nil"/>
              <w:right w:val="nil"/>
            </w:tcBorders>
            <w:shd w:val="clear" w:color="auto" w:fill="auto"/>
            <w:tcMar>
              <w:top w:w="100" w:type="dxa"/>
              <w:left w:w="100" w:type="dxa"/>
              <w:bottom w:w="100" w:type="dxa"/>
              <w:right w:w="100" w:type="dxa"/>
            </w:tcMar>
          </w:tcPr>
          <w:p w14:paraId="00000BF4"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Chapter 5</w:t>
            </w:r>
          </w:p>
        </w:tc>
        <w:tc>
          <w:tcPr>
            <w:tcW w:w="3489" w:type="dxa"/>
            <w:tcBorders>
              <w:left w:val="nil"/>
              <w:right w:val="nil"/>
            </w:tcBorders>
            <w:shd w:val="clear" w:color="auto" w:fill="auto"/>
            <w:tcMar>
              <w:top w:w="100" w:type="dxa"/>
              <w:left w:w="100" w:type="dxa"/>
              <w:bottom w:w="100" w:type="dxa"/>
              <w:right w:w="100" w:type="dxa"/>
            </w:tcMar>
          </w:tcPr>
          <w:p w14:paraId="00000BF5"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Chapter 6</w:t>
            </w:r>
          </w:p>
        </w:tc>
      </w:tr>
      <w:tr w:rsidR="00CB4215" w14:paraId="223C1A21" w14:textId="77777777">
        <w:tc>
          <w:tcPr>
            <w:tcW w:w="3488" w:type="dxa"/>
            <w:tcBorders>
              <w:left w:val="nil"/>
              <w:bottom w:val="nil"/>
              <w:right w:val="nil"/>
            </w:tcBorders>
            <w:shd w:val="clear" w:color="auto" w:fill="auto"/>
            <w:tcMar>
              <w:top w:w="100" w:type="dxa"/>
              <w:left w:w="100" w:type="dxa"/>
              <w:bottom w:w="100" w:type="dxa"/>
              <w:right w:w="100" w:type="dxa"/>
            </w:tcMar>
          </w:tcPr>
          <w:p w14:paraId="00000BF6"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Research method</w:t>
            </w:r>
          </w:p>
        </w:tc>
        <w:tc>
          <w:tcPr>
            <w:tcW w:w="3488" w:type="dxa"/>
            <w:tcBorders>
              <w:left w:val="nil"/>
              <w:bottom w:val="nil"/>
              <w:right w:val="nil"/>
            </w:tcBorders>
            <w:shd w:val="clear" w:color="auto" w:fill="auto"/>
            <w:tcMar>
              <w:top w:w="100" w:type="dxa"/>
              <w:left w:w="100" w:type="dxa"/>
              <w:bottom w:w="100" w:type="dxa"/>
              <w:right w:w="100" w:type="dxa"/>
            </w:tcMar>
          </w:tcPr>
          <w:p w14:paraId="00000BF7"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Online questionnaire</w:t>
            </w:r>
          </w:p>
          <w:p w14:paraId="00000BF8"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(Quantitative method)</w:t>
            </w:r>
          </w:p>
        </w:tc>
        <w:tc>
          <w:tcPr>
            <w:tcW w:w="3489" w:type="dxa"/>
            <w:tcBorders>
              <w:left w:val="nil"/>
              <w:bottom w:val="nil"/>
              <w:right w:val="nil"/>
            </w:tcBorders>
            <w:shd w:val="clear" w:color="auto" w:fill="auto"/>
            <w:tcMar>
              <w:top w:w="100" w:type="dxa"/>
              <w:left w:w="100" w:type="dxa"/>
              <w:bottom w:w="100" w:type="dxa"/>
              <w:right w:w="100" w:type="dxa"/>
            </w:tcMar>
          </w:tcPr>
          <w:p w14:paraId="00000BF9"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Online questionnaire</w:t>
            </w:r>
          </w:p>
          <w:p w14:paraId="00000BFA"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(Quantitative method)</w:t>
            </w:r>
          </w:p>
        </w:tc>
        <w:tc>
          <w:tcPr>
            <w:tcW w:w="3489" w:type="dxa"/>
            <w:tcBorders>
              <w:left w:val="nil"/>
              <w:bottom w:val="nil"/>
              <w:right w:val="nil"/>
            </w:tcBorders>
            <w:shd w:val="clear" w:color="auto" w:fill="auto"/>
            <w:tcMar>
              <w:top w:w="100" w:type="dxa"/>
              <w:left w:w="100" w:type="dxa"/>
              <w:bottom w:w="100" w:type="dxa"/>
              <w:right w:w="100" w:type="dxa"/>
            </w:tcMar>
          </w:tcPr>
          <w:p w14:paraId="00000BFB"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Online questionnaire</w:t>
            </w:r>
          </w:p>
          <w:p w14:paraId="00000BFC"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Semi-structured interviews</w:t>
            </w:r>
          </w:p>
          <w:p w14:paraId="00000BFD"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(Qualitative method)</w:t>
            </w:r>
          </w:p>
        </w:tc>
      </w:tr>
      <w:tr w:rsidR="00CB4215" w14:paraId="76C330DD" w14:textId="77777777">
        <w:tc>
          <w:tcPr>
            <w:tcW w:w="3488" w:type="dxa"/>
            <w:tcBorders>
              <w:top w:val="nil"/>
              <w:left w:val="nil"/>
              <w:bottom w:val="nil"/>
              <w:right w:val="nil"/>
            </w:tcBorders>
            <w:shd w:val="clear" w:color="auto" w:fill="auto"/>
            <w:tcMar>
              <w:top w:w="100" w:type="dxa"/>
              <w:left w:w="100" w:type="dxa"/>
              <w:bottom w:w="100" w:type="dxa"/>
              <w:right w:w="100" w:type="dxa"/>
            </w:tcMar>
          </w:tcPr>
          <w:p w14:paraId="00000BFE"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Participants</w:t>
            </w:r>
          </w:p>
        </w:tc>
        <w:tc>
          <w:tcPr>
            <w:tcW w:w="3488" w:type="dxa"/>
            <w:tcBorders>
              <w:top w:val="nil"/>
              <w:left w:val="nil"/>
              <w:bottom w:val="nil"/>
              <w:right w:val="nil"/>
            </w:tcBorders>
            <w:shd w:val="clear" w:color="auto" w:fill="auto"/>
            <w:tcMar>
              <w:top w:w="100" w:type="dxa"/>
              <w:left w:w="100" w:type="dxa"/>
              <w:bottom w:w="100" w:type="dxa"/>
              <w:right w:w="100" w:type="dxa"/>
            </w:tcMar>
          </w:tcPr>
          <w:p w14:paraId="00000BFF"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300 participants in the general population</w:t>
            </w:r>
          </w:p>
        </w:tc>
        <w:tc>
          <w:tcPr>
            <w:tcW w:w="3489" w:type="dxa"/>
            <w:tcBorders>
              <w:top w:val="nil"/>
              <w:left w:val="nil"/>
              <w:bottom w:val="nil"/>
              <w:right w:val="nil"/>
            </w:tcBorders>
            <w:shd w:val="clear" w:color="auto" w:fill="auto"/>
            <w:tcMar>
              <w:top w:w="100" w:type="dxa"/>
              <w:left w:w="100" w:type="dxa"/>
              <w:bottom w:w="100" w:type="dxa"/>
              <w:right w:w="100" w:type="dxa"/>
            </w:tcMar>
          </w:tcPr>
          <w:p w14:paraId="00000C00"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30 participants living with obesity</w:t>
            </w:r>
          </w:p>
        </w:tc>
        <w:tc>
          <w:tcPr>
            <w:tcW w:w="3489" w:type="dxa"/>
            <w:tcBorders>
              <w:top w:val="nil"/>
              <w:left w:val="nil"/>
              <w:bottom w:val="nil"/>
              <w:right w:val="nil"/>
            </w:tcBorders>
            <w:shd w:val="clear" w:color="auto" w:fill="auto"/>
            <w:tcMar>
              <w:top w:w="100" w:type="dxa"/>
              <w:left w:w="100" w:type="dxa"/>
              <w:bottom w:w="100" w:type="dxa"/>
              <w:right w:w="100" w:type="dxa"/>
            </w:tcMar>
          </w:tcPr>
          <w:p w14:paraId="00000C01"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17 participants living with overweight and obesity</w:t>
            </w:r>
          </w:p>
        </w:tc>
      </w:tr>
      <w:tr w:rsidR="00CB4215" w14:paraId="39367610" w14:textId="77777777">
        <w:tc>
          <w:tcPr>
            <w:tcW w:w="3488" w:type="dxa"/>
            <w:tcBorders>
              <w:top w:val="nil"/>
              <w:left w:val="nil"/>
              <w:right w:val="nil"/>
            </w:tcBorders>
            <w:shd w:val="clear" w:color="auto" w:fill="auto"/>
            <w:tcMar>
              <w:top w:w="100" w:type="dxa"/>
              <w:left w:w="100" w:type="dxa"/>
              <w:bottom w:w="100" w:type="dxa"/>
              <w:right w:w="100" w:type="dxa"/>
            </w:tcMar>
          </w:tcPr>
          <w:p w14:paraId="00000C02"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Main results</w:t>
            </w:r>
          </w:p>
        </w:tc>
        <w:tc>
          <w:tcPr>
            <w:tcW w:w="3488" w:type="dxa"/>
            <w:tcBorders>
              <w:top w:val="nil"/>
              <w:left w:val="nil"/>
              <w:right w:val="nil"/>
            </w:tcBorders>
            <w:shd w:val="clear" w:color="auto" w:fill="auto"/>
            <w:tcMar>
              <w:top w:w="100" w:type="dxa"/>
              <w:left w:w="100" w:type="dxa"/>
              <w:bottom w:w="100" w:type="dxa"/>
              <w:right w:w="100" w:type="dxa"/>
            </w:tcMar>
          </w:tcPr>
          <w:p w14:paraId="00000C03"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Late eating was not significantly associated with higher BMI.</w:t>
            </w:r>
          </w:p>
          <w:p w14:paraId="00000C04"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Late eaters reported lower scores on craving control and longer daily consumption window.</w:t>
            </w:r>
          </w:p>
          <w:p w14:paraId="00000C05"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Chaotic meal (snack) consumption was significantly associated with lower BMI.</w:t>
            </w:r>
          </w:p>
          <w:p w14:paraId="00000C06"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Participants in the high chaotic meal eating group scored lower on satiety responsiveness than the low chaotic meal eating group.</w:t>
            </w:r>
          </w:p>
          <w:p w14:paraId="00000C07"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Scores on reliance hunger and satiety cues significantly differed among the high, medium and low chaotic meal eating groups.</w:t>
            </w:r>
          </w:p>
        </w:tc>
        <w:tc>
          <w:tcPr>
            <w:tcW w:w="3489" w:type="dxa"/>
            <w:tcBorders>
              <w:top w:val="nil"/>
              <w:left w:val="nil"/>
              <w:right w:val="nil"/>
            </w:tcBorders>
            <w:shd w:val="clear" w:color="auto" w:fill="auto"/>
            <w:tcMar>
              <w:top w:w="100" w:type="dxa"/>
              <w:left w:w="100" w:type="dxa"/>
              <w:bottom w:w="100" w:type="dxa"/>
              <w:right w:w="100" w:type="dxa"/>
            </w:tcMar>
          </w:tcPr>
          <w:p w14:paraId="00000C08"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Late eating was not significantly associated with higher BMI.</w:t>
            </w:r>
          </w:p>
          <w:p w14:paraId="00000C09"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Late eating was significantly associated with higher uncontrolled eating scores.</w:t>
            </w:r>
          </w:p>
          <w:p w14:paraId="00000C0A"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xml:space="preserve">- Late eaters consumed significantly less %protein and reported poorer dietary quality. </w:t>
            </w:r>
          </w:p>
        </w:tc>
        <w:tc>
          <w:tcPr>
            <w:tcW w:w="3489" w:type="dxa"/>
            <w:tcBorders>
              <w:top w:val="nil"/>
              <w:left w:val="nil"/>
              <w:right w:val="nil"/>
            </w:tcBorders>
            <w:shd w:val="clear" w:color="auto" w:fill="auto"/>
            <w:tcMar>
              <w:top w:w="100" w:type="dxa"/>
              <w:left w:w="100" w:type="dxa"/>
              <w:bottom w:w="100" w:type="dxa"/>
              <w:right w:w="100" w:type="dxa"/>
            </w:tcMar>
          </w:tcPr>
          <w:p w14:paraId="00000C0B"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Thematic analysis identified four main contributors to late evening eating: 1) internal signals; 2) external and situational factors; 3) social factors and 4) behavioural and emotional factors.</w:t>
            </w:r>
          </w:p>
          <w:p w14:paraId="00000C0C"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Time constraints and work schedules were identified as the main barriers to changing to earlier eating patterns.</w:t>
            </w:r>
          </w:p>
          <w:p w14:paraId="00000C0D" w14:textId="77777777" w:rsidR="00CB4215" w:rsidRPr="00F074C9" w:rsidRDefault="000530B4">
            <w:pPr>
              <w:spacing w:line="240" w:lineRule="auto"/>
              <w:rPr>
                <w:rFonts w:ascii="Times New Roman" w:eastAsia="Times New Roman" w:hAnsi="Times New Roman" w:cs="Times New Roman"/>
              </w:rPr>
            </w:pPr>
            <w:r w:rsidRPr="00F074C9">
              <w:rPr>
                <w:rFonts w:ascii="Times New Roman" w:eastAsia="Times New Roman" w:hAnsi="Times New Roman" w:cs="Times New Roman"/>
              </w:rPr>
              <w:t>- Practical strategies are provided to address barriers, such as increasing the awareness of the health benefits of early evening eating and addressing time constraints around meal planning and preparation.</w:t>
            </w:r>
          </w:p>
        </w:tc>
      </w:tr>
    </w:tbl>
    <w:p w14:paraId="00000C0E" w14:textId="77777777" w:rsidR="00CB4215" w:rsidRDefault="00CB4215">
      <w:pPr>
        <w:spacing w:line="480" w:lineRule="auto"/>
        <w:rPr>
          <w:rFonts w:ascii="Times New Roman" w:eastAsia="Times New Roman" w:hAnsi="Times New Roman" w:cs="Times New Roman"/>
          <w:sz w:val="24"/>
          <w:szCs w:val="24"/>
        </w:rPr>
        <w:sectPr w:rsidR="00CB4215">
          <w:pgSz w:w="16834" w:h="11909" w:orient="landscape"/>
          <w:pgMar w:top="1440" w:right="1440" w:bottom="1440" w:left="1440" w:header="720" w:footer="720" w:gutter="0"/>
          <w:cols w:space="720"/>
        </w:sectPr>
      </w:pPr>
    </w:p>
    <w:p w14:paraId="00000C0F" w14:textId="77777777" w:rsidR="00CB4215" w:rsidRDefault="000530B4">
      <w:pPr>
        <w:pStyle w:val="Heading3"/>
        <w:spacing w:line="480" w:lineRule="auto"/>
        <w:rPr>
          <w:rFonts w:ascii="Times New Roman" w:eastAsia="Times New Roman" w:hAnsi="Times New Roman" w:cs="Times New Roman"/>
          <w:b/>
          <w:color w:val="000000"/>
        </w:rPr>
      </w:pPr>
      <w:bookmarkStart w:id="125" w:name="_Toc172984829"/>
      <w:r>
        <w:rPr>
          <w:rFonts w:ascii="Times New Roman" w:eastAsia="Times New Roman" w:hAnsi="Times New Roman" w:cs="Times New Roman"/>
          <w:b/>
          <w:color w:val="000000"/>
        </w:rPr>
        <w:lastRenderedPageBreak/>
        <w:t>7.2 Implication of findings</w:t>
      </w:r>
      <w:bookmarkEnd w:id="125"/>
    </w:p>
    <w:p w14:paraId="00000C10"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7.2.1 Meal timing and BMI</w:t>
      </w:r>
    </w:p>
    <w:p w14:paraId="00000C11"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growing interest in recognising meal timing as a new aspect of nutrition, there is still a lack of consistent evidence on the relationship between meal timing and obesity </w:t>
      </w:r>
      <w:hyperlink r:id="rId74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The first two studies (Chapter 4 and 5) reported in this thesis explored the associations between meal timing and BMI. Specifically, Study 1 used self-reported height and weight, and BMI was computed (See more details in Chapter 4). No association was found between late eating and increased BMI.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increase the accuracy of the previous study (Study 1), objective measurements of height and weight were used in a pilot study (Study 2) and then BMI was computed (See more details in Chapter 5). Results in Study 2 also found no associations between late eating and BMI. In addition, there was no association between late eating and daily energy intake.</w:t>
      </w:r>
    </w:p>
    <w:p w14:paraId="00000C12" w14:textId="77777777" w:rsidR="00CB4215" w:rsidRDefault="00CB4215">
      <w:pPr>
        <w:spacing w:line="480" w:lineRule="auto"/>
        <w:rPr>
          <w:rFonts w:ascii="Times New Roman" w:eastAsia="Times New Roman" w:hAnsi="Times New Roman" w:cs="Times New Roman"/>
          <w:sz w:val="24"/>
          <w:szCs w:val="24"/>
        </w:rPr>
      </w:pPr>
    </w:p>
    <w:p w14:paraId="00000C13"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findings are contradictory with previous studies that found significant correlations between eating late and higher BMI </w:t>
      </w:r>
      <w:hyperlink r:id="rId747">
        <w:r>
          <w:rPr>
            <w:rFonts w:ascii="Times New Roman" w:eastAsia="Times New Roman" w:hAnsi="Times New Roman" w:cs="Times New Roman"/>
            <w:color w:val="000000"/>
            <w:sz w:val="24"/>
            <w:szCs w:val="24"/>
          </w:rPr>
          <w:t xml:space="preserve">(Wang et al., 2014; </w:t>
        </w:r>
        <w:proofErr w:type="spellStart"/>
        <w:r>
          <w:rPr>
            <w:rFonts w:ascii="Times New Roman" w:eastAsia="Times New Roman" w:hAnsi="Times New Roman" w:cs="Times New Roman"/>
            <w:color w:val="000000"/>
            <w:sz w:val="24"/>
            <w:szCs w:val="24"/>
          </w:rPr>
          <w:t>Bertéus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Forslund</w:t>
        </w:r>
        <w:proofErr w:type="spellEnd"/>
        <w:r>
          <w:rPr>
            <w:rFonts w:ascii="Times New Roman" w:eastAsia="Times New Roman" w:hAnsi="Times New Roman" w:cs="Times New Roman"/>
            <w:color w:val="000000"/>
            <w:sz w:val="24"/>
            <w:szCs w:val="24"/>
          </w:rPr>
          <w:t xml:space="preserve"> et al., 2002; Berg et al., 2009; Baron et al., 2011)</w:t>
        </w:r>
      </w:hyperlink>
      <w:r>
        <w:rPr>
          <w:rFonts w:ascii="Times New Roman" w:eastAsia="Times New Roman" w:hAnsi="Times New Roman" w:cs="Times New Roman"/>
          <w:sz w:val="24"/>
          <w:szCs w:val="24"/>
        </w:rPr>
        <w:t xml:space="preserve">. However, some studies indicate no association between late eating and higher BMI, after excluding people who inaccurately reported their energy intake within ±25% of total energy expenditure as measured by doubly labelled water </w:t>
      </w:r>
      <w:hyperlink r:id="rId748">
        <w:r>
          <w:rPr>
            <w:rFonts w:ascii="Times New Roman" w:eastAsia="Times New Roman" w:hAnsi="Times New Roman" w:cs="Times New Roman"/>
            <w:color w:val="000000"/>
            <w:sz w:val="24"/>
            <w:szCs w:val="24"/>
          </w:rPr>
          <w:t>(Wang et al., 2014)</w:t>
        </w:r>
      </w:hyperlink>
      <w:r>
        <w:rPr>
          <w:rFonts w:ascii="Times New Roman" w:eastAsia="Times New Roman" w:hAnsi="Times New Roman" w:cs="Times New Roman"/>
          <w:sz w:val="24"/>
          <w:szCs w:val="24"/>
        </w:rPr>
        <w:t xml:space="preserve">, or weight regain after 3.5 years of follow-up </w:t>
      </w:r>
      <w:hyperlink r:id="rId74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Hermenegildo</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 xml:space="preserve">. In the latter study, it was found that a higher proportion of total energy consumed during lunch, the main meal for the Spanish population, was linked to reduced weight gain, suggesting that cultural factors may be contributing to the conflicting results </w:t>
      </w:r>
      <w:hyperlink r:id="rId75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Hermenegildo</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 xml:space="preserve">. Furthermore, late eaters reported lower scores on craving control in Study 1 (Chapter 4) and an association between late eating and higher scores on uncontrolled eating </w:t>
      </w:r>
      <w:r>
        <w:rPr>
          <w:rFonts w:ascii="Times New Roman" w:eastAsia="Times New Roman" w:hAnsi="Times New Roman" w:cs="Times New Roman"/>
          <w:sz w:val="24"/>
          <w:szCs w:val="24"/>
        </w:rPr>
        <w:lastRenderedPageBreak/>
        <w:t xml:space="preserve">was found in Study 2 (Chapter 5). Higher uncontrolled eating and lower craving control are eating behaviour traits linked with overconsumption, thus late eating may increase the risk of overconsumption. It may be that late evening eating becomes more important for weight gain later in life. Therefore, the association between late eating and BMI in the long term should be further explored.   </w:t>
      </w:r>
    </w:p>
    <w:p w14:paraId="00000C14" w14:textId="77777777" w:rsidR="00CB4215" w:rsidRDefault="00CB4215">
      <w:pPr>
        <w:spacing w:line="480" w:lineRule="auto"/>
        <w:rPr>
          <w:rFonts w:ascii="Times New Roman" w:eastAsia="Times New Roman" w:hAnsi="Times New Roman" w:cs="Times New Roman"/>
          <w:sz w:val="24"/>
          <w:szCs w:val="24"/>
        </w:rPr>
      </w:pPr>
    </w:p>
    <w:p w14:paraId="00000C15"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7.2.2 Meal timing and eating behaviour traits</w:t>
      </w:r>
    </w:p>
    <w:p w14:paraId="62B6D807" w14:textId="77777777" w:rsidR="002C3679"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studies in the current thesis have explored the association between late eating and eating behaviour traits as well as differences between early and late eaters. Eating behaviour traits were assessed across the quantitative studies (Chapter 4 and Chapter 5). Although no significant associations between late eating and increased BMI were reported in Chapter 4 and Chapter 5, a novel finding in the current thesis was that late eaters scored lower in craving control than early eaters (Chapter 4). In addition, preliminary analyses within the pilot study (Chapter 5) indicated that late eating was significantly associated with higher uncontrolled eating in adults living with obesity. Late eaters also scored lower in craving control and higher in uncontrolled eating with medium to large effect size, although not significant. These results indicate that the timing of eating may influence individuals' ability to control cravings and avoid uncontrolled eating, which could increase the risk of overconsumption. </w:t>
      </w:r>
    </w:p>
    <w:p w14:paraId="28FA08C1" w14:textId="77777777" w:rsidR="002C3679" w:rsidRDefault="002C3679">
      <w:pPr>
        <w:spacing w:line="480" w:lineRule="auto"/>
        <w:rPr>
          <w:rFonts w:ascii="Times New Roman" w:eastAsia="Times New Roman" w:hAnsi="Times New Roman" w:cs="Times New Roman"/>
          <w:sz w:val="24"/>
          <w:szCs w:val="24"/>
        </w:rPr>
      </w:pPr>
    </w:p>
    <w:p w14:paraId="61110444" w14:textId="77777777" w:rsidR="002C3679"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The current findings are consistent</w:t>
      </w:r>
      <w:r>
        <w:rPr>
          <w:rFonts w:ascii="Times New Roman" w:eastAsia="Times New Roman" w:hAnsi="Times New Roman" w:cs="Times New Roman"/>
          <w:sz w:val="24"/>
          <w:szCs w:val="24"/>
        </w:rPr>
        <w:t xml:space="preserve"> with the Behavioural Susceptibility Theory, which states that individuals who show higher levels of appetitive eating behaviour traits linked to susceptibility to overconsumption will increase their food intake in food-rich environments that facilitate the manifestation of these traits </w:t>
      </w:r>
      <w:hyperlink r:id="rId751">
        <w:r>
          <w:rPr>
            <w:rFonts w:ascii="Times New Roman" w:eastAsia="Times New Roman" w:hAnsi="Times New Roman" w:cs="Times New Roman"/>
            <w:color w:val="000000"/>
            <w:sz w:val="24"/>
            <w:szCs w:val="24"/>
          </w:rPr>
          <w:t>(Llewellyn and Wardle</w:t>
        </w:r>
        <w:r w:rsidR="002C367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2015)</w:t>
        </w:r>
      </w:hyperlink>
      <w:r>
        <w:rPr>
          <w:rFonts w:ascii="Times New Roman" w:eastAsia="Times New Roman" w:hAnsi="Times New Roman" w:cs="Times New Roman"/>
          <w:sz w:val="24"/>
          <w:szCs w:val="24"/>
        </w:rPr>
        <w:t xml:space="preserve">. Although the obesogenic environment is potent, not all people are living with obesity, which means that </w:t>
      </w:r>
      <w:r>
        <w:rPr>
          <w:rFonts w:ascii="Times New Roman" w:eastAsia="Times New Roman" w:hAnsi="Times New Roman" w:cs="Times New Roman"/>
          <w:sz w:val="24"/>
          <w:szCs w:val="24"/>
        </w:rPr>
        <w:lastRenderedPageBreak/>
        <w:t xml:space="preserve">some people are susceptible to gaining weight </w:t>
      </w:r>
      <w:hyperlink r:id="rId752">
        <w:r>
          <w:rPr>
            <w:rFonts w:ascii="Times New Roman" w:eastAsia="Times New Roman" w:hAnsi="Times New Roman" w:cs="Times New Roman"/>
            <w:color w:val="000000"/>
            <w:sz w:val="24"/>
            <w:szCs w:val="24"/>
          </w:rPr>
          <w:t>(Blundell et al., 2005)</w:t>
        </w:r>
      </w:hyperlink>
      <w:r>
        <w:rPr>
          <w:rFonts w:ascii="Times New Roman" w:eastAsia="Times New Roman" w:hAnsi="Times New Roman" w:cs="Times New Roman"/>
          <w:sz w:val="24"/>
          <w:szCs w:val="24"/>
        </w:rPr>
        <w:t xml:space="preserve">. Susceptibility can be determined at multiple levels, including genetic, physiological, metabolic, behavioural and psychological factors. Eating behaviour traits could be considered as one of the risk factors in the susceptibility for overconsumption and weight gain </w:t>
      </w:r>
      <w:hyperlink r:id="rId753">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Bellisle</w:t>
        </w:r>
        <w:proofErr w:type="spellEnd"/>
        <w:r>
          <w:rPr>
            <w:rFonts w:ascii="Times New Roman" w:eastAsia="Times New Roman" w:hAnsi="Times New Roman" w:cs="Times New Roman"/>
            <w:color w:val="000000"/>
            <w:sz w:val="24"/>
            <w:szCs w:val="24"/>
          </w:rPr>
          <w:t xml:space="preserve"> et al., 2004; Hays et al., 2002)</w:t>
        </w:r>
      </w:hyperlink>
      <w:r>
        <w:rPr>
          <w:rFonts w:ascii="Times New Roman" w:eastAsia="Times New Roman" w:hAnsi="Times New Roman" w:cs="Times New Roman"/>
          <w:sz w:val="24"/>
          <w:szCs w:val="24"/>
        </w:rPr>
        <w:t xml:space="preserve">. Specifically,  research has shown an association between lower craving control scores and an increased risk of binge eating, a tendency to eat opportunistically </w:t>
      </w:r>
      <w:hyperlink r:id="rId754">
        <w:r>
          <w:rPr>
            <w:rFonts w:ascii="Times New Roman" w:eastAsia="Times New Roman" w:hAnsi="Times New Roman" w:cs="Times New Roman"/>
            <w:color w:val="000000"/>
            <w:sz w:val="24"/>
            <w:szCs w:val="24"/>
          </w:rPr>
          <w:t>(Dalton et al., 2015)</w:t>
        </w:r>
      </w:hyperlink>
      <w:r>
        <w:rPr>
          <w:rFonts w:ascii="Times New Roman" w:eastAsia="Times New Roman" w:hAnsi="Times New Roman" w:cs="Times New Roman"/>
          <w:sz w:val="24"/>
          <w:szCs w:val="24"/>
        </w:rPr>
        <w:t xml:space="preserve"> and reduced weight loss </w:t>
      </w:r>
      <w:hyperlink r:id="rId755">
        <w:r>
          <w:rPr>
            <w:rFonts w:ascii="Times New Roman" w:eastAsia="Times New Roman" w:hAnsi="Times New Roman" w:cs="Times New Roman"/>
            <w:color w:val="000000"/>
            <w:sz w:val="24"/>
            <w:szCs w:val="24"/>
          </w:rPr>
          <w:t>(Smithson and Hill</w:t>
        </w:r>
        <w:r w:rsidR="002C367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w:t>
        </w:r>
      </w:hyperlink>
      <w:r>
        <w:rPr>
          <w:rFonts w:ascii="Times New Roman" w:eastAsia="Times New Roman" w:hAnsi="Times New Roman" w:cs="Times New Roman"/>
          <w:sz w:val="24"/>
          <w:szCs w:val="24"/>
        </w:rPr>
        <w:t xml:space="preserve">. One possible explanation of late eaters reporting lower scores on craving control (Chapter 4) is the different distribution of food cravings during the day. Other research has found that food cravings are not evenly distributed throughout the day, but gain prominence during the afternoon and early evening </w:t>
      </w:r>
      <w:hyperlink r:id="rId756">
        <w:r>
          <w:rPr>
            <w:rFonts w:ascii="Times New Roman" w:eastAsia="Times New Roman" w:hAnsi="Times New Roman" w:cs="Times New Roman"/>
            <w:color w:val="000000"/>
            <w:sz w:val="24"/>
            <w:szCs w:val="24"/>
          </w:rPr>
          <w:t xml:space="preserve">(Pelchat 1997; </w:t>
        </w:r>
        <w:proofErr w:type="spellStart"/>
        <w:r>
          <w:rPr>
            <w:rFonts w:ascii="Times New Roman" w:eastAsia="Times New Roman" w:hAnsi="Times New Roman" w:cs="Times New Roman"/>
            <w:color w:val="000000"/>
            <w:sz w:val="24"/>
            <w:szCs w:val="24"/>
          </w:rPr>
          <w:t>Basdevant</w:t>
        </w:r>
        <w:proofErr w:type="spellEnd"/>
        <w:r>
          <w:rPr>
            <w:rFonts w:ascii="Times New Roman" w:eastAsia="Times New Roman" w:hAnsi="Times New Roman" w:cs="Times New Roman"/>
            <w:color w:val="000000"/>
            <w:sz w:val="24"/>
            <w:szCs w:val="24"/>
          </w:rPr>
          <w:t xml:space="preserve"> et al., 1993; Hetherington and MacDiarmid</w:t>
        </w:r>
        <w:r w:rsidR="002C367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1993; Hill et al., 1991)</w:t>
        </w:r>
      </w:hyperlink>
      <w:r>
        <w:rPr>
          <w:rFonts w:ascii="Times New Roman" w:eastAsia="Times New Roman" w:hAnsi="Times New Roman" w:cs="Times New Roman"/>
          <w:sz w:val="24"/>
          <w:szCs w:val="24"/>
        </w:rPr>
        <w:t xml:space="preserve">. This finding suggests that future interventions could target increasing craving control in people susceptible to consuming foods in the evening to encourage them to eat at earlier times  </w:t>
      </w:r>
      <w:hyperlink r:id="rId757">
        <w:r>
          <w:rPr>
            <w:rFonts w:ascii="Times New Roman" w:eastAsia="Times New Roman" w:hAnsi="Times New Roman" w:cs="Times New Roman"/>
            <w:color w:val="000000"/>
            <w:sz w:val="24"/>
            <w:szCs w:val="24"/>
          </w:rPr>
          <w:t>(Dalton et al., 2017)</w:t>
        </w:r>
      </w:hyperlink>
      <w:r>
        <w:rPr>
          <w:rFonts w:ascii="Times New Roman" w:eastAsia="Times New Roman" w:hAnsi="Times New Roman" w:cs="Times New Roman"/>
          <w:sz w:val="24"/>
          <w:szCs w:val="24"/>
        </w:rPr>
        <w:t xml:space="preserve">. Indeed, a systematic review and meta-analysis of 69 laboratory-based studies has shown that showed that using strategies like imagery of food cues and training inhibitory control can effectively reduce cravings and decrease the amount of food consumed </w:t>
      </w:r>
      <w:hyperlink r:id="rId75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Wolz</w:t>
        </w:r>
        <w:proofErr w:type="spellEnd"/>
        <w:r>
          <w:rPr>
            <w:rFonts w:ascii="Times New Roman" w:eastAsia="Times New Roman" w:hAnsi="Times New Roman" w:cs="Times New Roman"/>
            <w:color w:val="000000"/>
            <w:sz w:val="24"/>
            <w:szCs w:val="24"/>
          </w:rPr>
          <w:t xml:space="preserve"> et al., 2020)</w:t>
        </w:r>
      </w:hyperlink>
      <w:r>
        <w:rPr>
          <w:rFonts w:ascii="Times New Roman" w:eastAsia="Times New Roman" w:hAnsi="Times New Roman" w:cs="Times New Roman"/>
          <w:sz w:val="24"/>
          <w:szCs w:val="24"/>
        </w:rPr>
        <w:t xml:space="preserve">. </w:t>
      </w:r>
    </w:p>
    <w:p w14:paraId="2368A859" w14:textId="77777777" w:rsidR="002C3679" w:rsidRDefault="002C3679">
      <w:pPr>
        <w:spacing w:line="480" w:lineRule="auto"/>
        <w:rPr>
          <w:rFonts w:ascii="Times New Roman" w:eastAsia="Times New Roman" w:hAnsi="Times New Roman" w:cs="Times New Roman"/>
          <w:sz w:val="24"/>
          <w:szCs w:val="24"/>
        </w:rPr>
      </w:pPr>
    </w:p>
    <w:p w14:paraId="00000C16" w14:textId="010F1ABA" w:rsidR="00CB4215"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In the future, it will be necessary to investigate whether these strategies are also effective in enhancing the capacity to regulate cravings in the evening. In addition, mindfulness training has been</w:t>
      </w:r>
      <w:r>
        <w:rPr>
          <w:rFonts w:ascii="Times New Roman" w:eastAsia="Times New Roman" w:hAnsi="Times New Roman" w:cs="Times New Roman"/>
          <w:sz w:val="24"/>
          <w:szCs w:val="24"/>
        </w:rPr>
        <w:t xml:space="preserve"> used to regulate eating behaviour, defined as consciously focusing on the sensory experience of eating (e.g. the sight, smell and taste of food), bodily sensations that result from eating (e.g. appetite) and food-related thoughts (e.g. awareness of cravings) </w:t>
      </w:r>
      <w:hyperlink r:id="rId75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Framson</w:t>
        </w:r>
        <w:proofErr w:type="spellEnd"/>
        <w:r>
          <w:rPr>
            <w:rFonts w:ascii="Times New Roman" w:eastAsia="Times New Roman" w:hAnsi="Times New Roman" w:cs="Times New Roman"/>
            <w:color w:val="000000"/>
            <w:sz w:val="24"/>
            <w:szCs w:val="24"/>
          </w:rPr>
          <w:t xml:space="preserve"> et al., 2009)</w:t>
        </w:r>
      </w:hyperlink>
      <w:r>
        <w:rPr>
          <w:rFonts w:ascii="Times New Roman" w:eastAsia="Times New Roman" w:hAnsi="Times New Roman" w:cs="Times New Roman"/>
          <w:sz w:val="24"/>
          <w:szCs w:val="24"/>
        </w:rPr>
        <w:t xml:space="preserve">. Research has shown that engaging in mindfulness training can lead to a reduction in BMI for people living with obesity </w:t>
      </w:r>
      <w:hyperlink r:id="rId760">
        <w:r>
          <w:rPr>
            <w:rFonts w:ascii="Times New Roman" w:eastAsia="Times New Roman" w:hAnsi="Times New Roman" w:cs="Times New Roman"/>
            <w:color w:val="000000"/>
            <w:sz w:val="24"/>
            <w:szCs w:val="24"/>
          </w:rPr>
          <w:t>(Tapper et al., 2009)</w:t>
        </w:r>
      </w:hyperlink>
      <w:r>
        <w:rPr>
          <w:rFonts w:ascii="Times New Roman" w:eastAsia="Times New Roman" w:hAnsi="Times New Roman" w:cs="Times New Roman"/>
          <w:sz w:val="24"/>
          <w:szCs w:val="24"/>
        </w:rPr>
        <w:t xml:space="preserve">, a reduction in food cravings </w:t>
      </w:r>
      <w:hyperlink r:id="rId761">
        <w:r>
          <w:rPr>
            <w:rFonts w:ascii="Times New Roman" w:eastAsia="Times New Roman" w:hAnsi="Times New Roman" w:cs="Times New Roman"/>
            <w:color w:val="000000"/>
            <w:sz w:val="24"/>
            <w:szCs w:val="24"/>
          </w:rPr>
          <w:t>(Alberts et al., 2010)</w:t>
        </w:r>
      </w:hyperlink>
      <w:r>
        <w:rPr>
          <w:rFonts w:ascii="Times New Roman" w:eastAsia="Times New Roman" w:hAnsi="Times New Roman" w:cs="Times New Roman"/>
          <w:sz w:val="24"/>
          <w:szCs w:val="24"/>
        </w:rPr>
        <w:t xml:space="preserve"> and a reduction in binge eating </w:t>
      </w:r>
      <w:hyperlink r:id="rId76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Kristeller</w:t>
        </w:r>
        <w:proofErr w:type="spellEnd"/>
        <w:r>
          <w:rPr>
            <w:rFonts w:ascii="Times New Roman" w:eastAsia="Times New Roman" w:hAnsi="Times New Roman" w:cs="Times New Roman"/>
            <w:color w:val="000000"/>
            <w:sz w:val="24"/>
            <w:szCs w:val="24"/>
          </w:rPr>
          <w:t xml:space="preserve"> and Hallett</w:t>
        </w:r>
        <w:r w:rsidR="002C367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1999)</w:t>
        </w:r>
      </w:hyperlink>
      <w:r>
        <w:rPr>
          <w:rFonts w:ascii="Times New Roman" w:eastAsia="Times New Roman" w:hAnsi="Times New Roman" w:cs="Times New Roman"/>
          <w:sz w:val="24"/>
          <w:szCs w:val="24"/>
        </w:rPr>
        <w:t xml:space="preserve">. For example, in a study conducted by Alberts et al. (2012), an 8-week mindfulness-based intervention was found to result in significant reductions in food cravings, body image concern, lower levels of emotional eating and external eating. As a result, engaging in mindful management of food cravings effectively reduced the occurrence of food cravings, which can be considered successful self-regulation in the future. The findings suggest that hedonic risk factors for overeating (craving control) may be one of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factors contributing to impaired appetite control in late eaters, which is also consistent with one of the factors contributing to late evening eating reported in Study 3 (Challenge resisting tempting food due to easy access) (See Chapter 6).</w:t>
      </w:r>
    </w:p>
    <w:p w14:paraId="00000C17" w14:textId="77777777" w:rsidR="00CB4215" w:rsidRDefault="00CB4215">
      <w:pPr>
        <w:spacing w:line="480" w:lineRule="auto"/>
        <w:rPr>
          <w:rFonts w:ascii="Times New Roman" w:eastAsia="Times New Roman" w:hAnsi="Times New Roman" w:cs="Times New Roman"/>
          <w:sz w:val="24"/>
          <w:szCs w:val="24"/>
        </w:rPr>
      </w:pPr>
    </w:p>
    <w:p w14:paraId="00000C18" w14:textId="3DC66422"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association between late eating and higher uncontrolled eating was reported in Chapter 5. Multiple studies have found that uncontrolled eating is associated with increased energy intake </w:t>
      </w:r>
      <w:hyperlink r:id="rId763">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Bongers</w:t>
        </w:r>
        <w:proofErr w:type="spellEnd"/>
        <w:r>
          <w:rPr>
            <w:rFonts w:ascii="Times New Roman" w:eastAsia="Times New Roman" w:hAnsi="Times New Roman" w:cs="Times New Roman"/>
            <w:color w:val="000000"/>
            <w:sz w:val="24"/>
            <w:szCs w:val="24"/>
          </w:rPr>
          <w:t xml:space="preserve"> and Jansen</w:t>
        </w:r>
        <w:r w:rsidR="00A467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2016; </w:t>
        </w:r>
        <w:proofErr w:type="spellStart"/>
        <w:r>
          <w:rPr>
            <w:rFonts w:ascii="Times New Roman" w:eastAsia="Times New Roman" w:hAnsi="Times New Roman" w:cs="Times New Roman"/>
            <w:color w:val="000000"/>
            <w:sz w:val="24"/>
            <w:szCs w:val="24"/>
          </w:rPr>
          <w:t>Espel</w:t>
        </w:r>
        <w:proofErr w:type="spellEnd"/>
        <w:r>
          <w:rPr>
            <w:rFonts w:ascii="Times New Roman" w:eastAsia="Times New Roman" w:hAnsi="Times New Roman" w:cs="Times New Roman"/>
            <w:color w:val="000000"/>
            <w:sz w:val="24"/>
            <w:szCs w:val="24"/>
          </w:rPr>
          <w:t>-Huynh et al., 2018; Bryant et al., 2008; Goldschmidt</w:t>
        </w:r>
        <w:r w:rsidR="00A467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w:t>
        </w:r>
      </w:hyperlink>
      <w:r>
        <w:rPr>
          <w:rFonts w:ascii="Times New Roman" w:eastAsia="Times New Roman" w:hAnsi="Times New Roman" w:cs="Times New Roman"/>
          <w:sz w:val="24"/>
          <w:szCs w:val="24"/>
        </w:rPr>
        <w:t xml:space="preserve">. In addition, people who score higher on uncontrolled eating also report consuming more fat </w:t>
      </w:r>
      <w:hyperlink r:id="rId764">
        <w:r>
          <w:rPr>
            <w:rFonts w:ascii="Times New Roman" w:eastAsia="Times New Roman" w:hAnsi="Times New Roman" w:cs="Times New Roman"/>
            <w:color w:val="000000"/>
            <w:sz w:val="24"/>
            <w:szCs w:val="24"/>
          </w:rPr>
          <w:t>(Stevenson and Francis</w:t>
        </w:r>
        <w:r w:rsidR="00A467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w:t>
        </w:r>
      </w:hyperlink>
      <w:r>
        <w:rPr>
          <w:rFonts w:ascii="Times New Roman" w:eastAsia="Times New Roman" w:hAnsi="Times New Roman" w:cs="Times New Roman"/>
          <w:sz w:val="24"/>
          <w:szCs w:val="24"/>
        </w:rPr>
        <w:t xml:space="preserve">. In line with findings reported in this thesis, late evening eating has also been linked with several eating behaviour traits linked with increased risk of overconsumption and increased BMIs such as disinhibition and emotional eating </w:t>
      </w:r>
      <w:hyperlink r:id="rId765">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Dakanalis</w:t>
        </w:r>
        <w:proofErr w:type="spellEnd"/>
        <w:r>
          <w:rPr>
            <w:rFonts w:ascii="Times New Roman" w:eastAsia="Times New Roman" w:hAnsi="Times New Roman" w:cs="Times New Roman"/>
            <w:color w:val="000000"/>
            <w:sz w:val="24"/>
            <w:szCs w:val="24"/>
          </w:rPr>
          <w:t xml:space="preserve"> et al., 2023; Bryant et al., 2008)</w:t>
        </w:r>
      </w:hyperlink>
      <w:r>
        <w:rPr>
          <w:rFonts w:ascii="Times New Roman" w:eastAsia="Times New Roman" w:hAnsi="Times New Roman" w:cs="Times New Roman"/>
          <w:sz w:val="24"/>
          <w:szCs w:val="24"/>
        </w:rPr>
        <w:t xml:space="preserve">. Jacob and colleagues (2023) found late eating was significantly associated with traits, such as disinhibition and susceptibility to hunger in participants with overweight or obesity. As such, this suggests that future dietary interventions could target decreasing uncontrolled eating in people susceptible to eating late in the evening. Specifically, Frayn and </w:t>
      </w:r>
      <w:proofErr w:type="spellStart"/>
      <w:r>
        <w:rPr>
          <w:rFonts w:ascii="Times New Roman" w:eastAsia="Times New Roman" w:hAnsi="Times New Roman" w:cs="Times New Roman"/>
          <w:sz w:val="24"/>
          <w:szCs w:val="24"/>
        </w:rPr>
        <w:t>Knäuper</w:t>
      </w:r>
      <w:proofErr w:type="spellEnd"/>
      <w:r>
        <w:rPr>
          <w:rFonts w:ascii="Times New Roman" w:eastAsia="Times New Roman" w:hAnsi="Times New Roman" w:cs="Times New Roman"/>
          <w:sz w:val="24"/>
          <w:szCs w:val="24"/>
        </w:rPr>
        <w:t xml:space="preserve"> (2017) examined the impact of different therapies on weight loss and reduction of uncontrolled eating and found that </w:t>
      </w:r>
      <w:r>
        <w:rPr>
          <w:rFonts w:ascii="Times New Roman" w:eastAsia="Times New Roman" w:hAnsi="Times New Roman" w:cs="Times New Roman"/>
          <w:sz w:val="24"/>
          <w:szCs w:val="24"/>
        </w:rPr>
        <w:lastRenderedPageBreak/>
        <w:t xml:space="preserve">therapies that concentrate on emotional acceptance, such as acceptance and commitment therapy and mindfulness, were effective in reducing uncontrolled eating. </w:t>
      </w:r>
    </w:p>
    <w:p w14:paraId="00000C19" w14:textId="77777777" w:rsidR="00CB4215" w:rsidRDefault="00CB4215">
      <w:pPr>
        <w:spacing w:line="480" w:lineRule="auto"/>
        <w:rPr>
          <w:rFonts w:ascii="Times New Roman" w:eastAsia="Times New Roman" w:hAnsi="Times New Roman" w:cs="Times New Roman"/>
          <w:sz w:val="24"/>
          <w:szCs w:val="24"/>
        </w:rPr>
      </w:pPr>
    </w:p>
    <w:p w14:paraId="00000C1A" w14:textId="3125E011"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studies in this thesis extended a previous study using the 51-item Three-Factor Eating Questionnaire (TFEQ) and the Binge Eating Scale (BES) to explore the associations between meal timing and eating behavioural traits, to include the use of a range of psychometric questionnaires (see more details in Chapter 3). Unexpectedly, no significant associations between late eating, cognitive restraint, emotional eating and Adult Eating Behaviour Questionnaire (AEBQ) subscales were found in the current thesis. The Adult Eating Behaviour Questionnaire (AEBQ) used a response scale consisting of 5 points and it is plausible that this limited range of responses inhibited the capacity to detect variations in scores between participants in the experiments presented in Chapter 4 and Chapter 5 of this thesis. The Adult Eating Behaviour Questionnaire (AEBQ) was chosen for the present thesis because of its ability to assess numerous traits in a short questionnaire. In addition, although emotional eating was significantly related to higher BMI in the studies reported in this thesis (Chapter 4 and Chapter 5), no association was found between late eating and emotional eating. Emotional eating theory suggests that people may eat in response to negative emotions, such as anxiety, which increases the risk of overweight and obesity </w:t>
      </w:r>
      <w:hyperlink r:id="rId766">
        <w:r>
          <w:rPr>
            <w:rFonts w:ascii="Times New Roman" w:eastAsia="Times New Roman" w:hAnsi="Times New Roman" w:cs="Times New Roman"/>
            <w:color w:val="000000"/>
            <w:sz w:val="24"/>
            <w:szCs w:val="24"/>
          </w:rPr>
          <w:t>(Canetti et al., 2002)</w:t>
        </w:r>
      </w:hyperlink>
      <w:r>
        <w:rPr>
          <w:rFonts w:ascii="Times New Roman" w:eastAsia="Times New Roman" w:hAnsi="Times New Roman" w:cs="Times New Roman"/>
          <w:sz w:val="24"/>
          <w:szCs w:val="24"/>
        </w:rPr>
        <w:t xml:space="preserve">. However, there are individual differences in emotion regulation </w:t>
      </w:r>
      <w:hyperlink r:id="rId767">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Rammensee</w:t>
        </w:r>
        <w:proofErr w:type="spellEnd"/>
        <w:r>
          <w:rPr>
            <w:rFonts w:ascii="Times New Roman" w:eastAsia="Times New Roman" w:hAnsi="Times New Roman" w:cs="Times New Roman"/>
            <w:color w:val="000000"/>
            <w:sz w:val="24"/>
            <w:szCs w:val="24"/>
          </w:rPr>
          <w:t xml:space="preserve"> et al., 2023)</w:t>
        </w:r>
      </w:hyperlink>
      <w:r>
        <w:rPr>
          <w:rFonts w:ascii="Times New Roman" w:eastAsia="Times New Roman" w:hAnsi="Times New Roman" w:cs="Times New Roman"/>
          <w:sz w:val="24"/>
          <w:szCs w:val="24"/>
        </w:rPr>
        <w:t xml:space="preserve">. Therefore, it is possible that participants in this thesis did not eat in response to negative emotions, especially in the evening. As for cognitive restraint, which was measured by the 18-item Three-Factor Eating Questionnaire (TFEQ) in the current thesis, yet, rigid restraint </w:t>
      </w:r>
      <w:hyperlink r:id="rId76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Westenhoefer</w:t>
        </w:r>
        <w:proofErr w:type="spellEnd"/>
        <w:r w:rsidR="00A467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1991)</w:t>
        </w:r>
      </w:hyperlink>
      <w:r>
        <w:rPr>
          <w:rFonts w:ascii="Times New Roman" w:eastAsia="Times New Roman" w:hAnsi="Times New Roman" w:cs="Times New Roman"/>
          <w:sz w:val="24"/>
          <w:szCs w:val="24"/>
        </w:rPr>
        <w:t xml:space="preserve">, and flexible restraint </w:t>
      </w:r>
      <w:hyperlink r:id="rId76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Westenhoefer</w:t>
        </w:r>
        <w:proofErr w:type="spellEnd"/>
        <w:r w:rsidR="00A467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1991)</w:t>
        </w:r>
      </w:hyperlink>
      <w:r>
        <w:rPr>
          <w:rFonts w:ascii="Times New Roman" w:eastAsia="Times New Roman" w:hAnsi="Times New Roman" w:cs="Times New Roman"/>
          <w:sz w:val="24"/>
          <w:szCs w:val="24"/>
        </w:rPr>
        <w:t xml:space="preserve"> (See more details in Chapter 1) were not assessed. Research indicates an association between greater scores in rigid control and higher levels of uncontrolled eating, whereas higher scores in flexible </w:t>
      </w:r>
      <w:r>
        <w:rPr>
          <w:rFonts w:ascii="Times New Roman" w:eastAsia="Times New Roman" w:hAnsi="Times New Roman" w:cs="Times New Roman"/>
          <w:sz w:val="24"/>
          <w:szCs w:val="24"/>
        </w:rPr>
        <w:lastRenderedPageBreak/>
        <w:t xml:space="preserve">control are linked with reduced levels of disinhibited eating </w:t>
      </w:r>
      <w:hyperlink r:id="rId770">
        <w:r>
          <w:rPr>
            <w:rFonts w:ascii="Times New Roman" w:eastAsia="Times New Roman" w:hAnsi="Times New Roman" w:cs="Times New Roman"/>
            <w:color w:val="000000"/>
            <w:sz w:val="24"/>
            <w:szCs w:val="24"/>
          </w:rPr>
          <w:t xml:space="preserve">(Stewart et al., 2002; Timko and Perone 2005; </w:t>
        </w:r>
        <w:proofErr w:type="spellStart"/>
        <w:r>
          <w:rPr>
            <w:rFonts w:ascii="Times New Roman" w:eastAsia="Times New Roman" w:hAnsi="Times New Roman" w:cs="Times New Roman"/>
            <w:color w:val="000000"/>
            <w:sz w:val="24"/>
            <w:szCs w:val="24"/>
          </w:rPr>
          <w:t>Westenhoefer</w:t>
        </w:r>
        <w:proofErr w:type="spellEnd"/>
        <w:r>
          <w:rPr>
            <w:rFonts w:ascii="Times New Roman" w:eastAsia="Times New Roman" w:hAnsi="Times New Roman" w:cs="Times New Roman"/>
            <w:color w:val="000000"/>
            <w:sz w:val="24"/>
            <w:szCs w:val="24"/>
          </w:rPr>
          <w:t xml:space="preserve"> et al., 1999)</w:t>
        </w:r>
      </w:hyperlink>
      <w:r>
        <w:rPr>
          <w:rFonts w:ascii="Times New Roman" w:eastAsia="Times New Roman" w:hAnsi="Times New Roman" w:cs="Times New Roman"/>
          <w:sz w:val="24"/>
          <w:szCs w:val="24"/>
        </w:rPr>
        <w:t xml:space="preserve">. In addition, many studies have found a correlation between higher scores on the rigid control and an increase in BMI </w:t>
      </w:r>
      <w:hyperlink r:id="rId771">
        <w:r>
          <w:rPr>
            <w:rFonts w:ascii="Times New Roman" w:eastAsia="Times New Roman" w:hAnsi="Times New Roman" w:cs="Times New Roman"/>
            <w:color w:val="000000"/>
            <w:sz w:val="24"/>
            <w:szCs w:val="24"/>
          </w:rPr>
          <w:t xml:space="preserve">(Provencher et al., 2004; </w:t>
        </w:r>
        <w:proofErr w:type="spellStart"/>
        <w:r>
          <w:rPr>
            <w:rFonts w:ascii="Times New Roman" w:eastAsia="Times New Roman" w:hAnsi="Times New Roman" w:cs="Times New Roman"/>
            <w:color w:val="000000"/>
            <w:sz w:val="24"/>
            <w:szCs w:val="24"/>
          </w:rPr>
          <w:t>Shearin</w:t>
        </w:r>
        <w:proofErr w:type="spellEnd"/>
        <w:r>
          <w:rPr>
            <w:rFonts w:ascii="Times New Roman" w:eastAsia="Times New Roman" w:hAnsi="Times New Roman" w:cs="Times New Roman"/>
            <w:color w:val="000000"/>
            <w:sz w:val="24"/>
            <w:szCs w:val="24"/>
          </w:rPr>
          <w:t xml:space="preserve"> et al., 1994; Timko and Perone 2005)</w:t>
        </w:r>
      </w:hyperlink>
      <w:r>
        <w:rPr>
          <w:rFonts w:ascii="Times New Roman" w:eastAsia="Times New Roman" w:hAnsi="Times New Roman" w:cs="Times New Roman"/>
          <w:sz w:val="24"/>
          <w:szCs w:val="24"/>
        </w:rPr>
        <w:t xml:space="preserve">. Given the time constraints of completing the questionnaire, rigid and flexible restraints were not measured separately in this thesis. Future research could investigate whether rigid or flexible restraint is associated with meal timing.   </w:t>
      </w:r>
    </w:p>
    <w:p w14:paraId="00000C1B" w14:textId="77777777" w:rsidR="00CB4215" w:rsidRDefault="00CB4215">
      <w:pPr>
        <w:spacing w:line="480" w:lineRule="auto"/>
        <w:rPr>
          <w:rFonts w:ascii="Times New Roman" w:eastAsia="Times New Roman" w:hAnsi="Times New Roman" w:cs="Times New Roman"/>
          <w:sz w:val="24"/>
          <w:szCs w:val="24"/>
        </w:rPr>
      </w:pPr>
    </w:p>
    <w:p w14:paraId="00000C1C"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7.2.3 Meal timing and health behaviours</w:t>
      </w:r>
    </w:p>
    <w:p w14:paraId="00000C1D" w14:textId="5FF86F84"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findings also indicated several behavioural characteristics of late eaters, including longer daily consumption window (Chapter 4), lower protein intake and poorer dietary quality compared to early eaters (Chapter 5). A reduced daily consumption window has been related to improved results in weight loss and glycaemic control </w:t>
      </w:r>
      <w:hyperlink r:id="rId772">
        <w:r>
          <w:rPr>
            <w:rFonts w:ascii="Times New Roman" w:eastAsia="Times New Roman" w:hAnsi="Times New Roman" w:cs="Times New Roman"/>
            <w:color w:val="000000"/>
            <w:sz w:val="24"/>
            <w:szCs w:val="24"/>
          </w:rPr>
          <w:t xml:space="preserve">(Leung et al., 2019; </w:t>
        </w:r>
        <w:proofErr w:type="spellStart"/>
        <w:r>
          <w:rPr>
            <w:rFonts w:ascii="Times New Roman" w:eastAsia="Times New Roman" w:hAnsi="Times New Roman" w:cs="Times New Roman"/>
            <w:color w:val="000000"/>
            <w:sz w:val="24"/>
            <w:szCs w:val="24"/>
          </w:rPr>
          <w:t>Chellappa</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The duration of the daily eating window is essential because metabolic processes, e.g., glucose tolerance and insulin sensitivity, reach the highest levels in the morning and decline as the day progresses </w:t>
      </w:r>
      <w:hyperlink r:id="rId773">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Poggiogalle</w:t>
        </w:r>
        <w:proofErr w:type="spellEnd"/>
        <w:r>
          <w:rPr>
            <w:rFonts w:ascii="Times New Roman" w:eastAsia="Times New Roman" w:hAnsi="Times New Roman" w:cs="Times New Roman"/>
            <w:color w:val="000000"/>
            <w:sz w:val="24"/>
            <w:szCs w:val="24"/>
          </w:rPr>
          <w:t xml:space="preserve"> et al., 2018)</w:t>
        </w:r>
      </w:hyperlink>
      <w:r>
        <w:rPr>
          <w:rFonts w:ascii="Times New Roman" w:eastAsia="Times New Roman" w:hAnsi="Times New Roman" w:cs="Times New Roman"/>
          <w:sz w:val="24"/>
          <w:szCs w:val="24"/>
        </w:rPr>
        <w:t xml:space="preserve">. In addition, reducing the daily consumption windows through time-restricted eating may have beneficial effects on metabolic health, even without leading to weight loss </w:t>
      </w:r>
      <w:hyperlink r:id="rId774">
        <w:r>
          <w:rPr>
            <w:rFonts w:ascii="Times New Roman" w:eastAsia="Times New Roman" w:hAnsi="Times New Roman" w:cs="Times New Roman"/>
            <w:color w:val="000000"/>
            <w:sz w:val="24"/>
            <w:szCs w:val="24"/>
          </w:rPr>
          <w:t>(Sutton et al., 2018; Hutchison et al., 2019)</w:t>
        </w:r>
      </w:hyperlink>
      <w:r>
        <w:rPr>
          <w:rFonts w:ascii="Times New Roman" w:eastAsia="Times New Roman" w:hAnsi="Times New Roman" w:cs="Times New Roman"/>
          <w:sz w:val="24"/>
          <w:szCs w:val="24"/>
        </w:rPr>
        <w:t xml:space="preserve">. Indeed, previous reports have demonstrated an association between the chronotype and eating habits (e.g. higher intake in the evening meal), as well as the importance of adjusting these habits to the physiological rhythms of the individuals </w:t>
      </w:r>
      <w:hyperlink r:id="rId775">
        <w:r>
          <w:rPr>
            <w:rFonts w:ascii="Times New Roman" w:eastAsia="Times New Roman" w:hAnsi="Times New Roman" w:cs="Times New Roman"/>
            <w:color w:val="000000"/>
            <w:sz w:val="24"/>
            <w:szCs w:val="24"/>
          </w:rPr>
          <w:t xml:space="preserve">(Muñoz et al., 2017; </w:t>
        </w:r>
        <w:proofErr w:type="spellStart"/>
        <w:r>
          <w:rPr>
            <w:rFonts w:ascii="Times New Roman" w:eastAsia="Times New Roman" w:hAnsi="Times New Roman" w:cs="Times New Roman"/>
            <w:color w:val="000000"/>
            <w:sz w:val="24"/>
            <w:szCs w:val="24"/>
          </w:rPr>
          <w:t>Hermenegildo</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 xml:space="preserve">. For example, Munoz and colleagues (2020) have found that energy-restricted diets adjusted according to an individual's chronotype are more effective in fostering weight reduction than energy-restricted diets that were not adjusted for chronotype. Thus, an alteration of the eating patterns regulated by circadian rhythms may also play a key role in obesity development </w:t>
      </w:r>
      <w:hyperlink r:id="rId77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Tahara</w:t>
        </w:r>
        <w:proofErr w:type="spellEnd"/>
        <w:r>
          <w:rPr>
            <w:rFonts w:ascii="Times New Roman" w:eastAsia="Times New Roman" w:hAnsi="Times New Roman" w:cs="Times New Roman"/>
            <w:color w:val="000000"/>
            <w:sz w:val="24"/>
            <w:szCs w:val="24"/>
          </w:rPr>
          <w:t xml:space="preserve"> and Shibata</w:t>
        </w:r>
        <w:r w:rsidR="003D2B8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2014)</w:t>
        </w:r>
      </w:hyperlink>
      <w:r>
        <w:rPr>
          <w:rFonts w:ascii="Times New Roman" w:eastAsia="Times New Roman" w:hAnsi="Times New Roman" w:cs="Times New Roman"/>
          <w:sz w:val="24"/>
          <w:szCs w:val="24"/>
        </w:rPr>
        <w:t xml:space="preserve">. </w:t>
      </w:r>
    </w:p>
    <w:p w14:paraId="00000C1F" w14:textId="7C001C64"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research reported in this thesis also has possible implications for the dietary composition of those who eat late in the evening. Previous studies have shown that increasing protein consumption in the diet is a useful strategy for preventing or treating obesity by reducing </w:t>
      </w:r>
      <w:r w:rsidRPr="00D03B56">
        <w:rPr>
          <w:rFonts w:ascii="Times New Roman" w:eastAsia="Times New Roman" w:hAnsi="Times New Roman" w:cs="Times New Roman"/>
          <w:sz w:val="24"/>
          <w:szCs w:val="24"/>
        </w:rPr>
        <w:t>body weight and fat mass while maintaining lean mass</w:t>
      </w:r>
      <w:r w:rsidR="003D2B8C" w:rsidRPr="00D03B56">
        <w:rPr>
          <w:rFonts w:ascii="Times New Roman" w:eastAsia="Times New Roman" w:hAnsi="Times New Roman" w:cs="Times New Roman"/>
          <w:sz w:val="24"/>
          <w:szCs w:val="24"/>
        </w:rPr>
        <w:t xml:space="preserve"> </w:t>
      </w:r>
      <w:hyperlink r:id="rId777">
        <w:r w:rsidRPr="00D03B56">
          <w:rPr>
            <w:rFonts w:ascii="Times New Roman" w:eastAsia="Times New Roman" w:hAnsi="Times New Roman" w:cs="Times New Roman"/>
            <w:color w:val="000000"/>
            <w:sz w:val="24"/>
            <w:szCs w:val="24"/>
          </w:rPr>
          <w:t>(</w:t>
        </w:r>
        <w:proofErr w:type="spellStart"/>
        <w:r w:rsidRPr="00D03B56">
          <w:rPr>
            <w:rFonts w:ascii="Times New Roman" w:eastAsia="Times New Roman" w:hAnsi="Times New Roman" w:cs="Times New Roman"/>
            <w:color w:val="000000"/>
            <w:sz w:val="24"/>
            <w:szCs w:val="24"/>
          </w:rPr>
          <w:t>Westerterp-Plantenga</w:t>
        </w:r>
        <w:proofErr w:type="spellEnd"/>
        <w:r w:rsidRPr="00D03B56">
          <w:rPr>
            <w:rFonts w:ascii="Times New Roman" w:eastAsia="Times New Roman" w:hAnsi="Times New Roman" w:cs="Times New Roman"/>
            <w:color w:val="000000"/>
            <w:sz w:val="24"/>
            <w:szCs w:val="24"/>
          </w:rPr>
          <w:t xml:space="preserve"> et al., 2012; </w:t>
        </w:r>
        <w:r w:rsidR="003D2B8C" w:rsidRPr="00D03B56">
          <w:rPr>
            <w:rFonts w:ascii="Times New Roman" w:eastAsia="Times New Roman" w:hAnsi="Times New Roman" w:cs="Times New Roman"/>
            <w:color w:val="000000"/>
            <w:sz w:val="24"/>
            <w:szCs w:val="24"/>
          </w:rPr>
          <w:t>Leidy, 2014</w:t>
        </w:r>
        <w:r w:rsidRPr="00D03B56">
          <w:rPr>
            <w:rFonts w:ascii="Times New Roman" w:eastAsia="Times New Roman" w:hAnsi="Times New Roman" w:cs="Times New Roman"/>
            <w:color w:val="000000"/>
            <w:sz w:val="24"/>
            <w:szCs w:val="24"/>
          </w:rPr>
          <w:t>)</w:t>
        </w:r>
      </w:hyperlink>
      <w:r w:rsidRPr="00D03B56">
        <w:rPr>
          <w:rFonts w:ascii="Times New Roman" w:eastAsia="Times New Roman" w:hAnsi="Times New Roman" w:cs="Times New Roman"/>
          <w:sz w:val="24"/>
          <w:szCs w:val="24"/>
        </w:rPr>
        <w:t>. The possible reason for the benefits of higher protein intake could be due to changes in energy metabolism and appetite signalling, resulting in lower energy consumption. In addition</w:t>
      </w:r>
      <w:r>
        <w:rPr>
          <w:rFonts w:ascii="Times New Roman" w:eastAsia="Times New Roman" w:hAnsi="Times New Roman" w:cs="Times New Roman"/>
          <w:sz w:val="24"/>
          <w:szCs w:val="24"/>
        </w:rPr>
        <w:t xml:space="preserve">, higher protein diets were associated with improvements in cardiometabolic risk variables </w:t>
      </w:r>
      <w:hyperlink r:id="rId77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Morenga</w:t>
        </w:r>
        <w:proofErr w:type="spellEnd"/>
        <w:r>
          <w:rPr>
            <w:rFonts w:ascii="Times New Roman" w:eastAsia="Times New Roman" w:hAnsi="Times New Roman" w:cs="Times New Roman"/>
            <w:color w:val="000000"/>
            <w:sz w:val="24"/>
            <w:szCs w:val="24"/>
          </w:rPr>
          <w:t xml:space="preserve"> and Mann</w:t>
        </w:r>
        <w:r w:rsidR="00A467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2012; Dong et al., 2013)</w:t>
        </w:r>
      </w:hyperlink>
      <w:r>
        <w:rPr>
          <w:rFonts w:ascii="Times New Roman" w:eastAsia="Times New Roman" w:hAnsi="Times New Roman" w:cs="Times New Roman"/>
          <w:sz w:val="24"/>
          <w:szCs w:val="24"/>
        </w:rPr>
        <w:t xml:space="preserve">. Furthermore, a study involving 1854 participants aged 25-74 years showed that individuals classified as evening types had a relatively lower intake of protein compared to morning types, yet consumed more sugar, fat and saturated fat throughout the evening </w:t>
      </w:r>
      <w:hyperlink r:id="rId77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Maukonen</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In addition, other studies suggest that evening types tend to consume foods and nutrients that are poor in nutritional value, including more soft drinks, alcohol and chocolate, and more fat and saturated fat. Conversely, they consume less carbohydrates, fibre, vegetables, fruit and fish, resulting in an overall poorer diet </w:t>
      </w:r>
      <w:hyperlink r:id="rId780">
        <w:r>
          <w:rPr>
            <w:rFonts w:ascii="Times New Roman" w:eastAsia="Times New Roman" w:hAnsi="Times New Roman" w:cs="Times New Roman"/>
            <w:color w:val="000000"/>
            <w:sz w:val="24"/>
            <w:szCs w:val="24"/>
          </w:rPr>
          <w:t xml:space="preserve">(Baron et al., 2011; </w:t>
        </w:r>
        <w:proofErr w:type="spellStart"/>
        <w:r>
          <w:rPr>
            <w:rFonts w:ascii="Times New Roman" w:eastAsia="Times New Roman" w:hAnsi="Times New Roman" w:cs="Times New Roman"/>
            <w:color w:val="000000"/>
            <w:sz w:val="24"/>
            <w:szCs w:val="24"/>
          </w:rPr>
          <w:t>Haraszti</w:t>
        </w:r>
        <w:proofErr w:type="spellEnd"/>
        <w:r>
          <w:rPr>
            <w:rFonts w:ascii="Times New Roman" w:eastAsia="Times New Roman" w:hAnsi="Times New Roman" w:cs="Times New Roman"/>
            <w:color w:val="000000"/>
            <w:sz w:val="24"/>
            <w:szCs w:val="24"/>
          </w:rPr>
          <w:t xml:space="preserve"> et al., 2014; </w:t>
        </w:r>
        <w:proofErr w:type="spellStart"/>
        <w:r>
          <w:rPr>
            <w:rFonts w:ascii="Times New Roman" w:eastAsia="Times New Roman" w:hAnsi="Times New Roman" w:cs="Times New Roman"/>
            <w:color w:val="000000"/>
            <w:sz w:val="24"/>
            <w:szCs w:val="24"/>
          </w:rPr>
          <w:t>Kanerva</w:t>
        </w:r>
        <w:proofErr w:type="spellEnd"/>
        <w:r>
          <w:rPr>
            <w:rFonts w:ascii="Times New Roman" w:eastAsia="Times New Roman" w:hAnsi="Times New Roman" w:cs="Times New Roman"/>
            <w:color w:val="000000"/>
            <w:sz w:val="24"/>
            <w:szCs w:val="24"/>
          </w:rPr>
          <w:t xml:space="preserve"> et al., 2012; </w:t>
        </w:r>
        <w:proofErr w:type="spellStart"/>
        <w:r>
          <w:rPr>
            <w:rFonts w:ascii="Times New Roman" w:eastAsia="Times New Roman" w:hAnsi="Times New Roman" w:cs="Times New Roman"/>
            <w:color w:val="000000"/>
            <w:sz w:val="24"/>
            <w:szCs w:val="24"/>
          </w:rPr>
          <w:t>Maukonen</w:t>
        </w:r>
        <w:proofErr w:type="spellEnd"/>
        <w:r>
          <w:rPr>
            <w:rFonts w:ascii="Times New Roman" w:eastAsia="Times New Roman" w:hAnsi="Times New Roman" w:cs="Times New Roman"/>
            <w:color w:val="000000"/>
            <w:sz w:val="24"/>
            <w:szCs w:val="24"/>
          </w:rPr>
          <w:t xml:space="preserve"> et al., 2016; Sato-Mito et al., 2011)</w:t>
        </w:r>
      </w:hyperlink>
      <w:r>
        <w:rPr>
          <w:rFonts w:ascii="Times New Roman" w:eastAsia="Times New Roman" w:hAnsi="Times New Roman" w:cs="Times New Roman"/>
          <w:sz w:val="24"/>
          <w:szCs w:val="24"/>
        </w:rPr>
        <w:t xml:space="preserve">. As such, integrating meal composition and increasing dietary intake alongside encouraging earlier eating patterns seems a potential dietary recommendation in the future. </w:t>
      </w:r>
    </w:p>
    <w:p w14:paraId="00000C20" w14:textId="77777777" w:rsidR="00CB4215" w:rsidRDefault="00CB4215">
      <w:pPr>
        <w:spacing w:line="480" w:lineRule="auto"/>
        <w:rPr>
          <w:rFonts w:ascii="Times New Roman" w:eastAsia="Times New Roman" w:hAnsi="Times New Roman" w:cs="Times New Roman"/>
          <w:sz w:val="24"/>
          <w:szCs w:val="24"/>
        </w:rPr>
      </w:pPr>
    </w:p>
    <w:p w14:paraId="00000C21"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Physical activity was not significantly associated with late eating in the studies reported in this thesis, despite subjective assessment in Study 1 (Chapter 4) or objective measurement in Study 2 (Chapter 5), which is in line with a few other studies whether physical activity was measured by self-reported questionnaire </w:t>
      </w:r>
      <w:hyperlink r:id="rId781">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 </w:t>
        </w:r>
        <w:proofErr w:type="spellStart"/>
        <w:r>
          <w:rPr>
            <w:rFonts w:ascii="Times New Roman" w:eastAsia="Times New Roman" w:hAnsi="Times New Roman" w:cs="Times New Roman"/>
            <w:color w:val="000000"/>
            <w:sz w:val="24"/>
            <w:szCs w:val="24"/>
          </w:rPr>
          <w:t>Jakubowicz</w:t>
        </w:r>
        <w:proofErr w:type="spellEnd"/>
        <w:r>
          <w:rPr>
            <w:rFonts w:ascii="Times New Roman" w:eastAsia="Times New Roman" w:hAnsi="Times New Roman" w:cs="Times New Roman"/>
            <w:color w:val="000000"/>
            <w:sz w:val="24"/>
            <w:szCs w:val="24"/>
          </w:rPr>
          <w:t xml:space="preserve"> et al., 2013; </w:t>
        </w:r>
        <w:proofErr w:type="spellStart"/>
        <w:r>
          <w:rPr>
            <w:rFonts w:ascii="Times New Roman" w:eastAsia="Times New Roman" w:hAnsi="Times New Roman" w:cs="Times New Roman"/>
            <w:color w:val="000000"/>
            <w:sz w:val="24"/>
            <w:szCs w:val="24"/>
          </w:rPr>
          <w:t>Garaulet</w:t>
        </w:r>
        <w:proofErr w:type="spellEnd"/>
        <w:r>
          <w:rPr>
            <w:rFonts w:ascii="Times New Roman" w:eastAsia="Times New Roman" w:hAnsi="Times New Roman" w:cs="Times New Roman"/>
            <w:color w:val="000000"/>
            <w:sz w:val="24"/>
            <w:szCs w:val="24"/>
          </w:rPr>
          <w:t xml:space="preserve"> et al., 2013)</w:t>
        </w:r>
      </w:hyperlink>
      <w:r>
        <w:rPr>
          <w:rFonts w:ascii="Times New Roman" w:eastAsia="Times New Roman" w:hAnsi="Times New Roman" w:cs="Times New Roman"/>
          <w:sz w:val="24"/>
          <w:szCs w:val="24"/>
        </w:rPr>
        <w:t xml:space="preserve">. In contrast, using a 7-day accelerometer to measure physical activity, Thomas et al. (2020) found that later meals were significantly associated with lower physical </w:t>
      </w:r>
      <w:r>
        <w:rPr>
          <w:rFonts w:ascii="Times New Roman" w:eastAsia="Times New Roman" w:hAnsi="Times New Roman" w:cs="Times New Roman"/>
          <w:sz w:val="24"/>
          <w:szCs w:val="24"/>
        </w:rPr>
        <w:lastRenderedPageBreak/>
        <w:t xml:space="preserve">activity, such as step count, stepping time, and energy expenditure. It should be noted that although no association was found between late eating and physical activity in the 14-day pilot study, late eaters tended to have lower daily step counts than early eaters, with no significance but a medium to large effect size (Chapter 5). Therefore, a full-scale study is needed to verify this finding.  </w:t>
      </w:r>
    </w:p>
    <w:p w14:paraId="00000C22" w14:textId="77777777" w:rsidR="00CB4215" w:rsidRDefault="00CB4215">
      <w:pPr>
        <w:spacing w:line="480" w:lineRule="auto"/>
        <w:rPr>
          <w:rFonts w:ascii="Times New Roman" w:eastAsia="Times New Roman" w:hAnsi="Times New Roman" w:cs="Times New Roman"/>
          <w:sz w:val="24"/>
          <w:szCs w:val="24"/>
        </w:rPr>
      </w:pPr>
    </w:p>
    <w:p w14:paraId="00000C23"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7.2.4 Factors contributing to late evening eating</w:t>
      </w:r>
    </w:p>
    <w:p w14:paraId="00000C24" w14:textId="589A0FFE"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exploring the psychological and behavioural characteristics of late evening eaters, the work in the current thesis identified the physiological (e.g., feeling hungry in the evening), environmental (e.g., food-rich environment) and emotional (e.g., negative feelings in the evening) factors contributing to late evening eating in adults living with overweight and obesity (Chapter 6). Collectively, based on the results from Study 1 (Chapter 4) and Study 2 (Chapter 5), the timing of food intake is a potential risk factor for overconsumption. While research on the impact of meal timing on health is ongoing, there has been little focus on factors that influence late evening eating (de Cabo and Mattson 2019). Previous evidence indicates that meal timing could be influenced by a variety of factors, ranging from individual characteristics and choices, cultural contexts, and environmental to physiological determinants (Leung et al., 2019; Vetter and Scheer 2017;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2019). For example, using a 24-hour food diary, a large cluster analysis from the 1999-2004 NHANES of 7565 individuals revealed distinct temporal eating patterns across the United States </w:t>
      </w:r>
      <w:hyperlink r:id="rId782">
        <w:r>
          <w:rPr>
            <w:rFonts w:ascii="Times New Roman" w:eastAsia="Times New Roman" w:hAnsi="Times New Roman" w:cs="Times New Roman"/>
            <w:color w:val="000000"/>
            <w:sz w:val="24"/>
            <w:szCs w:val="24"/>
          </w:rPr>
          <w:t>(Khanna et al., 2011)</w:t>
        </w:r>
      </w:hyperlink>
      <w:r>
        <w:rPr>
          <w:rFonts w:ascii="Times New Roman" w:eastAsia="Times New Roman" w:hAnsi="Times New Roman" w:cs="Times New Roman"/>
          <w:sz w:val="24"/>
          <w:szCs w:val="24"/>
        </w:rPr>
        <w:t xml:space="preserve">. The primary cluster showed a pattern of 3 main meals, while the other clusters showed increased consumption either earlier or later in the day </w:t>
      </w:r>
      <w:hyperlink r:id="rId783">
        <w:r>
          <w:rPr>
            <w:rFonts w:ascii="Times New Roman" w:eastAsia="Times New Roman" w:hAnsi="Times New Roman" w:cs="Times New Roman"/>
            <w:color w:val="000000"/>
            <w:sz w:val="24"/>
            <w:szCs w:val="24"/>
          </w:rPr>
          <w:t>(Eicher-Miller et al., 2016)</w:t>
        </w:r>
      </w:hyperlink>
      <w:r>
        <w:rPr>
          <w:rFonts w:ascii="Times New Roman" w:eastAsia="Times New Roman" w:hAnsi="Times New Roman" w:cs="Times New Roman"/>
          <w:sz w:val="24"/>
          <w:szCs w:val="24"/>
        </w:rPr>
        <w:t xml:space="preserve">. The observed variation in meal timing suggests that even in culturally similar societies, there may be factors that influence the timing of meals </w:t>
      </w:r>
      <w:hyperlink r:id="rId78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Almoosawi</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 xml:space="preserve">. Furthermore, in a qualitative study using focus groups, pregnant black women (n = 18) reported individual and </w:t>
      </w:r>
      <w:r>
        <w:rPr>
          <w:rFonts w:ascii="Times New Roman" w:eastAsia="Times New Roman" w:hAnsi="Times New Roman" w:cs="Times New Roman"/>
          <w:sz w:val="24"/>
          <w:szCs w:val="24"/>
        </w:rPr>
        <w:lastRenderedPageBreak/>
        <w:t>interpersonal contributors to late-night eating, including hunger, foetal movements, altered sleep patterns and the influence of social others (</w:t>
      </w:r>
      <w:r w:rsidR="002C2D40">
        <w:rPr>
          <w:rFonts w:ascii="Times New Roman" w:eastAsia="Times New Roman" w:hAnsi="Times New Roman" w:cs="Times New Roman"/>
          <w:sz w:val="24"/>
          <w:szCs w:val="24"/>
        </w:rPr>
        <w:t>e.g.,</w:t>
      </w:r>
      <w:r>
        <w:rPr>
          <w:rFonts w:ascii="Times New Roman" w:eastAsia="Times New Roman" w:hAnsi="Times New Roman" w:cs="Times New Roman"/>
          <w:sz w:val="24"/>
          <w:szCs w:val="24"/>
        </w:rPr>
        <w:t xml:space="preserve"> children and parents in the household who were eating; Kroeger et al., 2019). The qualitative study reported in this thesis extended to a non-pregnant sample of adults with overweight and obesity and provided in-depth information that can be used to inform interventions to encourage individuals at risk of obesity to reduce late evening eating.  </w:t>
      </w:r>
    </w:p>
    <w:p w14:paraId="00000C25" w14:textId="77777777" w:rsidR="00CB4215" w:rsidRDefault="00CB4215">
      <w:pPr>
        <w:spacing w:line="480" w:lineRule="auto"/>
        <w:rPr>
          <w:rFonts w:ascii="Times New Roman" w:eastAsia="Times New Roman" w:hAnsi="Times New Roman" w:cs="Times New Roman"/>
          <w:sz w:val="24"/>
          <w:szCs w:val="24"/>
        </w:rPr>
      </w:pPr>
    </w:p>
    <w:p w14:paraId="00000C26"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7.2.5 Barriers and enablers to changing to earlier eating patterns</w:t>
      </w:r>
    </w:p>
    <w:p w14:paraId="00000C27"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6 also highlighted the barriers and enablers to changing to earlier eating patterns in people living with overweight and obesity. For instance, time constraints and work schedules were identified as the main barriers to changing late evening eating. Whereas, having high motivation (e.g., contentment with eating earlier in the evening) and interpersonal support were identified as the main enablers of eating earlier. There are also some practical strategies to address these barriers, such as increasing the awareness of the health benefits of early evening eating and addressing time constraints around meal planning and preparation. </w:t>
      </w:r>
    </w:p>
    <w:p w14:paraId="00000C28" w14:textId="77777777" w:rsidR="00CB4215" w:rsidRDefault="00CB4215">
      <w:pPr>
        <w:spacing w:line="480" w:lineRule="auto"/>
        <w:rPr>
          <w:rFonts w:ascii="Times New Roman" w:eastAsia="Times New Roman" w:hAnsi="Times New Roman" w:cs="Times New Roman"/>
          <w:sz w:val="24"/>
          <w:szCs w:val="24"/>
        </w:rPr>
      </w:pPr>
    </w:p>
    <w:p w14:paraId="00000C29" w14:textId="634B7720"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is the first to use a theoretical model (COM-B model) to explore the barriers and enablers associated with changing to earlier eating patterns among UK adults living with overweight and obesity who reported last eating episode consumption after 8 PM. The COM-B model has been found to be an important tool for understanding behaviour change and designing effective interventions </w:t>
      </w:r>
      <w:hyperlink r:id="rId785">
        <w:r>
          <w:rPr>
            <w:rFonts w:ascii="Times New Roman" w:eastAsia="Times New Roman" w:hAnsi="Times New Roman" w:cs="Times New Roman"/>
            <w:color w:val="000000"/>
            <w:sz w:val="24"/>
            <w:szCs w:val="24"/>
          </w:rPr>
          <w:t>(Michie et al., 2011)</w:t>
        </w:r>
      </w:hyperlink>
      <w:r>
        <w:rPr>
          <w:rFonts w:ascii="Times New Roman" w:eastAsia="Times New Roman" w:hAnsi="Times New Roman" w:cs="Times New Roman"/>
          <w:sz w:val="24"/>
          <w:szCs w:val="24"/>
        </w:rPr>
        <w:t xml:space="preserve">. The COM-B model incorporates various health behaviour theoretical frameworks that consider individual, social, and environmental factors in understanding the target behaviour. Nevertheless, the COM-B model offers a further advantage of directly connecting behavioural aspects to intervention functions and has been extensively used to guide the development and evaluation of interventions </w:t>
      </w:r>
      <w:hyperlink r:id="rId786">
        <w:r>
          <w:rPr>
            <w:rFonts w:ascii="Times New Roman" w:eastAsia="Times New Roman" w:hAnsi="Times New Roman" w:cs="Times New Roman"/>
            <w:color w:val="000000"/>
            <w:sz w:val="24"/>
            <w:szCs w:val="24"/>
          </w:rPr>
          <w:t>(Curtis et al., 2015</w:t>
        </w:r>
      </w:hyperlink>
      <w:r>
        <w:rPr>
          <w:rFonts w:ascii="Times New Roman" w:eastAsia="Times New Roman" w:hAnsi="Times New Roman" w:cs="Times New Roman"/>
          <w:sz w:val="24"/>
          <w:szCs w:val="24"/>
        </w:rPr>
        <w:t xml:space="preserve">; </w:t>
      </w:r>
      <w:hyperlink r:id="rId787">
        <w:r>
          <w:rPr>
            <w:rFonts w:ascii="Times New Roman" w:eastAsia="Times New Roman" w:hAnsi="Times New Roman" w:cs="Times New Roman"/>
            <w:color w:val="000000"/>
            <w:sz w:val="24"/>
            <w:szCs w:val="24"/>
          </w:rPr>
          <w:t xml:space="preserve">Handley et al., 2016; </w:t>
        </w:r>
        <w:proofErr w:type="spellStart"/>
        <w:r>
          <w:rPr>
            <w:rFonts w:ascii="Times New Roman" w:eastAsia="Times New Roman" w:hAnsi="Times New Roman" w:cs="Times New Roman"/>
            <w:color w:val="000000"/>
            <w:sz w:val="24"/>
            <w:szCs w:val="24"/>
          </w:rPr>
          <w:t>Mangurian</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Thus, the COM-B model offers a useful tool to understand late evening eating and guide intervention development to change behaviours (e.g., shift to earlier eating patterns).</w:t>
      </w:r>
    </w:p>
    <w:p w14:paraId="61260361" w14:textId="77777777" w:rsidR="00A46772" w:rsidRDefault="00A46772">
      <w:pPr>
        <w:spacing w:line="480" w:lineRule="auto"/>
        <w:rPr>
          <w:rFonts w:ascii="Times New Roman" w:eastAsia="Times New Roman" w:hAnsi="Times New Roman" w:cs="Times New Roman"/>
          <w:sz w:val="24"/>
          <w:szCs w:val="24"/>
        </w:rPr>
      </w:pPr>
    </w:p>
    <w:p w14:paraId="00000C2B"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participants noted some barriers to changing late evening eating, practical strategies were provided to address such barriers, such as increasing the awareness of the health benefits of early evening eating and addressing time constraints around meal planning and preparation. Furthermore, ‘inform about health consequences’ is a Behavioural Change Technique within the Behaviour Change Technique Ontology (BCTO). Indeed, “Information about health consequences” has been found to be an effective Behavioural Change Technique in improving Dietary Intake in young adults with a 52% effectiveness ratio </w:t>
      </w:r>
      <w:hyperlink r:id="rId788">
        <w:r>
          <w:rPr>
            <w:rFonts w:ascii="Times New Roman" w:eastAsia="Times New Roman" w:hAnsi="Times New Roman" w:cs="Times New Roman"/>
            <w:color w:val="000000"/>
            <w:sz w:val="24"/>
            <w:szCs w:val="24"/>
          </w:rPr>
          <w:t>(Ashton et al., 2019)</w:t>
        </w:r>
      </w:hyperlink>
      <w:r>
        <w:rPr>
          <w:rFonts w:ascii="Times New Roman" w:eastAsia="Times New Roman" w:hAnsi="Times New Roman" w:cs="Times New Roman"/>
          <w:sz w:val="24"/>
          <w:szCs w:val="24"/>
        </w:rPr>
        <w:t>. As such, communicating the health consequences of late evening eating in an engaging and relatable way may be persuasive to influence earlier eating patterns.</w:t>
      </w:r>
    </w:p>
    <w:p w14:paraId="00000C2C" w14:textId="77777777" w:rsidR="00CB4215" w:rsidRDefault="00CB4215">
      <w:pPr>
        <w:spacing w:line="480" w:lineRule="auto"/>
        <w:rPr>
          <w:rFonts w:ascii="Times New Roman" w:eastAsia="Times New Roman" w:hAnsi="Times New Roman" w:cs="Times New Roman"/>
          <w:sz w:val="24"/>
          <w:szCs w:val="24"/>
        </w:rPr>
      </w:pPr>
    </w:p>
    <w:p w14:paraId="00000C2D" w14:textId="0C72E413"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time constraint was identified as a barrier to changing to earlier eating patterns. Meal planning, which involves prearranging the foods to be consumed in the upcoming days, can serve as a potential strategy for dealing with time constraints and thus reduce the daily consumption window of late eaters reported in Chapter 4. Meal planning has been related to the greater frequency of cooking meals at home </w:t>
      </w:r>
      <w:hyperlink r:id="rId78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Aubé</w:t>
        </w:r>
        <w:proofErr w:type="spellEnd"/>
        <w:r>
          <w:rPr>
            <w:rFonts w:ascii="Times New Roman" w:eastAsia="Times New Roman" w:hAnsi="Times New Roman" w:cs="Times New Roman"/>
            <w:color w:val="000000"/>
            <w:sz w:val="24"/>
            <w:szCs w:val="24"/>
          </w:rPr>
          <w:t xml:space="preserve"> and Marquis</w:t>
        </w:r>
        <w:r w:rsidR="003D2B8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2011)</w:t>
        </w:r>
      </w:hyperlink>
      <w:r>
        <w:rPr>
          <w:rFonts w:ascii="Times New Roman" w:eastAsia="Times New Roman" w:hAnsi="Times New Roman" w:cs="Times New Roman"/>
          <w:sz w:val="24"/>
          <w:szCs w:val="24"/>
        </w:rPr>
        <w:t xml:space="preserve"> and the presence of fruits and vegetables at family dinners </w:t>
      </w:r>
      <w:hyperlink r:id="rId79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Trofholz</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 xml:space="preserve">. For example, an observational study in a community-based sample from Australia found that women who got involved in planning their evening meals in the morning were found to have a higher probability of eating two or more servings of vegetables a day </w:t>
      </w:r>
      <w:hyperlink r:id="rId791">
        <w:r>
          <w:rPr>
            <w:rFonts w:ascii="Times New Roman" w:eastAsia="Times New Roman" w:hAnsi="Times New Roman" w:cs="Times New Roman"/>
            <w:color w:val="000000"/>
            <w:sz w:val="24"/>
            <w:szCs w:val="24"/>
          </w:rPr>
          <w:t>(Crawford et al., 2007)</w:t>
        </w:r>
      </w:hyperlink>
      <w:r>
        <w:rPr>
          <w:rFonts w:ascii="Times New Roman" w:eastAsia="Times New Roman" w:hAnsi="Times New Roman" w:cs="Times New Roman"/>
          <w:sz w:val="24"/>
          <w:szCs w:val="24"/>
        </w:rPr>
        <w:t xml:space="preserve">. Furthermore, meal planning has been previously recommended as a possible method for enhancing dietary quality </w:t>
      </w:r>
      <w:hyperlink r:id="rId79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Virudachalam</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w:t>
      </w:r>
      <w:hyperlink r:id="rId793">
        <w:r>
          <w:rPr>
            <w:rFonts w:ascii="Times New Roman" w:eastAsia="Times New Roman" w:hAnsi="Times New Roman" w:cs="Times New Roman"/>
            <w:color w:val="000000"/>
            <w:sz w:val="24"/>
            <w:szCs w:val="24"/>
          </w:rPr>
          <w:t>Aubé and Marquis</w:t>
        </w:r>
        <w:r w:rsidR="003D2B8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2011)</w:t>
        </w:r>
      </w:hyperlink>
      <w:r>
        <w:rPr>
          <w:rFonts w:ascii="Times New Roman" w:eastAsia="Times New Roman" w:hAnsi="Times New Roman" w:cs="Times New Roman"/>
          <w:sz w:val="24"/>
          <w:szCs w:val="24"/>
        </w:rPr>
        <w:t xml:space="preserve">. Previous </w:t>
      </w:r>
      <w:r>
        <w:rPr>
          <w:rFonts w:ascii="Times New Roman" w:eastAsia="Times New Roman" w:hAnsi="Times New Roman" w:cs="Times New Roman"/>
          <w:sz w:val="24"/>
          <w:szCs w:val="24"/>
        </w:rPr>
        <w:lastRenderedPageBreak/>
        <w:t xml:space="preserve">studies have also shown that individuals who plan in advance what to cook for an evening meal are more willing to prepare homemade dishes </w:t>
      </w:r>
      <w:hyperlink r:id="rId79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Aubé</w:t>
        </w:r>
        <w:proofErr w:type="spellEnd"/>
        <w:r>
          <w:rPr>
            <w:rFonts w:ascii="Times New Roman" w:eastAsia="Times New Roman" w:hAnsi="Times New Roman" w:cs="Times New Roman"/>
            <w:color w:val="000000"/>
            <w:sz w:val="24"/>
            <w:szCs w:val="24"/>
          </w:rPr>
          <w:t xml:space="preserve"> and Marquis</w:t>
        </w:r>
        <w:r w:rsidR="003D2B8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2011)</w:t>
        </w:r>
      </w:hyperlink>
      <w:r>
        <w:rPr>
          <w:rFonts w:ascii="Times New Roman" w:eastAsia="Times New Roman" w:hAnsi="Times New Roman" w:cs="Times New Roman"/>
          <w:sz w:val="24"/>
          <w:szCs w:val="24"/>
        </w:rPr>
        <w:t xml:space="preserve">. The association between increased frequency of food preparation and improved diet quality </w:t>
      </w:r>
      <w:hyperlink r:id="rId795">
        <w:r>
          <w:rPr>
            <w:rFonts w:ascii="Times New Roman" w:eastAsia="Times New Roman" w:hAnsi="Times New Roman" w:cs="Times New Roman"/>
            <w:color w:val="000000"/>
            <w:sz w:val="24"/>
            <w:szCs w:val="24"/>
          </w:rPr>
          <w:t>(Larson et al., 2006; Laska et al., 2012)</w:t>
        </w:r>
      </w:hyperlink>
      <w:r>
        <w:rPr>
          <w:rFonts w:ascii="Times New Roman" w:eastAsia="Times New Roman" w:hAnsi="Times New Roman" w:cs="Times New Roman"/>
          <w:sz w:val="24"/>
          <w:szCs w:val="24"/>
        </w:rPr>
        <w:t xml:space="preserve">, may account for the healthier dietary habits reported in individuals who prepare their meals. Therefore, meal planning would be a helpful strategy to improve dietary quality in late eaters reported in Study 2 (Chapter 5). By deciding what foods they will eat in the coming days, people can increase their cooking variety and plan their shopping accordingly, which may help to explain the greater diversity of food choices observed in people who plan their meals </w:t>
      </w:r>
      <w:hyperlink r:id="rId79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Ducrot</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Indeed, previous studies have shown that self-monitoring strategies such as planning meals should be considered as an important tool for maintaining weight loss </w:t>
      </w:r>
      <w:hyperlink r:id="rId797">
        <w:r>
          <w:rPr>
            <w:rFonts w:ascii="Times New Roman" w:eastAsia="Times New Roman" w:hAnsi="Times New Roman" w:cs="Times New Roman"/>
            <w:color w:val="000000"/>
            <w:sz w:val="24"/>
            <w:szCs w:val="24"/>
          </w:rPr>
          <w:t>(Kruger et al., 2006; Milsom et al., 2011)</w:t>
        </w:r>
      </w:hyperlink>
      <w:r>
        <w:rPr>
          <w:rFonts w:ascii="Times New Roman" w:eastAsia="Times New Roman" w:hAnsi="Times New Roman" w:cs="Times New Roman"/>
          <w:sz w:val="24"/>
          <w:szCs w:val="24"/>
        </w:rPr>
        <w:t xml:space="preserve">. In addition, regular meal planning is one of the behavioural strategies to reduce vulnerability to food cues and cravings in cognitive behavioural therapy (CBT) </w:t>
      </w:r>
      <w:hyperlink r:id="rId798">
        <w:r>
          <w:rPr>
            <w:rFonts w:ascii="Times New Roman" w:eastAsia="Times New Roman" w:hAnsi="Times New Roman" w:cs="Times New Roman"/>
            <w:color w:val="000000"/>
            <w:sz w:val="24"/>
            <w:szCs w:val="24"/>
          </w:rPr>
          <w:t>(Brownell</w:t>
        </w:r>
        <w:r w:rsidR="003D2B8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2000)</w:t>
        </w:r>
      </w:hyperlink>
      <w:r>
        <w:rPr>
          <w:rFonts w:ascii="Times New Roman" w:eastAsia="Times New Roman" w:hAnsi="Times New Roman" w:cs="Times New Roman"/>
          <w:sz w:val="24"/>
          <w:szCs w:val="24"/>
        </w:rPr>
        <w:t xml:space="preserve">, which is effective in the treatment of a wide range of conditions </w:t>
      </w:r>
      <w:hyperlink r:id="rId799">
        <w:r>
          <w:rPr>
            <w:rFonts w:ascii="Times New Roman" w:eastAsia="Times New Roman" w:hAnsi="Times New Roman" w:cs="Times New Roman"/>
            <w:color w:val="000000"/>
            <w:sz w:val="24"/>
            <w:szCs w:val="24"/>
          </w:rPr>
          <w:t>(Hofmann et al., 2012)</w:t>
        </w:r>
      </w:hyperlink>
      <w:r>
        <w:rPr>
          <w:rFonts w:ascii="Times New Roman" w:eastAsia="Times New Roman" w:hAnsi="Times New Roman" w:cs="Times New Roman"/>
          <w:sz w:val="24"/>
          <w:szCs w:val="24"/>
        </w:rPr>
        <w:t xml:space="preserve">, such as eating disorders </w:t>
      </w:r>
      <w:hyperlink r:id="rId800">
        <w:r>
          <w:rPr>
            <w:rFonts w:ascii="Times New Roman" w:eastAsia="Times New Roman" w:hAnsi="Times New Roman" w:cs="Times New Roman"/>
            <w:color w:val="000000"/>
            <w:sz w:val="24"/>
            <w:szCs w:val="24"/>
          </w:rPr>
          <w:t>(Hay</w:t>
        </w:r>
        <w:r w:rsidR="003D2B8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2013)</w:t>
        </w:r>
      </w:hyperlink>
      <w:r>
        <w:rPr>
          <w:rFonts w:ascii="Times New Roman" w:eastAsia="Times New Roman" w:hAnsi="Times New Roman" w:cs="Times New Roman"/>
          <w:sz w:val="24"/>
          <w:szCs w:val="24"/>
        </w:rPr>
        <w:t xml:space="preserve"> and obesity </w:t>
      </w:r>
      <w:hyperlink r:id="rId801">
        <w:r>
          <w:rPr>
            <w:rFonts w:ascii="Times New Roman" w:eastAsia="Times New Roman" w:hAnsi="Times New Roman" w:cs="Times New Roman"/>
            <w:color w:val="000000"/>
            <w:sz w:val="24"/>
            <w:szCs w:val="24"/>
          </w:rPr>
          <w:t>(Cooper et al., 2010; Cooper et al., 2002)</w:t>
        </w:r>
      </w:hyperlink>
      <w:r>
        <w:rPr>
          <w:rFonts w:ascii="Times New Roman" w:eastAsia="Times New Roman" w:hAnsi="Times New Roman" w:cs="Times New Roman"/>
          <w:sz w:val="24"/>
          <w:szCs w:val="24"/>
        </w:rPr>
        <w:t>. Therefore, meal planning may also be a beneficial strategy in supporting the ability to control cravings in late eaters reported in Chapter 4.</w:t>
      </w:r>
    </w:p>
    <w:p w14:paraId="00000C2E" w14:textId="77777777" w:rsidR="00CB4215" w:rsidRDefault="00CB4215">
      <w:pPr>
        <w:spacing w:line="480" w:lineRule="auto"/>
        <w:rPr>
          <w:rFonts w:ascii="Times New Roman" w:eastAsia="Times New Roman" w:hAnsi="Times New Roman" w:cs="Times New Roman"/>
          <w:sz w:val="24"/>
          <w:szCs w:val="24"/>
        </w:rPr>
      </w:pPr>
    </w:p>
    <w:p w14:paraId="00000C2F" w14:textId="77777777" w:rsidR="00CB4215" w:rsidRDefault="000530B4">
      <w:pPr>
        <w:pStyle w:val="Heading3"/>
        <w:spacing w:line="480" w:lineRule="auto"/>
        <w:rPr>
          <w:rFonts w:ascii="Times New Roman" w:eastAsia="Times New Roman" w:hAnsi="Times New Roman" w:cs="Times New Roman"/>
          <w:b/>
          <w:color w:val="000000"/>
        </w:rPr>
      </w:pPr>
      <w:bookmarkStart w:id="126" w:name="_Toc172984830"/>
      <w:r>
        <w:rPr>
          <w:rFonts w:ascii="Times New Roman" w:eastAsia="Times New Roman" w:hAnsi="Times New Roman" w:cs="Times New Roman"/>
          <w:b/>
          <w:color w:val="000000"/>
        </w:rPr>
        <w:t>7.3 Novel contributions</w:t>
      </w:r>
      <w:bookmarkEnd w:id="126"/>
    </w:p>
    <w:p w14:paraId="00000C30"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offers several innovative contributions to the existing literature on meal timing. First, the current research explored the associations between meal timing and BMI (Chapter 4 and 5). There are mixed findings on whether late eating is associated with higher BMI. Specifically, some evidence has shown that eating meals later in the day is linked with an increased BMI and poorer weight loss outcomes (</w:t>
      </w:r>
      <w:proofErr w:type="spellStart"/>
      <w:r>
        <w:rPr>
          <w:rFonts w:ascii="Times New Roman" w:eastAsia="Times New Roman" w:hAnsi="Times New Roman" w:cs="Times New Roman"/>
          <w:sz w:val="24"/>
          <w:szCs w:val="24"/>
        </w:rPr>
        <w:t>Dashti</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Garaulet</w:t>
      </w:r>
      <w:proofErr w:type="spellEnd"/>
      <w:r>
        <w:rPr>
          <w:rFonts w:ascii="Times New Roman" w:eastAsia="Times New Roman" w:hAnsi="Times New Roman" w:cs="Times New Roman"/>
          <w:sz w:val="24"/>
          <w:szCs w:val="24"/>
        </w:rPr>
        <w:t xml:space="preserve"> et al., 2013, St-</w:t>
      </w:r>
      <w:r>
        <w:rPr>
          <w:rFonts w:ascii="Times New Roman" w:eastAsia="Times New Roman" w:hAnsi="Times New Roman" w:cs="Times New Roman"/>
          <w:sz w:val="24"/>
          <w:szCs w:val="24"/>
        </w:rPr>
        <w:lastRenderedPageBreak/>
        <w:t xml:space="preserve">Onge et al., 2019, Jacob et al., 2020, St-Onge et al., 2017, Fong et al., 2017, </w:t>
      </w:r>
      <w:proofErr w:type="spellStart"/>
      <w:r>
        <w:rPr>
          <w:rFonts w:ascii="Times New Roman" w:eastAsia="Times New Roman" w:hAnsi="Times New Roman" w:cs="Times New Roman"/>
          <w:sz w:val="24"/>
          <w:szCs w:val="24"/>
        </w:rPr>
        <w:t>Almoosawi</w:t>
      </w:r>
      <w:proofErr w:type="spellEnd"/>
      <w:r>
        <w:rPr>
          <w:rFonts w:ascii="Times New Roman" w:eastAsia="Times New Roman" w:hAnsi="Times New Roman" w:cs="Times New Roman"/>
          <w:sz w:val="24"/>
          <w:szCs w:val="24"/>
        </w:rPr>
        <w:t xml:space="preserve"> et al., 2016, Shaw et al., 2019, Ruddick‐Collins et al., 2020). However, some other studies found no relationship between late eating and increased BMI (Kant et al., 1997; </w:t>
      </w:r>
      <w:proofErr w:type="spellStart"/>
      <w:r>
        <w:rPr>
          <w:rFonts w:ascii="Times New Roman" w:eastAsia="Times New Roman" w:hAnsi="Times New Roman" w:cs="Times New Roman"/>
          <w:sz w:val="24"/>
          <w:szCs w:val="24"/>
        </w:rPr>
        <w:t>Mogensen</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Culnan</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Kutsuma</w:t>
      </w:r>
      <w:proofErr w:type="spellEnd"/>
      <w:r>
        <w:rPr>
          <w:rFonts w:ascii="Times New Roman" w:eastAsia="Times New Roman" w:hAnsi="Times New Roman" w:cs="Times New Roman"/>
          <w:sz w:val="24"/>
          <w:szCs w:val="24"/>
        </w:rPr>
        <w:t xml:space="preserve"> et al., 2014; </w:t>
      </w:r>
      <w:proofErr w:type="spellStart"/>
      <w:r>
        <w:rPr>
          <w:rFonts w:ascii="Times New Roman" w:eastAsia="Times New Roman" w:hAnsi="Times New Roman" w:cs="Times New Roman"/>
          <w:sz w:val="24"/>
          <w:szCs w:val="24"/>
        </w:rPr>
        <w:t>Kito</w:t>
      </w:r>
      <w:proofErr w:type="spellEnd"/>
      <w:r>
        <w:rPr>
          <w:rFonts w:ascii="Times New Roman" w:eastAsia="Times New Roman" w:hAnsi="Times New Roman" w:cs="Times New Roman"/>
          <w:sz w:val="24"/>
          <w:szCs w:val="24"/>
        </w:rPr>
        <w:t xml:space="preserve"> et al., 2019; Sandhu et al., 2017). Therefore, the relationship between meal timing and BMI should be further explored. Furthermore, no significant association between late eating and increased BMI was found in Study 1 (Chapter 4) and Study 2 (Chapter 5). These results suggest that the time of food intake may combine with other factors influencing BMI, such as meal composition. Therefore, further research is needed to investigate how meal composition might interact with meal timing to influence BMI.</w:t>
      </w:r>
    </w:p>
    <w:p w14:paraId="00000C31" w14:textId="77777777" w:rsidR="00CB4215" w:rsidRDefault="00CB4215">
      <w:pPr>
        <w:spacing w:line="480" w:lineRule="auto"/>
        <w:rPr>
          <w:rFonts w:ascii="Times New Roman" w:eastAsia="Times New Roman" w:hAnsi="Times New Roman" w:cs="Times New Roman"/>
          <w:sz w:val="24"/>
          <w:szCs w:val="24"/>
        </w:rPr>
      </w:pPr>
    </w:p>
    <w:p w14:paraId="00000C32"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this thesis explored the associations between meal timing, eating behaviour traits and health behaviours, and compared the differences between early versus late eaters (Chapter 4 and 5). There </w:t>
      </w:r>
      <w:proofErr w:type="gramStart"/>
      <w:r>
        <w:rPr>
          <w:rFonts w:ascii="Times New Roman" w:eastAsia="Times New Roman" w:hAnsi="Times New Roman" w:cs="Times New Roman"/>
          <w:sz w:val="24"/>
          <w:szCs w:val="24"/>
        </w:rPr>
        <w:t>still remains</w:t>
      </w:r>
      <w:proofErr w:type="gramEnd"/>
      <w:r>
        <w:rPr>
          <w:rFonts w:ascii="Times New Roman" w:eastAsia="Times New Roman" w:hAnsi="Times New Roman" w:cs="Times New Roman"/>
          <w:sz w:val="24"/>
          <w:szCs w:val="24"/>
        </w:rPr>
        <w:t xml:space="preserve"> uncertainty in the characteristics and behaviours of late eaters </w:t>
      </w:r>
      <w:hyperlink r:id="rId80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Dashti</w:t>
        </w:r>
        <w:proofErr w:type="spellEnd"/>
        <w:r>
          <w:rPr>
            <w:rFonts w:ascii="Times New Roman" w:eastAsia="Times New Roman" w:hAnsi="Times New Roman" w:cs="Times New Roman"/>
            <w:color w:val="000000"/>
            <w:sz w:val="24"/>
            <w:szCs w:val="24"/>
          </w:rPr>
          <w:t xml:space="preserve"> et al., 2021)</w:t>
        </w:r>
      </w:hyperlink>
      <w:r>
        <w:rPr>
          <w:rFonts w:ascii="Times New Roman" w:eastAsia="Times New Roman" w:hAnsi="Times New Roman" w:cs="Times New Roman"/>
          <w:sz w:val="24"/>
          <w:szCs w:val="24"/>
        </w:rPr>
        <w:t xml:space="preserve">. Specifically, results in Study 1 (Chapter 4) showed late eaters scored lower on craving control. In addition, late eating was significantly related to higher uncontrolled eating reported in Study 2 (Chapter 5). Other eating behaviour traits were not associated with late eating in Study 1 and Study 2. These findings extend an existing study by Jacob et al. (2023) showing an association between late eating and increased disinhibition. These results also suggest that late eating may increase the risk of overconsumption. Therefore, further research should be conducted to test the association between meal timing and BMI in the long term. </w:t>
      </w:r>
    </w:p>
    <w:p w14:paraId="00000C33" w14:textId="77777777" w:rsidR="00CB4215" w:rsidRDefault="00CB4215">
      <w:pPr>
        <w:spacing w:line="480" w:lineRule="auto"/>
        <w:rPr>
          <w:rFonts w:ascii="Times New Roman" w:eastAsia="Times New Roman" w:hAnsi="Times New Roman" w:cs="Times New Roman"/>
          <w:sz w:val="24"/>
          <w:szCs w:val="24"/>
        </w:rPr>
      </w:pPr>
    </w:p>
    <w:p w14:paraId="00000C34" w14:textId="2EA45FEE"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Thirdly, while research on the impact of meal timing on health is ongoing, there has been little focus on factors that influence late evening eating (de Cabo and Mattson</w:t>
      </w:r>
      <w:r w:rsidR="003D2B8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2019). The </w:t>
      </w:r>
      <w:r>
        <w:rPr>
          <w:rFonts w:ascii="Times New Roman" w:eastAsia="Times New Roman" w:hAnsi="Times New Roman" w:cs="Times New Roman"/>
          <w:sz w:val="24"/>
          <w:szCs w:val="24"/>
        </w:rPr>
        <w:lastRenderedPageBreak/>
        <w:t xml:space="preserve">qualitative study (Chapter 6) extends a previous qualitative study in pregnant women to a non-pregnant sample of adults with overweight and obesity. This study (Chapter 6) provides in-depth insights into the psychological, social, and environmental factors contributing to late evening eating. The findings highlight potential targets for future interventions to facilitate earlier eating times in individuals at risk of overweight and obesity. </w:t>
      </w:r>
    </w:p>
    <w:p w14:paraId="00000C35" w14:textId="77777777" w:rsidR="00CB4215" w:rsidRDefault="00CB4215">
      <w:pPr>
        <w:spacing w:line="480" w:lineRule="auto"/>
        <w:rPr>
          <w:rFonts w:ascii="Times New Roman" w:eastAsia="Times New Roman" w:hAnsi="Times New Roman" w:cs="Times New Roman"/>
          <w:sz w:val="24"/>
          <w:szCs w:val="24"/>
        </w:rPr>
      </w:pPr>
    </w:p>
    <w:p w14:paraId="00000C36" w14:textId="7300FBAF"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thesis has made novel contributions to the literature and has enhanced existing knowledge. However, there are several strengths and limitations that need to be further explored and that have not yet been addressed in the individual chapters. A notable strength of the thesis is the use of a variety of research methods and study designs, which enables the purpose of the thesis to be explored from different angles. Chapter 4 (study 1) used an online questionnaire to explore the associations between meal timing, BMI, eating behaviour traits and health behaviours.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increase the accuracy of self-reported measurement in Study 1 (Chapter 4), thus a 14-day pilot study to assess associations between late eating, BMI, eating behaviour traits, diet and objectively measured health behaviours (physical activity, sleep) was conducted (Chapter 5). The results from Study 1 and Study 2 suggest that late eating may be associated with increased susceptibility to overconsumption, such as lower scores on craving control. However, meal timing is influenced by various factors and there is limited research investigating the complex factors that influence late evening eating. Therefore, a qualitative method was used to understand the factors contributing to late evening eating and barriers and enablers to changing to earlier eating patterns in adults living with overweight and obesity (Chapter 6). The qualitative components of the evaluation provide a more in-depth understanding of the research questions by complementing the quantitative findings and offering additional insights </w:t>
      </w:r>
      <w:hyperlink r:id="rId803">
        <w:r>
          <w:rPr>
            <w:rFonts w:ascii="Times New Roman" w:eastAsia="Times New Roman" w:hAnsi="Times New Roman" w:cs="Times New Roman"/>
            <w:color w:val="000000"/>
            <w:sz w:val="24"/>
            <w:szCs w:val="24"/>
          </w:rPr>
          <w:t>(Creswell and Clark</w:t>
        </w:r>
        <w:r w:rsidR="003D2B8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w:t>
        </w:r>
      </w:hyperlink>
      <w:r>
        <w:rPr>
          <w:rFonts w:ascii="Times New Roman" w:eastAsia="Times New Roman" w:hAnsi="Times New Roman" w:cs="Times New Roman"/>
          <w:sz w:val="24"/>
          <w:szCs w:val="24"/>
        </w:rPr>
        <w:t xml:space="preserve">. </w:t>
      </w:r>
    </w:p>
    <w:p w14:paraId="1FEF425C" w14:textId="77777777" w:rsidR="005821A8" w:rsidRDefault="005821A8">
      <w:pPr>
        <w:spacing w:line="480" w:lineRule="auto"/>
        <w:rPr>
          <w:rFonts w:ascii="Times New Roman" w:eastAsia="Times New Roman" w:hAnsi="Times New Roman" w:cs="Times New Roman"/>
          <w:sz w:val="24"/>
          <w:szCs w:val="24"/>
        </w:rPr>
      </w:pPr>
    </w:p>
    <w:p w14:paraId="00000C38" w14:textId="60E8F2A6" w:rsidR="00CB4215" w:rsidRDefault="000530B4">
      <w:pPr>
        <w:pStyle w:val="Heading3"/>
        <w:spacing w:line="480" w:lineRule="auto"/>
        <w:rPr>
          <w:rFonts w:ascii="Times New Roman" w:eastAsia="Times New Roman" w:hAnsi="Times New Roman" w:cs="Times New Roman"/>
          <w:b/>
          <w:color w:val="000000"/>
        </w:rPr>
      </w:pPr>
      <w:bookmarkStart w:id="127" w:name="_Toc172984831"/>
      <w:r>
        <w:rPr>
          <w:rFonts w:ascii="Times New Roman" w:eastAsia="Times New Roman" w:hAnsi="Times New Roman" w:cs="Times New Roman"/>
          <w:b/>
          <w:color w:val="000000"/>
        </w:rPr>
        <w:lastRenderedPageBreak/>
        <w:t>7.4 Implications</w:t>
      </w:r>
      <w:bookmarkEnd w:id="127"/>
    </w:p>
    <w:p w14:paraId="00000C39" w14:textId="30B87ACE"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this thesis have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research implications. The timing of food intake is increasingly </w:t>
      </w:r>
      <w:proofErr w:type="gramStart"/>
      <w:r>
        <w:rPr>
          <w:rFonts w:ascii="Times New Roman" w:eastAsia="Times New Roman" w:hAnsi="Times New Roman" w:cs="Times New Roman"/>
          <w:sz w:val="24"/>
          <w:szCs w:val="24"/>
        </w:rPr>
        <w:t>being seen as</w:t>
      </w:r>
      <w:proofErr w:type="gramEnd"/>
      <w:r>
        <w:rPr>
          <w:rFonts w:ascii="Times New Roman" w:eastAsia="Times New Roman" w:hAnsi="Times New Roman" w:cs="Times New Roman"/>
          <w:sz w:val="24"/>
          <w:szCs w:val="24"/>
        </w:rPr>
        <w:t xml:space="preserve"> a predictor of overall health and a potentially relevant risk factor for obesity. However, there are mixed findings on the relationship between late eating and BMI. Results in Study 1 (Chapter 4) and Study 2 (Chapter 5) found that late eating was not associated with increased </w:t>
      </w:r>
      <w:r w:rsidR="002C2D40">
        <w:rPr>
          <w:rFonts w:ascii="Times New Roman" w:eastAsia="Times New Roman" w:hAnsi="Times New Roman" w:cs="Times New Roman"/>
          <w:sz w:val="24"/>
          <w:szCs w:val="24"/>
        </w:rPr>
        <w:t>BMI but</w:t>
      </w:r>
      <w:r>
        <w:rPr>
          <w:rFonts w:ascii="Times New Roman" w:eastAsia="Times New Roman" w:hAnsi="Times New Roman" w:cs="Times New Roman"/>
          <w:sz w:val="24"/>
          <w:szCs w:val="24"/>
        </w:rPr>
        <w:t xml:space="preserve"> associated with higher scores on uncontrolled eating (Chapter 5). Furthermore, late eaters reported lower scores on craving control than early eaters (Chapter 4). The findings suggest that late eating could increase the risk of overconsumption. Therefore, further longitudinal studies could be encouraged to assess the long-term effects of meal timing on BMI. In terms of craving control, a meta-analysis of 69 laboratory-based studies has demonstrated that using strategies such as visualising food stimuli and engaging in inhibitory control training effectively reduces cravings and therefore decreases the amount of food consumed (</w:t>
      </w:r>
      <w:proofErr w:type="spellStart"/>
      <w:r>
        <w:rPr>
          <w:rFonts w:ascii="Times New Roman" w:eastAsia="Times New Roman" w:hAnsi="Times New Roman" w:cs="Times New Roman"/>
          <w:sz w:val="24"/>
          <w:szCs w:val="24"/>
        </w:rPr>
        <w:t>Wolz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Nannt</w:t>
      </w:r>
      <w:proofErr w:type="spellEnd"/>
      <w:r>
        <w:rPr>
          <w:rFonts w:ascii="Times New Roman" w:eastAsia="Times New Roman" w:hAnsi="Times New Roman" w:cs="Times New Roman"/>
          <w:sz w:val="24"/>
          <w:szCs w:val="24"/>
        </w:rPr>
        <w:t xml:space="preserve">, </w:t>
      </w:r>
      <w:r w:rsidR="00A46772">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Svaldi</w:t>
      </w:r>
      <w:proofErr w:type="spellEnd"/>
      <w:r>
        <w:rPr>
          <w:rFonts w:ascii="Times New Roman" w:eastAsia="Times New Roman" w:hAnsi="Times New Roman" w:cs="Times New Roman"/>
          <w:sz w:val="24"/>
          <w:szCs w:val="24"/>
        </w:rPr>
        <w:t>, 2020). Future research ought to focus on testing the efficacy of these measures in reducing evening cravings.</w:t>
      </w:r>
    </w:p>
    <w:p w14:paraId="00000C3A" w14:textId="77777777" w:rsidR="00CB4215" w:rsidRDefault="00CB4215">
      <w:pPr>
        <w:spacing w:line="480" w:lineRule="auto"/>
        <w:rPr>
          <w:rFonts w:ascii="Times New Roman" w:eastAsia="Times New Roman" w:hAnsi="Times New Roman" w:cs="Times New Roman"/>
          <w:sz w:val="24"/>
          <w:szCs w:val="24"/>
        </w:rPr>
      </w:pPr>
    </w:p>
    <w:p w14:paraId="00000C3B"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thesis also has several practical implications. The qualitative study extended a previous study exploring reasons for late evening eating in pregnant women to non-pregnant adults with obesity (Chapter 6). The findings suggest some practical strategies to encourage eating at earlier times in adults with overweight and obesity. There are several barriers to changing late evening eating and the repeatedly highlighted time constraint (See details in Chapter 6). Meal planning has been suggested as a solution to balance time demands and meal preparation </w:t>
      </w:r>
      <w:hyperlink r:id="rId80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Virudachalam</w:t>
        </w:r>
        <w:proofErr w:type="spellEnd"/>
        <w:r>
          <w:rPr>
            <w:rFonts w:ascii="Times New Roman" w:eastAsia="Times New Roman" w:hAnsi="Times New Roman" w:cs="Times New Roman"/>
            <w:color w:val="000000"/>
            <w:sz w:val="24"/>
            <w:szCs w:val="24"/>
          </w:rPr>
          <w:t xml:space="preserve"> et al., 2016)</w:t>
        </w:r>
      </w:hyperlink>
      <w:r>
        <w:rPr>
          <w:rFonts w:ascii="Times New Roman" w:eastAsia="Times New Roman" w:hAnsi="Times New Roman" w:cs="Times New Roman"/>
          <w:sz w:val="24"/>
          <w:szCs w:val="24"/>
        </w:rPr>
        <w:t xml:space="preserve">. Specifically, participants in the qualitative study also suggested that there should be practical strategies to offset time scarcity, such as the use of a slower cooker or air fryer, and batch cooking. Therefore, it will be beneficial for future research to explore more strategies to address time constraints and support meal planning and </w:t>
      </w:r>
      <w:r>
        <w:rPr>
          <w:rFonts w:ascii="Times New Roman" w:eastAsia="Times New Roman" w:hAnsi="Times New Roman" w:cs="Times New Roman"/>
          <w:sz w:val="24"/>
          <w:szCs w:val="24"/>
        </w:rPr>
        <w:lastRenderedPageBreak/>
        <w:t>preparation. On a large scale, raising awareness of the potential benefits of early evening eating might be helpful in changing late evening eating. Developing self-help resources and public engagement about meal timing and its relationships with body weight and health issues might offer a cost-effective and accessible method for the general community.</w:t>
      </w:r>
    </w:p>
    <w:p w14:paraId="00000C3C" w14:textId="77777777" w:rsidR="00CB4215" w:rsidRDefault="00CB4215">
      <w:pPr>
        <w:spacing w:line="480" w:lineRule="auto"/>
        <w:rPr>
          <w:rFonts w:ascii="Times New Roman" w:eastAsia="Times New Roman" w:hAnsi="Times New Roman" w:cs="Times New Roman"/>
          <w:sz w:val="24"/>
          <w:szCs w:val="24"/>
        </w:rPr>
      </w:pPr>
    </w:p>
    <w:p w14:paraId="00000C3D" w14:textId="1B77109E"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also has real-world implications. There is a growing population in the UK that is seeking assistance for obesity and related conditions, and the government is keen to support strategies that promote weight loss and healthy eating</w:t>
      </w:r>
      <w:r w:rsidR="002F3B56">
        <w:rPr>
          <w:rFonts w:ascii="Times New Roman" w:eastAsia="Times New Roman" w:hAnsi="Times New Roman" w:cs="Times New Roman"/>
          <w:sz w:val="24"/>
          <w:szCs w:val="24"/>
        </w:rPr>
        <w:t xml:space="preserve"> (</w:t>
      </w:r>
      <w:r w:rsidR="002F3B56" w:rsidRPr="002F3B56">
        <w:rPr>
          <w:rFonts w:ascii="Times New Roman" w:eastAsia="Times New Roman" w:hAnsi="Times New Roman" w:cs="Times New Roman"/>
          <w:sz w:val="24"/>
          <w:szCs w:val="24"/>
        </w:rPr>
        <w:t>UK Government,</w:t>
      </w:r>
      <w:r w:rsidR="002F3B56">
        <w:rPr>
          <w:rFonts w:ascii="Times New Roman" w:eastAsia="Times New Roman" w:hAnsi="Times New Roman" w:cs="Times New Roman"/>
          <w:sz w:val="24"/>
          <w:szCs w:val="24"/>
        </w:rPr>
        <w:t xml:space="preserve"> </w:t>
      </w:r>
      <w:r w:rsidR="002F3B56" w:rsidRPr="002F3B56">
        <w:rPr>
          <w:rFonts w:ascii="Times New Roman" w:eastAsia="Times New Roman" w:hAnsi="Times New Roman" w:cs="Times New Roman"/>
          <w:sz w:val="24"/>
          <w:szCs w:val="24"/>
        </w:rPr>
        <w:t>20</w:t>
      </w:r>
      <w:r w:rsidR="002F3B56">
        <w:rPr>
          <w:rFonts w:ascii="Times New Roman" w:eastAsia="Times New Roman" w:hAnsi="Times New Roman" w:cs="Times New Roman"/>
          <w:sz w:val="24"/>
          <w:szCs w:val="24"/>
        </w:rPr>
        <w:t>21)</w:t>
      </w:r>
      <w:r>
        <w:rPr>
          <w:rFonts w:ascii="Times New Roman" w:eastAsia="Times New Roman" w:hAnsi="Times New Roman" w:cs="Times New Roman"/>
          <w:sz w:val="24"/>
          <w:szCs w:val="24"/>
        </w:rPr>
        <w:t>. There is currently a lack of specific guidance on the appropriate time for people to consume food. This may be due to the conflicting research currently available and the questionable reliability of self-reported data. The results of the current thesis suggest that late eating may be a risk factor for overconsumption. Although there are well-defined national guidelines for recommended daily energy intake for adults, such as the Eatwell Guide</w:t>
      </w:r>
      <w:r w:rsidR="002F3B56">
        <w:rPr>
          <w:rFonts w:ascii="Times New Roman" w:eastAsia="Times New Roman" w:hAnsi="Times New Roman" w:cs="Times New Roman"/>
          <w:sz w:val="24"/>
          <w:szCs w:val="24"/>
        </w:rPr>
        <w:t xml:space="preserve"> (NHS, 2022)</w:t>
      </w:r>
      <w:r>
        <w:rPr>
          <w:rFonts w:ascii="Times New Roman" w:eastAsia="Times New Roman" w:hAnsi="Times New Roman" w:cs="Times New Roman"/>
          <w:sz w:val="24"/>
          <w:szCs w:val="24"/>
        </w:rPr>
        <w:t xml:space="preserve">, there is a lack of specific guidance on how energy should be distributed throughout the day. </w:t>
      </w:r>
      <w:r w:rsidR="00C20383" w:rsidRPr="00C20383">
        <w:rPr>
          <w:rFonts w:ascii="Times New Roman" w:eastAsia="Times New Roman" w:hAnsi="Times New Roman" w:cs="Times New Roman"/>
          <w:sz w:val="24"/>
          <w:szCs w:val="24"/>
        </w:rPr>
        <w:t xml:space="preserve">Therefore, it will be helpful in the future to provide guidance on meal timing as part of weight management programmes. </w:t>
      </w:r>
      <w:r>
        <w:rPr>
          <w:rFonts w:ascii="Times New Roman" w:eastAsia="Times New Roman" w:hAnsi="Times New Roman" w:cs="Times New Roman"/>
          <w:sz w:val="24"/>
          <w:szCs w:val="24"/>
        </w:rPr>
        <w:t>Developing meal timing guidelines can promote healthy lifestyles by increasing knowledge about the benefits of eating early throughout the day and providing practical tools such as meal planning.</w:t>
      </w:r>
      <w:r w:rsidR="00C20383">
        <w:rPr>
          <w:rFonts w:ascii="Times New Roman" w:eastAsia="Times New Roman" w:hAnsi="Times New Roman" w:cs="Times New Roman"/>
          <w:sz w:val="24"/>
          <w:szCs w:val="24"/>
        </w:rPr>
        <w:t xml:space="preserve"> </w:t>
      </w:r>
      <w:r w:rsidR="00C20383" w:rsidRPr="00C20383">
        <w:rPr>
          <w:rFonts w:ascii="Times New Roman" w:eastAsia="Times New Roman" w:hAnsi="Times New Roman" w:cs="Times New Roman"/>
          <w:sz w:val="24"/>
          <w:szCs w:val="24"/>
        </w:rPr>
        <w:t xml:space="preserve">Practical strategies to address the barriers to changing late evening eating reported in Chapter 6 </w:t>
      </w:r>
      <w:r w:rsidR="00C20383">
        <w:rPr>
          <w:rFonts w:ascii="Times New Roman" w:eastAsia="Times New Roman" w:hAnsi="Times New Roman" w:cs="Times New Roman"/>
          <w:sz w:val="24"/>
          <w:szCs w:val="24"/>
        </w:rPr>
        <w:t xml:space="preserve">also </w:t>
      </w:r>
      <w:r w:rsidR="00C20383" w:rsidRPr="00C20383">
        <w:rPr>
          <w:rFonts w:ascii="Times New Roman" w:eastAsia="Times New Roman" w:hAnsi="Times New Roman" w:cs="Times New Roman"/>
          <w:sz w:val="24"/>
          <w:szCs w:val="24"/>
        </w:rPr>
        <w:t>provide recommendations on the types of interventions that are suggested by health care providers, industry or weight management programmes.</w:t>
      </w:r>
      <w:r>
        <w:rPr>
          <w:rFonts w:ascii="Times New Roman" w:eastAsia="Times New Roman" w:hAnsi="Times New Roman" w:cs="Times New Roman"/>
          <w:sz w:val="24"/>
          <w:szCs w:val="24"/>
        </w:rPr>
        <w:t xml:space="preserve"> </w:t>
      </w:r>
    </w:p>
    <w:p w14:paraId="00000C3E" w14:textId="77777777" w:rsidR="00CB4215" w:rsidRDefault="00CB4215">
      <w:pPr>
        <w:spacing w:line="480" w:lineRule="auto"/>
        <w:rPr>
          <w:rFonts w:ascii="Times New Roman" w:eastAsia="Times New Roman" w:hAnsi="Times New Roman" w:cs="Times New Roman"/>
          <w:sz w:val="24"/>
          <w:szCs w:val="24"/>
        </w:rPr>
      </w:pPr>
    </w:p>
    <w:p w14:paraId="00000C3F" w14:textId="77777777" w:rsidR="00CB4215" w:rsidRDefault="000530B4">
      <w:pPr>
        <w:pStyle w:val="Heading3"/>
        <w:spacing w:line="480" w:lineRule="auto"/>
        <w:rPr>
          <w:rFonts w:ascii="Times New Roman" w:eastAsia="Times New Roman" w:hAnsi="Times New Roman" w:cs="Times New Roman"/>
          <w:b/>
          <w:color w:val="000000"/>
        </w:rPr>
      </w:pPr>
      <w:bookmarkStart w:id="128" w:name="_Toc172984832"/>
      <w:r>
        <w:rPr>
          <w:rFonts w:ascii="Times New Roman" w:eastAsia="Times New Roman" w:hAnsi="Times New Roman" w:cs="Times New Roman"/>
          <w:b/>
          <w:color w:val="000000"/>
        </w:rPr>
        <w:lastRenderedPageBreak/>
        <w:t>7.5 Limitations and Future Direction</w:t>
      </w:r>
      <w:bookmarkEnd w:id="128"/>
    </w:p>
    <w:p w14:paraId="00000C40"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7.5.1 Thesis limitations</w:t>
      </w:r>
    </w:p>
    <w:p w14:paraId="788539B1" w14:textId="77777777" w:rsidR="00A46772"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research conducted in this thesis offers an important contribution to enhancing the understanding of meal timing, some limitations must be taken into consideration. Firstly, studies presented in this thesis used self-reported questionnaires to assess meal timing and validity and reliability were not assessed. Nevertheless, the assessment of eating behaviour by self-report questionnaires remains a persistent challenge in the field of nutritional research </w:t>
      </w:r>
      <w:hyperlink r:id="rId805">
        <w:r>
          <w:rPr>
            <w:rFonts w:ascii="Times New Roman" w:eastAsia="Times New Roman" w:hAnsi="Times New Roman" w:cs="Times New Roman"/>
            <w:color w:val="000000"/>
            <w:sz w:val="24"/>
            <w:szCs w:val="24"/>
          </w:rPr>
          <w:t>(Beechy et al., 2012)</w:t>
        </w:r>
      </w:hyperlink>
      <w:r>
        <w:rPr>
          <w:rFonts w:ascii="Times New Roman" w:eastAsia="Times New Roman" w:hAnsi="Times New Roman" w:cs="Times New Roman"/>
          <w:sz w:val="24"/>
          <w:szCs w:val="24"/>
        </w:rPr>
        <w:t xml:space="preserve">. While individuals are prone to inaccuracies in reporting their dietary intake and patterns </w:t>
      </w:r>
      <w:hyperlink r:id="rId80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Macdiarmid</w:t>
        </w:r>
        <w:proofErr w:type="spellEnd"/>
        <w:r>
          <w:rPr>
            <w:rFonts w:ascii="Times New Roman" w:eastAsia="Times New Roman" w:hAnsi="Times New Roman" w:cs="Times New Roman"/>
            <w:color w:val="000000"/>
            <w:sz w:val="24"/>
            <w:szCs w:val="24"/>
          </w:rPr>
          <w:t xml:space="preserve"> and Blundell</w:t>
        </w:r>
        <w:r w:rsidR="00A467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1998; Berg et al., 2009)</w:t>
        </w:r>
      </w:hyperlink>
      <w:r>
        <w:rPr>
          <w:rFonts w:ascii="Times New Roman" w:eastAsia="Times New Roman" w:hAnsi="Times New Roman" w:cs="Times New Roman"/>
          <w:sz w:val="24"/>
          <w:szCs w:val="24"/>
        </w:rPr>
        <w:t xml:space="preserve">, studies have shown that MyFood24 is no worse than other similar tools </w:t>
      </w:r>
      <w:hyperlink r:id="rId807">
        <w:r>
          <w:rPr>
            <w:rFonts w:ascii="Times New Roman" w:eastAsia="Times New Roman" w:hAnsi="Times New Roman" w:cs="Times New Roman"/>
            <w:color w:val="000000"/>
            <w:sz w:val="24"/>
            <w:szCs w:val="24"/>
          </w:rPr>
          <w:t>(Wark et al., 2018)</w:t>
        </w:r>
      </w:hyperlink>
      <w:r>
        <w:rPr>
          <w:rFonts w:ascii="Times New Roman" w:eastAsia="Times New Roman" w:hAnsi="Times New Roman" w:cs="Times New Roman"/>
          <w:sz w:val="24"/>
          <w:szCs w:val="24"/>
        </w:rPr>
        <w:t xml:space="preserve">. Objective data collecting has both benefits and drawbacks when compared to self-reported measures </w:t>
      </w:r>
      <w:hyperlink r:id="rId808">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Jahedi</w:t>
        </w:r>
        <w:proofErr w:type="spellEnd"/>
        <w:r>
          <w:rPr>
            <w:rFonts w:ascii="Times New Roman" w:eastAsia="Times New Roman" w:hAnsi="Times New Roman" w:cs="Times New Roman"/>
            <w:color w:val="000000"/>
            <w:sz w:val="24"/>
            <w:szCs w:val="24"/>
          </w:rPr>
          <w:t xml:space="preserve"> and Méndez</w:t>
        </w:r>
        <w:r w:rsidR="00A467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2014)</w:t>
        </w:r>
      </w:hyperlink>
      <w:r>
        <w:rPr>
          <w:rFonts w:ascii="Times New Roman" w:eastAsia="Times New Roman" w:hAnsi="Times New Roman" w:cs="Times New Roman"/>
          <w:sz w:val="24"/>
          <w:szCs w:val="24"/>
        </w:rPr>
        <w:t>. While it has been shown objective data collection enhances data accuracy, it also results in higher expenses, as well as administrative and ethical challenges, and can impose a heavier burden on participants</w:t>
      </w:r>
      <w:r w:rsidR="00A46772">
        <w:rPr>
          <w:rFonts w:ascii="Times New Roman" w:eastAsia="Times New Roman" w:hAnsi="Times New Roman" w:cs="Times New Roman"/>
          <w:sz w:val="24"/>
          <w:szCs w:val="24"/>
        </w:rPr>
        <w:t xml:space="preserve"> </w:t>
      </w:r>
      <w:hyperlink r:id="rId809">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Illner</w:t>
        </w:r>
        <w:proofErr w:type="spellEnd"/>
        <w:r>
          <w:rPr>
            <w:rFonts w:ascii="Times New Roman" w:eastAsia="Times New Roman" w:hAnsi="Times New Roman" w:cs="Times New Roman"/>
            <w:color w:val="000000"/>
            <w:sz w:val="24"/>
            <w:szCs w:val="24"/>
          </w:rPr>
          <w:t xml:space="preserve"> et al., 2012)</w:t>
        </w:r>
      </w:hyperlink>
      <w:r>
        <w:rPr>
          <w:rFonts w:ascii="Times New Roman" w:eastAsia="Times New Roman" w:hAnsi="Times New Roman" w:cs="Times New Roman"/>
          <w:sz w:val="24"/>
          <w:szCs w:val="24"/>
        </w:rPr>
        <w:t xml:space="preserve">. </w:t>
      </w:r>
    </w:p>
    <w:p w14:paraId="55E11A22" w14:textId="77777777" w:rsidR="00A46772" w:rsidRDefault="00A46772">
      <w:pPr>
        <w:spacing w:line="480" w:lineRule="auto"/>
        <w:rPr>
          <w:rFonts w:ascii="Times New Roman" w:eastAsia="Times New Roman" w:hAnsi="Times New Roman" w:cs="Times New Roman"/>
          <w:sz w:val="24"/>
          <w:szCs w:val="24"/>
        </w:rPr>
      </w:pPr>
    </w:p>
    <w:p w14:paraId="20B083BD" w14:textId="77777777" w:rsidR="00A46772" w:rsidRDefault="000530B4">
      <w:pPr>
        <w:spacing w:line="480" w:lineRule="auto"/>
        <w:rPr>
          <w:rFonts w:ascii="Times New Roman" w:eastAsia="Times New Roman" w:hAnsi="Times New Roman" w:cs="Times New Roman"/>
          <w:sz w:val="24"/>
          <w:szCs w:val="24"/>
        </w:rPr>
      </w:pPr>
      <w:r w:rsidRPr="00D03B56">
        <w:rPr>
          <w:rFonts w:ascii="Times New Roman" w:eastAsia="Times New Roman" w:hAnsi="Times New Roman" w:cs="Times New Roman"/>
          <w:sz w:val="24"/>
          <w:szCs w:val="24"/>
        </w:rPr>
        <w:t>Secondly, chronotype was not assessed in studies. It has been shown that later chronotypes consume twice as many calories after 8 PM and have lower levels of physical activity than early chronotypes</w:t>
      </w:r>
      <w:r>
        <w:rPr>
          <w:rFonts w:ascii="Times New Roman" w:eastAsia="Times New Roman" w:hAnsi="Times New Roman" w:cs="Times New Roman"/>
          <w:sz w:val="24"/>
          <w:szCs w:val="24"/>
        </w:rPr>
        <w:t xml:space="preserve"> </w:t>
      </w:r>
      <w:hyperlink r:id="rId810">
        <w:r>
          <w:rPr>
            <w:rFonts w:ascii="Times New Roman" w:eastAsia="Times New Roman" w:hAnsi="Times New Roman" w:cs="Times New Roman"/>
            <w:color w:val="000000"/>
            <w:sz w:val="24"/>
            <w:szCs w:val="24"/>
          </w:rPr>
          <w:t xml:space="preserve">(Lucassen et al., 2013; </w:t>
        </w:r>
        <w:proofErr w:type="spellStart"/>
        <w:r>
          <w:rPr>
            <w:rFonts w:ascii="Times New Roman" w:eastAsia="Times New Roman" w:hAnsi="Times New Roman" w:cs="Times New Roman"/>
            <w:color w:val="000000"/>
            <w:sz w:val="24"/>
            <w:szCs w:val="24"/>
          </w:rPr>
          <w:t>Sempere</w:t>
        </w:r>
        <w:proofErr w:type="spellEnd"/>
        <w:r>
          <w:rPr>
            <w:rFonts w:ascii="Times New Roman" w:eastAsia="Times New Roman" w:hAnsi="Times New Roman" w:cs="Times New Roman"/>
            <w:color w:val="000000"/>
            <w:sz w:val="24"/>
            <w:szCs w:val="24"/>
          </w:rPr>
          <w:t>-Rubio et al., 2022)</w:t>
        </w:r>
      </w:hyperlink>
      <w:r>
        <w:rPr>
          <w:rFonts w:ascii="Times New Roman" w:eastAsia="Times New Roman" w:hAnsi="Times New Roman" w:cs="Times New Roman"/>
          <w:sz w:val="24"/>
          <w:szCs w:val="24"/>
        </w:rPr>
        <w:t xml:space="preserve">. Therefore, it is important to evaluate the timing of food intake alongside the evaluation of when the biological night starts. Research has also shown that circadian misalignment, rather than clock time, is associated with changes in body composition, including increases in BMI and body fat </w:t>
      </w:r>
      <w:hyperlink r:id="rId811">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McHill</w:t>
        </w:r>
        <w:proofErr w:type="spellEnd"/>
        <w:r>
          <w:rPr>
            <w:rFonts w:ascii="Times New Roman" w:eastAsia="Times New Roman" w:hAnsi="Times New Roman" w:cs="Times New Roman"/>
            <w:color w:val="000000"/>
            <w:sz w:val="24"/>
            <w:szCs w:val="24"/>
          </w:rPr>
          <w:t xml:space="preserve"> et al., 2017)</w:t>
        </w:r>
      </w:hyperlink>
      <w:r>
        <w:rPr>
          <w:rFonts w:ascii="Times New Roman" w:eastAsia="Times New Roman" w:hAnsi="Times New Roman" w:cs="Times New Roman"/>
          <w:sz w:val="24"/>
          <w:szCs w:val="24"/>
        </w:rPr>
        <w:t xml:space="preserve">. Future research could incorporate chronotype assessments to provide a more comprehensive analysis of the factors, including behavioural lifestyle factors that influence late evening eating. </w:t>
      </w:r>
    </w:p>
    <w:p w14:paraId="4BAED0E8" w14:textId="77777777" w:rsidR="00A46772"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Another issue with ecological validity is that the studies in this review did not examine the long-term influence of late eating on BMI. Although no significant associations were found between late eating and higher BMI, some eating behaviour traits associated with overconsumption differed between early and late evening eaters. It might be the case that individuals express these traits and then develop overweight and obesity in the long term.  Also, the studies in this thesis were observational studies, the causal nature of the relationships were not tested. Therefore, further experimental or longitudinal research is required to better understand the causal relationships between late eating and eating behaviour traits. </w:t>
      </w:r>
    </w:p>
    <w:p w14:paraId="3ABCB4C0" w14:textId="77777777" w:rsidR="00A46772" w:rsidRDefault="00A46772">
      <w:pPr>
        <w:spacing w:line="480" w:lineRule="auto"/>
        <w:rPr>
          <w:rFonts w:ascii="Times New Roman" w:eastAsia="Times New Roman" w:hAnsi="Times New Roman" w:cs="Times New Roman"/>
          <w:sz w:val="24"/>
          <w:szCs w:val="24"/>
        </w:rPr>
      </w:pPr>
    </w:p>
    <w:p w14:paraId="00000C41" w14:textId="746EFFC4"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most of the samples were well-educated and white and reported relatively high household incomes. As such, the findings may not generalise to other individuals from other ethnicities and lower socioeconomic backgrounds. This is particularly important given the social gradient in obesity with the highest obesity rates amongst those from the most deprived areas (Brehm and </w:t>
      </w:r>
      <w:proofErr w:type="spellStart"/>
      <w:r>
        <w:rPr>
          <w:rFonts w:ascii="Times New Roman" w:eastAsia="Times New Roman" w:hAnsi="Times New Roman" w:cs="Times New Roman"/>
          <w:sz w:val="24"/>
          <w:szCs w:val="24"/>
        </w:rPr>
        <w:t>D’Alessio</w:t>
      </w:r>
      <w:proofErr w:type="spellEnd"/>
      <w:r w:rsidR="00A467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2000). In addition, individuals with higher socioeconomic status are more likely to have healthier food habits, such as more fruits and vegetables </w:t>
      </w:r>
      <w:hyperlink r:id="rId812">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Giskes</w:t>
        </w:r>
        <w:proofErr w:type="spellEnd"/>
        <w:r>
          <w:rPr>
            <w:rFonts w:ascii="Times New Roman" w:eastAsia="Times New Roman" w:hAnsi="Times New Roman" w:cs="Times New Roman"/>
            <w:color w:val="000000"/>
            <w:sz w:val="24"/>
            <w:szCs w:val="24"/>
          </w:rPr>
          <w:t xml:space="preserve"> et al., 2002; </w:t>
        </w:r>
        <w:proofErr w:type="spellStart"/>
        <w:r>
          <w:rPr>
            <w:rFonts w:ascii="Times New Roman" w:eastAsia="Times New Roman" w:hAnsi="Times New Roman" w:cs="Times New Roman"/>
            <w:color w:val="000000"/>
            <w:sz w:val="24"/>
            <w:szCs w:val="24"/>
          </w:rPr>
          <w:t>Irala-Estévez</w:t>
        </w:r>
        <w:proofErr w:type="spellEnd"/>
        <w:r>
          <w:rPr>
            <w:rFonts w:ascii="Times New Roman" w:eastAsia="Times New Roman" w:hAnsi="Times New Roman" w:cs="Times New Roman"/>
            <w:color w:val="000000"/>
            <w:sz w:val="24"/>
            <w:szCs w:val="24"/>
          </w:rPr>
          <w:t xml:space="preserve"> et al., 2000)</w:t>
        </w:r>
      </w:hyperlink>
      <w:r>
        <w:rPr>
          <w:rFonts w:ascii="Times New Roman" w:eastAsia="Times New Roman" w:hAnsi="Times New Roman" w:cs="Times New Roman"/>
          <w:sz w:val="24"/>
          <w:szCs w:val="24"/>
        </w:rPr>
        <w:t xml:space="preserve">, less added fat </w:t>
      </w:r>
      <w:hyperlink r:id="rId813">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Linseisen</w:t>
        </w:r>
        <w:proofErr w:type="spellEnd"/>
        <w:r>
          <w:rPr>
            <w:rFonts w:ascii="Times New Roman" w:eastAsia="Times New Roman" w:hAnsi="Times New Roman" w:cs="Times New Roman"/>
            <w:color w:val="000000"/>
            <w:sz w:val="24"/>
            <w:szCs w:val="24"/>
          </w:rPr>
          <w:t xml:space="preserve"> et al., 2002)</w:t>
        </w:r>
      </w:hyperlink>
      <w:r>
        <w:rPr>
          <w:rFonts w:ascii="Times New Roman" w:eastAsia="Times New Roman" w:hAnsi="Times New Roman" w:cs="Times New Roman"/>
          <w:sz w:val="24"/>
          <w:szCs w:val="24"/>
        </w:rPr>
        <w:t xml:space="preserve"> and more whole-grain food </w:t>
      </w:r>
      <w:hyperlink r:id="rId814">
        <w:r>
          <w:rPr>
            <w:rFonts w:ascii="Times New Roman" w:eastAsia="Times New Roman" w:hAnsi="Times New Roman" w:cs="Times New Roman"/>
            <w:color w:val="000000"/>
            <w:sz w:val="24"/>
            <w:szCs w:val="24"/>
          </w:rPr>
          <w:t>(Lang et al., 2003)</w:t>
        </w:r>
      </w:hyperlink>
      <w:r>
        <w:rPr>
          <w:rFonts w:ascii="Times New Roman" w:eastAsia="Times New Roman" w:hAnsi="Times New Roman" w:cs="Times New Roman"/>
          <w:sz w:val="24"/>
          <w:szCs w:val="24"/>
        </w:rPr>
        <w:t xml:space="preserve">. </w:t>
      </w:r>
    </w:p>
    <w:p w14:paraId="00000C42" w14:textId="77777777" w:rsidR="00CB4215" w:rsidRDefault="00CB4215">
      <w:pPr>
        <w:spacing w:line="480" w:lineRule="auto"/>
        <w:rPr>
          <w:rFonts w:ascii="Times New Roman" w:eastAsia="Times New Roman" w:hAnsi="Times New Roman" w:cs="Times New Roman"/>
          <w:sz w:val="24"/>
          <w:szCs w:val="24"/>
        </w:rPr>
      </w:pPr>
    </w:p>
    <w:p w14:paraId="00000C43" w14:textId="77777777" w:rsidR="00CB4215" w:rsidRDefault="000530B4">
      <w:pPr>
        <w:pStyle w:val="Heading4"/>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7.5.2 Future directions</w:t>
      </w:r>
    </w:p>
    <w:p w14:paraId="00000C44"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chapter of this thesis has provided a unique contribution to the existing literature. Previous chapters have identified potential areas for further investigation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their findings. This section outlines additional areas of future research that may be necessary </w:t>
      </w:r>
      <w:proofErr w:type="gramStart"/>
      <w:r>
        <w:rPr>
          <w:rFonts w:ascii="Times New Roman" w:eastAsia="Times New Roman" w:hAnsi="Times New Roman" w:cs="Times New Roman"/>
          <w:sz w:val="24"/>
          <w:szCs w:val="24"/>
        </w:rPr>
        <w:t>in light of</w:t>
      </w:r>
      <w:proofErr w:type="gramEnd"/>
      <w:r>
        <w:rPr>
          <w:rFonts w:ascii="Times New Roman" w:eastAsia="Times New Roman" w:hAnsi="Times New Roman" w:cs="Times New Roman"/>
          <w:sz w:val="24"/>
          <w:szCs w:val="24"/>
        </w:rPr>
        <w:t xml:space="preserve"> the combined findings of the thesis.</w:t>
      </w:r>
    </w:p>
    <w:p w14:paraId="00000C45" w14:textId="77777777" w:rsidR="00CB4215" w:rsidRDefault="00CB4215">
      <w:pPr>
        <w:spacing w:line="480" w:lineRule="auto"/>
        <w:rPr>
          <w:rFonts w:ascii="Times New Roman" w:eastAsia="Times New Roman" w:hAnsi="Times New Roman" w:cs="Times New Roman"/>
          <w:sz w:val="24"/>
          <w:szCs w:val="24"/>
        </w:rPr>
      </w:pPr>
    </w:p>
    <w:p w14:paraId="00000C46" w14:textId="77777777"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outcomes of the pilot study (Chapter 5) provided preliminary results about the associations between meal timing, BMI, eating behaviour traits, dietary intake and objective measurement of health behaviours. In addition, the differences in eating behaviour traits and health behaviours between early versus late eaters were explored. Due to the small sample size, the use of inferential statistics was for exploratory purposes rather than for the formation of definitive findings. As such, a full-scale study is still needed to explore psychological (eating behaviour traits) and behavioural (dietary intake, physical activity and sleep) characteristics of late eaters using objective measures, which may provide potential targets for late eaters in future interventions. In addition, there may be a need for amendments to the outcome measures, such as the inclusion of validated measures of chronotype. Furthermore, Chapter 6 provided in-depth insight into the factors contributing to late evening eating and barriers and enablers to changing to earlier eating patterns. However, it is unclear whether participants had children. Previous research has shown that having children leads to an increased sense of limited time for cooking, making it necessary to develop time-saving techniques such as meal planning </w:t>
      </w:r>
      <w:hyperlink r:id="rId815">
        <w:r>
          <w:rPr>
            <w:rFonts w:ascii="Times New Roman" w:eastAsia="Times New Roman" w:hAnsi="Times New Roman" w:cs="Times New Roman"/>
            <w:color w:val="000000"/>
            <w:sz w:val="24"/>
            <w:szCs w:val="24"/>
          </w:rPr>
          <w:t>(Jabs et al., 2007; Devine et al., 2003; Devine et al., 2006; Devine et al., 2009; Fulkerson et al., 2011)</w:t>
        </w:r>
      </w:hyperlink>
      <w:r>
        <w:rPr>
          <w:rFonts w:ascii="Times New Roman" w:eastAsia="Times New Roman" w:hAnsi="Times New Roman" w:cs="Times New Roman"/>
          <w:sz w:val="24"/>
          <w:szCs w:val="24"/>
        </w:rPr>
        <w:t xml:space="preserve">. Further research should explore the influence of children's presence in the household on late evening eating. </w:t>
      </w:r>
    </w:p>
    <w:p w14:paraId="00000C47" w14:textId="77777777" w:rsidR="00CB4215" w:rsidRDefault="00CB4215">
      <w:pPr>
        <w:spacing w:line="480" w:lineRule="auto"/>
        <w:rPr>
          <w:rFonts w:ascii="Times New Roman" w:eastAsia="Times New Roman" w:hAnsi="Times New Roman" w:cs="Times New Roman"/>
          <w:sz w:val="24"/>
          <w:szCs w:val="24"/>
        </w:rPr>
      </w:pPr>
    </w:p>
    <w:p w14:paraId="00000C49" w14:textId="66331D19" w:rsidR="00CB4215" w:rsidRDefault="000530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from Chapter 6 have identified the factors influencing late evening eating some barriers to changing to earlier eating patterns have been identified, practical strategies are provided to address such barriers. Combining the results of Study 1 and Study 2, practical strategies, such as meal planning is a potential way to help people increase the ability of craving control. Further research should apply these findings to inform interventions to encourage earlier eating times in people at risk of overconsumption and obesity.  However, there are still some considerations for future interventions. For example, the implementation </w:t>
      </w:r>
      <w:r>
        <w:rPr>
          <w:rFonts w:ascii="Times New Roman" w:eastAsia="Times New Roman" w:hAnsi="Times New Roman" w:cs="Times New Roman"/>
          <w:sz w:val="24"/>
          <w:szCs w:val="24"/>
        </w:rPr>
        <w:lastRenderedPageBreak/>
        <w:t xml:space="preserve">of meal timing interventions needs to be gradual and incremental to optimise compliance and long-term effectiveness. In a sleep extension trial, the combination of gradually increasing sleep duration and following sleep hygiene guidelines has positive effects on sleep quality, self-reported sleep problems and symptoms of depression </w:t>
      </w:r>
      <w:hyperlink r:id="rId816">
        <w:r>
          <w:rPr>
            <w:rFonts w:ascii="Times New Roman" w:eastAsia="Times New Roman" w:hAnsi="Times New Roman" w:cs="Times New Roman"/>
            <w:color w:val="000000"/>
            <w:sz w:val="24"/>
            <w:szCs w:val="24"/>
          </w:rPr>
          <w:t>(Dewald-Kaufmann et al., 2014)</w:t>
        </w:r>
      </w:hyperlink>
      <w:r>
        <w:rPr>
          <w:rFonts w:ascii="Times New Roman" w:eastAsia="Times New Roman" w:hAnsi="Times New Roman" w:cs="Times New Roman"/>
          <w:sz w:val="24"/>
          <w:szCs w:val="24"/>
        </w:rPr>
        <w:t xml:space="preserve">. In addition, in a pilot study of time-restricted eating, participants indicated that the intervention had an influence on their possibilities for social eating and drinking in the evening, potentially hindering their long-term adherence to the program </w:t>
      </w:r>
      <w:hyperlink r:id="rId817">
        <w:r>
          <w:rPr>
            <w:rFonts w:ascii="Times New Roman" w:eastAsia="Times New Roman" w:hAnsi="Times New Roman" w:cs="Times New Roman"/>
            <w:color w:val="000000"/>
            <w:sz w:val="24"/>
            <w:szCs w:val="24"/>
          </w:rPr>
          <w:t>(Antoni et al., 2018)</w:t>
        </w:r>
      </w:hyperlink>
      <w:r>
        <w:rPr>
          <w:rFonts w:ascii="Times New Roman" w:eastAsia="Times New Roman" w:hAnsi="Times New Roman" w:cs="Times New Roman"/>
          <w:sz w:val="24"/>
          <w:szCs w:val="24"/>
        </w:rPr>
        <w:t xml:space="preserve">. Therefore, to reduce the potential negative effects of eating earlier, such as time constraints leading to less time to prepare meals and an increase in poor-quality diets and </w:t>
      </w:r>
      <w:r w:rsidR="002C2D40">
        <w:rPr>
          <w:rFonts w:ascii="Times New Roman" w:eastAsia="Times New Roman" w:hAnsi="Times New Roman" w:cs="Times New Roman"/>
          <w:sz w:val="24"/>
          <w:szCs w:val="24"/>
        </w:rPr>
        <w:t>fast-food</w:t>
      </w:r>
      <w:r>
        <w:rPr>
          <w:rFonts w:ascii="Times New Roman" w:eastAsia="Times New Roman" w:hAnsi="Times New Roman" w:cs="Times New Roman"/>
          <w:sz w:val="24"/>
          <w:szCs w:val="24"/>
        </w:rPr>
        <w:t xml:space="preserve"> intake, interventions should be implemented gradually to ensure long-lasting and beneficial changes in behaviour. Integrating food timing interventions with nutritious diets may be beneficial, in a similar way to how sleep hygiene therapies optimise the sleep environment by avoiding activities such as night-time TV viewing and caffeine consumption close to bedtime, while also increasing sleep duration </w:t>
      </w:r>
      <w:hyperlink r:id="rId818">
        <w:r>
          <w:rPr>
            <w:rFonts w:ascii="Times New Roman" w:eastAsia="Times New Roman" w:hAnsi="Times New Roman" w:cs="Times New Roman"/>
            <w:color w:val="000000"/>
            <w:sz w:val="24"/>
            <w:szCs w:val="24"/>
          </w:rPr>
          <w:t>(Dewald-Kaufmann et al., 2014)</w:t>
        </w:r>
      </w:hyperlink>
      <w:r>
        <w:rPr>
          <w:rFonts w:ascii="Times New Roman" w:eastAsia="Times New Roman" w:hAnsi="Times New Roman" w:cs="Times New Roman"/>
          <w:sz w:val="24"/>
          <w:szCs w:val="24"/>
        </w:rPr>
        <w:t xml:space="preserve">. </w:t>
      </w:r>
      <w:r w:rsidR="00FE23C8" w:rsidRPr="00FE23C8">
        <w:rPr>
          <w:rFonts w:ascii="Times New Roman" w:eastAsia="Times New Roman" w:hAnsi="Times New Roman" w:cs="Times New Roman"/>
          <w:sz w:val="24"/>
          <w:szCs w:val="24"/>
        </w:rPr>
        <w:t>Finally, given that most of the samples in this thesis were well-educated, white and reported relatively high household incomes, researchers need to take action to recruit participants from underserved communities in the future.</w:t>
      </w:r>
    </w:p>
    <w:p w14:paraId="51F02AB0" w14:textId="77777777" w:rsidR="00FE23C8" w:rsidRPr="00E921D5" w:rsidRDefault="00FE23C8">
      <w:pPr>
        <w:spacing w:line="480" w:lineRule="auto"/>
        <w:rPr>
          <w:rFonts w:ascii="Times New Roman" w:eastAsiaTheme="minorEastAsia" w:hAnsi="Times New Roman" w:cs="Times New Roman"/>
          <w:sz w:val="24"/>
          <w:szCs w:val="24"/>
        </w:rPr>
      </w:pPr>
    </w:p>
    <w:p w14:paraId="00000C4A" w14:textId="77777777" w:rsidR="00CB4215" w:rsidRDefault="000530B4">
      <w:pPr>
        <w:pStyle w:val="Heading3"/>
        <w:spacing w:line="480" w:lineRule="auto"/>
        <w:rPr>
          <w:rFonts w:ascii="Times New Roman" w:eastAsia="Times New Roman" w:hAnsi="Times New Roman" w:cs="Times New Roman"/>
          <w:b/>
          <w:color w:val="000000"/>
        </w:rPr>
      </w:pPr>
      <w:bookmarkStart w:id="129" w:name="_Toc172984833"/>
      <w:r>
        <w:rPr>
          <w:rFonts w:ascii="Times New Roman" w:eastAsia="Times New Roman" w:hAnsi="Times New Roman" w:cs="Times New Roman"/>
          <w:b/>
          <w:color w:val="000000"/>
        </w:rPr>
        <w:t>7.6 Conclusions</w:t>
      </w:r>
      <w:bookmarkEnd w:id="129"/>
    </w:p>
    <w:p w14:paraId="00000C4B" w14:textId="77777777" w:rsidR="00CB4215" w:rsidRDefault="000530B4">
      <w:pPr>
        <w:spacing w:line="480" w:lineRule="auto"/>
        <w:rPr>
          <w:rFonts w:ascii="Times New Roman" w:eastAsia="Times New Roman" w:hAnsi="Times New Roman" w:cs="Times New Roman"/>
          <w:sz w:val="24"/>
          <w:szCs w:val="24"/>
        </w:rPr>
        <w:sectPr w:rsidR="00CB4215">
          <w:headerReference w:type="default" r:id="rId819"/>
          <w:pgSz w:w="11909" w:h="16834"/>
          <w:pgMar w:top="1440" w:right="1440" w:bottom="1440" w:left="1440" w:header="720" w:footer="720" w:gutter="0"/>
          <w:cols w:space="720"/>
        </w:sectPr>
      </w:pPr>
      <w:r>
        <w:rPr>
          <w:rFonts w:ascii="Times New Roman" w:eastAsia="Times New Roman" w:hAnsi="Times New Roman" w:cs="Times New Roman"/>
          <w:sz w:val="24"/>
          <w:szCs w:val="24"/>
        </w:rPr>
        <w:t xml:space="preserve">This thesis aimed to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explore the associations between meal timing, BMI, eating behaviour traits and health behaviours; ii) compare the differences of eating behaviour traits and health behaviours between early versus late evening eaters; iii) explore the factors contributing to late evening eating, and barriers and enablers to changing to earlier eating patterns. The findings suggest that late eating is not associated with higher BMI. However, late eating is </w:t>
      </w:r>
      <w:r>
        <w:rPr>
          <w:rFonts w:ascii="Times New Roman" w:eastAsia="Times New Roman" w:hAnsi="Times New Roman" w:cs="Times New Roman"/>
          <w:sz w:val="24"/>
          <w:szCs w:val="24"/>
        </w:rPr>
        <w:lastRenderedPageBreak/>
        <w:t>associated with increased uncontrolled eating in adults living with obesity. Indeed, results indicated differences in eating behaviour traits associated with overconsumption between early versus late evening eaters, such as lower craving control in late eaters. Furthermore, this thesis provides in-depth insight into the factors that influence late evening eating and practical strategies are provided to address barriers to changing to earlier eating patterns, such as increasing the awareness of the health benefits of early evening eating and addressing time constraints around meal planning and preparation. The findings highlight potential targets for future interventions to facilitate earlier eating times in individuals at risk of overweight and obesity.</w:t>
      </w:r>
    </w:p>
    <w:p w14:paraId="00000C4C" w14:textId="77777777" w:rsidR="00CB4215" w:rsidRDefault="000530B4">
      <w:pPr>
        <w:pStyle w:val="Heading1"/>
        <w:spacing w:line="480" w:lineRule="auto"/>
        <w:rPr>
          <w:rFonts w:ascii="Times New Roman" w:eastAsia="Times New Roman" w:hAnsi="Times New Roman" w:cs="Times New Roman"/>
          <w:b/>
          <w:sz w:val="36"/>
          <w:szCs w:val="36"/>
        </w:rPr>
      </w:pPr>
      <w:bookmarkStart w:id="130" w:name="_Toc172984834"/>
      <w:r>
        <w:rPr>
          <w:rFonts w:ascii="Times New Roman" w:eastAsia="Times New Roman" w:hAnsi="Times New Roman" w:cs="Times New Roman"/>
          <w:b/>
          <w:sz w:val="36"/>
          <w:szCs w:val="36"/>
        </w:rPr>
        <w:lastRenderedPageBreak/>
        <w:t>References</w:t>
      </w:r>
      <w:bookmarkEnd w:id="130"/>
    </w:p>
    <w:p w14:paraId="00000C4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Abraham, S. F., Brown, T., Boyd, C., Luscombe, G., &amp; Russell, J. (2006). Quality of life: Eating disorders. </w:t>
      </w:r>
      <w:r w:rsidRPr="000E4FE6">
        <w:rPr>
          <w:rFonts w:ascii="Times New Roman" w:hAnsi="Times New Roman" w:cs="Times New Roman"/>
          <w:i/>
          <w:sz w:val="24"/>
          <w:szCs w:val="24"/>
        </w:rPr>
        <w:t>Australian and New Zealand Journal of Psychiatry, 40</w:t>
      </w:r>
      <w:r w:rsidRPr="000E4FE6">
        <w:rPr>
          <w:rFonts w:ascii="Times New Roman" w:hAnsi="Times New Roman" w:cs="Times New Roman"/>
          <w:sz w:val="24"/>
          <w:szCs w:val="24"/>
        </w:rPr>
        <w:t xml:space="preserve">(2), 150–155. </w:t>
      </w:r>
      <w:hyperlink r:id="rId820">
        <w:r w:rsidRPr="000E4FE6">
          <w:rPr>
            <w:rFonts w:ascii="Times New Roman" w:hAnsi="Times New Roman" w:cs="Times New Roman"/>
            <w:color w:val="0000FF"/>
            <w:sz w:val="24"/>
            <w:szCs w:val="24"/>
            <w:u w:val="single"/>
          </w:rPr>
          <w:t>https://doi.org/10.1111/j.1440-1614.2006.01762.x</w:t>
        </w:r>
      </w:hyperlink>
    </w:p>
    <w:p w14:paraId="00000C4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Abalkhail</w:t>
      </w:r>
      <w:proofErr w:type="spellEnd"/>
      <w:r w:rsidRPr="000E4FE6">
        <w:rPr>
          <w:rFonts w:ascii="Times New Roman" w:hAnsi="Times New Roman" w:cs="Times New Roman"/>
          <w:sz w:val="24"/>
          <w:szCs w:val="24"/>
        </w:rPr>
        <w:t>, B., and Shawky, S. (2002). Prevalence of daily breakfast intake, iron deficiency anaemia and awareness of being anaemic among Saudi school students. </w:t>
      </w:r>
      <w:r w:rsidRPr="000E4FE6">
        <w:rPr>
          <w:rFonts w:ascii="Times New Roman" w:hAnsi="Times New Roman" w:cs="Times New Roman"/>
          <w:i/>
          <w:sz w:val="24"/>
          <w:szCs w:val="24"/>
        </w:rPr>
        <w:t>International Journal of Food Sciences and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53</w:t>
      </w:r>
      <w:r w:rsidRPr="000E4FE6">
        <w:rPr>
          <w:rFonts w:ascii="Times New Roman" w:hAnsi="Times New Roman" w:cs="Times New Roman"/>
          <w:sz w:val="24"/>
          <w:szCs w:val="24"/>
        </w:rPr>
        <w:t>(6), 519–528. https://doi.org/10.1080/09637480220164370</w:t>
      </w:r>
    </w:p>
    <w:p w14:paraId="00000C4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lang w:val="es-ES_tradnl"/>
        </w:rPr>
        <w:t>Abilés</w:t>
      </w:r>
      <w:proofErr w:type="spellEnd"/>
      <w:r w:rsidRPr="000E4FE6">
        <w:rPr>
          <w:rFonts w:ascii="Times New Roman" w:hAnsi="Times New Roman" w:cs="Times New Roman"/>
          <w:sz w:val="24"/>
          <w:szCs w:val="24"/>
          <w:lang w:val="es-ES_tradnl"/>
        </w:rPr>
        <w:t xml:space="preserve">, V., Rodríguez-Ruiz, S., </w:t>
      </w:r>
      <w:proofErr w:type="spellStart"/>
      <w:r w:rsidRPr="000E4FE6">
        <w:rPr>
          <w:rFonts w:ascii="Times New Roman" w:hAnsi="Times New Roman" w:cs="Times New Roman"/>
          <w:sz w:val="24"/>
          <w:szCs w:val="24"/>
          <w:lang w:val="es-ES_tradnl"/>
        </w:rPr>
        <w:t>Abilés</w:t>
      </w:r>
      <w:proofErr w:type="spellEnd"/>
      <w:r w:rsidRPr="000E4FE6">
        <w:rPr>
          <w:rFonts w:ascii="Times New Roman" w:hAnsi="Times New Roman" w:cs="Times New Roman"/>
          <w:sz w:val="24"/>
          <w:szCs w:val="24"/>
          <w:lang w:val="es-ES_tradnl"/>
        </w:rPr>
        <w:t xml:space="preserve">, J., Mellado, C., García, A., Pérez de la Cruz, A., and Fernández-Santaella, M. C. (2010). </w:t>
      </w:r>
      <w:r w:rsidRPr="000E4FE6">
        <w:rPr>
          <w:rFonts w:ascii="Times New Roman" w:hAnsi="Times New Roman" w:cs="Times New Roman"/>
          <w:sz w:val="24"/>
          <w:szCs w:val="24"/>
        </w:rPr>
        <w:t>Psychological characteristics of morbidly obese candidates for bariatric surgery. </w:t>
      </w:r>
      <w:r w:rsidRPr="000E4FE6">
        <w:rPr>
          <w:rFonts w:ascii="Times New Roman" w:hAnsi="Times New Roman" w:cs="Times New Roman"/>
          <w:i/>
          <w:sz w:val="24"/>
          <w:szCs w:val="24"/>
        </w:rPr>
        <w:t>Obesity Surgery</w:t>
      </w:r>
      <w:r w:rsidRPr="000E4FE6">
        <w:rPr>
          <w:rFonts w:ascii="Times New Roman" w:hAnsi="Times New Roman" w:cs="Times New Roman"/>
          <w:sz w:val="24"/>
          <w:szCs w:val="24"/>
        </w:rPr>
        <w:t>, </w:t>
      </w:r>
      <w:r w:rsidRPr="000E4FE6">
        <w:rPr>
          <w:rFonts w:ascii="Times New Roman" w:hAnsi="Times New Roman" w:cs="Times New Roman"/>
          <w:i/>
          <w:sz w:val="24"/>
          <w:szCs w:val="24"/>
        </w:rPr>
        <w:t>20</w:t>
      </w:r>
      <w:r w:rsidRPr="000E4FE6">
        <w:rPr>
          <w:rFonts w:ascii="Times New Roman" w:hAnsi="Times New Roman" w:cs="Times New Roman"/>
          <w:sz w:val="24"/>
          <w:szCs w:val="24"/>
        </w:rPr>
        <w:t>(2), 161–167. https://doi.org/10.1007/s11695-008-9726-1</w:t>
      </w:r>
    </w:p>
    <w:p w14:paraId="00000C5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Adab</w:t>
      </w:r>
      <w:proofErr w:type="spellEnd"/>
      <w:r w:rsidRPr="000E4FE6">
        <w:rPr>
          <w:rFonts w:ascii="Times New Roman" w:hAnsi="Times New Roman" w:cs="Times New Roman"/>
          <w:sz w:val="24"/>
          <w:szCs w:val="24"/>
        </w:rPr>
        <w:t xml:space="preserve">, P., </w:t>
      </w:r>
      <w:proofErr w:type="spellStart"/>
      <w:r w:rsidRPr="000E4FE6">
        <w:rPr>
          <w:rFonts w:ascii="Times New Roman" w:hAnsi="Times New Roman" w:cs="Times New Roman"/>
          <w:sz w:val="24"/>
          <w:szCs w:val="24"/>
        </w:rPr>
        <w:t>Pallan</w:t>
      </w:r>
      <w:proofErr w:type="spellEnd"/>
      <w:r w:rsidRPr="000E4FE6">
        <w:rPr>
          <w:rFonts w:ascii="Times New Roman" w:hAnsi="Times New Roman" w:cs="Times New Roman"/>
          <w:sz w:val="24"/>
          <w:szCs w:val="24"/>
        </w:rPr>
        <w:t>, M., and Whincup, P. H. (2018). Is BMI the best measure of obesity? </w:t>
      </w:r>
      <w:r w:rsidRPr="000E4FE6">
        <w:rPr>
          <w:rFonts w:ascii="Times New Roman" w:hAnsi="Times New Roman" w:cs="Times New Roman"/>
          <w:i/>
          <w:sz w:val="24"/>
          <w:szCs w:val="24"/>
        </w:rPr>
        <w:t>BMJ (Clinical Research Ed.)</w:t>
      </w:r>
      <w:r w:rsidRPr="000E4FE6">
        <w:rPr>
          <w:rFonts w:ascii="Times New Roman" w:hAnsi="Times New Roman" w:cs="Times New Roman"/>
          <w:sz w:val="24"/>
          <w:szCs w:val="24"/>
        </w:rPr>
        <w:t>, </w:t>
      </w:r>
      <w:r w:rsidRPr="000E4FE6">
        <w:rPr>
          <w:rFonts w:ascii="Times New Roman" w:hAnsi="Times New Roman" w:cs="Times New Roman"/>
          <w:i/>
          <w:sz w:val="24"/>
          <w:szCs w:val="24"/>
        </w:rPr>
        <w:t>360</w:t>
      </w:r>
      <w:r w:rsidRPr="000E4FE6">
        <w:rPr>
          <w:rFonts w:ascii="Times New Roman" w:hAnsi="Times New Roman" w:cs="Times New Roman"/>
          <w:sz w:val="24"/>
          <w:szCs w:val="24"/>
        </w:rPr>
        <w:t>, k1274. https://doi.org/10.1136/bmj.k1274</w:t>
      </w:r>
    </w:p>
    <w:p w14:paraId="00000C5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Adafer</w:t>
      </w:r>
      <w:proofErr w:type="spellEnd"/>
      <w:r w:rsidRPr="000E4FE6">
        <w:rPr>
          <w:rFonts w:ascii="Times New Roman" w:hAnsi="Times New Roman" w:cs="Times New Roman"/>
          <w:sz w:val="24"/>
          <w:szCs w:val="24"/>
        </w:rPr>
        <w:t xml:space="preserve">, R., </w:t>
      </w:r>
      <w:proofErr w:type="spellStart"/>
      <w:r w:rsidRPr="000E4FE6">
        <w:rPr>
          <w:rFonts w:ascii="Times New Roman" w:hAnsi="Times New Roman" w:cs="Times New Roman"/>
          <w:sz w:val="24"/>
          <w:szCs w:val="24"/>
        </w:rPr>
        <w:t>Messaadi</w:t>
      </w:r>
      <w:proofErr w:type="spellEnd"/>
      <w:r w:rsidRPr="000E4FE6">
        <w:rPr>
          <w:rFonts w:ascii="Times New Roman" w:hAnsi="Times New Roman" w:cs="Times New Roman"/>
          <w:sz w:val="24"/>
          <w:szCs w:val="24"/>
        </w:rPr>
        <w:t xml:space="preserve">, W., </w:t>
      </w:r>
      <w:proofErr w:type="spellStart"/>
      <w:r w:rsidRPr="000E4FE6">
        <w:rPr>
          <w:rFonts w:ascii="Times New Roman" w:hAnsi="Times New Roman" w:cs="Times New Roman"/>
          <w:sz w:val="24"/>
          <w:szCs w:val="24"/>
        </w:rPr>
        <w:t>Meddahi</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Patey</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Haderbache</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Bayen</w:t>
      </w:r>
      <w:proofErr w:type="spellEnd"/>
      <w:r w:rsidRPr="000E4FE6">
        <w:rPr>
          <w:rFonts w:ascii="Times New Roman" w:hAnsi="Times New Roman" w:cs="Times New Roman"/>
          <w:sz w:val="24"/>
          <w:szCs w:val="24"/>
        </w:rPr>
        <w:t xml:space="preserve">, S., and </w:t>
      </w:r>
      <w:proofErr w:type="spellStart"/>
      <w:r w:rsidRPr="000E4FE6">
        <w:rPr>
          <w:rFonts w:ascii="Times New Roman" w:hAnsi="Times New Roman" w:cs="Times New Roman"/>
          <w:sz w:val="24"/>
          <w:szCs w:val="24"/>
        </w:rPr>
        <w:t>Messaadi</w:t>
      </w:r>
      <w:proofErr w:type="spellEnd"/>
      <w:r w:rsidRPr="000E4FE6">
        <w:rPr>
          <w:rFonts w:ascii="Times New Roman" w:hAnsi="Times New Roman" w:cs="Times New Roman"/>
          <w:sz w:val="24"/>
          <w:szCs w:val="24"/>
        </w:rPr>
        <w:t xml:space="preserve">, N. (2020). Food Timing, Circadian Rhythm and </w:t>
      </w:r>
      <w:proofErr w:type="spellStart"/>
      <w:r w:rsidRPr="000E4FE6">
        <w:rPr>
          <w:rFonts w:ascii="Times New Roman" w:hAnsi="Times New Roman" w:cs="Times New Roman"/>
          <w:sz w:val="24"/>
          <w:szCs w:val="24"/>
        </w:rPr>
        <w:t>Chrononutrition</w:t>
      </w:r>
      <w:proofErr w:type="spellEnd"/>
      <w:r w:rsidRPr="000E4FE6">
        <w:rPr>
          <w:rFonts w:ascii="Times New Roman" w:hAnsi="Times New Roman" w:cs="Times New Roman"/>
          <w:sz w:val="24"/>
          <w:szCs w:val="24"/>
        </w:rPr>
        <w:t>: A Systematic Review of Time-Restricted Eating’s Effects on Human Health.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(12). https://doi.org/10.3390/nu12123770</w:t>
      </w:r>
    </w:p>
    <w:p w14:paraId="00000C5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Ainsworth, B., </w:t>
      </w:r>
      <w:proofErr w:type="spellStart"/>
      <w:r w:rsidRPr="000E4FE6">
        <w:rPr>
          <w:rFonts w:ascii="Times New Roman" w:hAnsi="Times New Roman" w:cs="Times New Roman"/>
          <w:sz w:val="24"/>
          <w:szCs w:val="24"/>
        </w:rPr>
        <w:t>Cahalin</w:t>
      </w:r>
      <w:proofErr w:type="spellEnd"/>
      <w:r w:rsidRPr="000E4FE6">
        <w:rPr>
          <w:rFonts w:ascii="Times New Roman" w:hAnsi="Times New Roman" w:cs="Times New Roman"/>
          <w:sz w:val="24"/>
          <w:szCs w:val="24"/>
        </w:rPr>
        <w:t xml:space="preserve">, L., </w:t>
      </w:r>
      <w:proofErr w:type="spellStart"/>
      <w:r w:rsidRPr="000E4FE6">
        <w:rPr>
          <w:rFonts w:ascii="Times New Roman" w:hAnsi="Times New Roman" w:cs="Times New Roman"/>
          <w:sz w:val="24"/>
          <w:szCs w:val="24"/>
        </w:rPr>
        <w:t>Buman</w:t>
      </w:r>
      <w:proofErr w:type="spellEnd"/>
      <w:r w:rsidRPr="000E4FE6">
        <w:rPr>
          <w:rFonts w:ascii="Times New Roman" w:hAnsi="Times New Roman" w:cs="Times New Roman"/>
          <w:sz w:val="24"/>
          <w:szCs w:val="24"/>
        </w:rPr>
        <w:t>, M., and Ross, R. (2015). The current state of physical activity assessment tools. </w:t>
      </w:r>
      <w:r w:rsidRPr="000E4FE6">
        <w:rPr>
          <w:rFonts w:ascii="Times New Roman" w:hAnsi="Times New Roman" w:cs="Times New Roman"/>
          <w:i/>
          <w:sz w:val="24"/>
          <w:szCs w:val="24"/>
        </w:rPr>
        <w:t>Progress in Cardiovascular Diseases</w:t>
      </w:r>
      <w:r w:rsidRPr="000E4FE6">
        <w:rPr>
          <w:rFonts w:ascii="Times New Roman" w:hAnsi="Times New Roman" w:cs="Times New Roman"/>
          <w:sz w:val="24"/>
          <w:szCs w:val="24"/>
        </w:rPr>
        <w:t>, </w:t>
      </w:r>
      <w:r w:rsidRPr="000E4FE6">
        <w:rPr>
          <w:rFonts w:ascii="Times New Roman" w:hAnsi="Times New Roman" w:cs="Times New Roman"/>
          <w:i/>
          <w:sz w:val="24"/>
          <w:szCs w:val="24"/>
        </w:rPr>
        <w:t>57</w:t>
      </w:r>
      <w:r w:rsidRPr="000E4FE6">
        <w:rPr>
          <w:rFonts w:ascii="Times New Roman" w:hAnsi="Times New Roman" w:cs="Times New Roman"/>
          <w:sz w:val="24"/>
          <w:szCs w:val="24"/>
        </w:rPr>
        <w:t>(4), 387–395. https://doi.org/10.1016/j.pcad.2014.10.005</w:t>
      </w:r>
    </w:p>
    <w:p w14:paraId="00000C5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al-Isa, A. N. (1999). Obesity among Kuwait University students: an explorative study. </w:t>
      </w:r>
      <w:r w:rsidRPr="000E4FE6">
        <w:rPr>
          <w:rFonts w:ascii="Times New Roman" w:hAnsi="Times New Roman" w:cs="Times New Roman"/>
          <w:i/>
          <w:sz w:val="24"/>
          <w:szCs w:val="24"/>
        </w:rPr>
        <w:t>The Journal of the Royal Society for the Promotion of Health</w:t>
      </w:r>
      <w:r w:rsidRPr="000E4FE6">
        <w:rPr>
          <w:rFonts w:ascii="Times New Roman" w:hAnsi="Times New Roman" w:cs="Times New Roman"/>
          <w:sz w:val="24"/>
          <w:szCs w:val="24"/>
        </w:rPr>
        <w:t>, </w:t>
      </w:r>
      <w:r w:rsidRPr="000E4FE6">
        <w:rPr>
          <w:rFonts w:ascii="Times New Roman" w:hAnsi="Times New Roman" w:cs="Times New Roman"/>
          <w:i/>
          <w:sz w:val="24"/>
          <w:szCs w:val="24"/>
        </w:rPr>
        <w:t>119</w:t>
      </w:r>
      <w:r w:rsidRPr="000E4FE6">
        <w:rPr>
          <w:rFonts w:ascii="Times New Roman" w:hAnsi="Times New Roman" w:cs="Times New Roman"/>
          <w:sz w:val="24"/>
          <w:szCs w:val="24"/>
        </w:rPr>
        <w:t>(4), 223–227. https://doi.org/10.1177/146642409911900404</w:t>
      </w:r>
    </w:p>
    <w:p w14:paraId="00000C5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Al Khatib, H. K., Hall, W. L., </w:t>
      </w:r>
      <w:proofErr w:type="spellStart"/>
      <w:r w:rsidRPr="000E4FE6">
        <w:rPr>
          <w:rFonts w:ascii="Times New Roman" w:hAnsi="Times New Roman" w:cs="Times New Roman"/>
          <w:sz w:val="24"/>
          <w:szCs w:val="24"/>
        </w:rPr>
        <w:t>Creedon</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Ooi</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Masri</w:t>
      </w:r>
      <w:proofErr w:type="spellEnd"/>
      <w:r w:rsidRPr="000E4FE6">
        <w:rPr>
          <w:rFonts w:ascii="Times New Roman" w:hAnsi="Times New Roman" w:cs="Times New Roman"/>
          <w:sz w:val="24"/>
          <w:szCs w:val="24"/>
        </w:rPr>
        <w:t>, T., McGowan, L., … Pot, G. K. (2018). Sleep extension is a feasible lifestyle intervention in free-living adults who are habitually short sleepers: a potential strategy for decreasing intake of free sugars? A randomized controlled pilot study.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107</w:t>
      </w:r>
      <w:r w:rsidRPr="000E4FE6">
        <w:rPr>
          <w:rFonts w:ascii="Times New Roman" w:hAnsi="Times New Roman" w:cs="Times New Roman"/>
          <w:sz w:val="24"/>
          <w:szCs w:val="24"/>
        </w:rPr>
        <w:t>(1), 43–53. https://doi.org/10.1093/ajcn/nqx030</w:t>
      </w:r>
    </w:p>
    <w:p w14:paraId="00000C5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Albar</w:t>
      </w:r>
      <w:proofErr w:type="spellEnd"/>
      <w:r w:rsidRPr="000E4FE6">
        <w:rPr>
          <w:rFonts w:ascii="Times New Roman" w:hAnsi="Times New Roman" w:cs="Times New Roman"/>
          <w:sz w:val="24"/>
          <w:szCs w:val="24"/>
        </w:rPr>
        <w:t xml:space="preserve">, S. A., </w:t>
      </w:r>
      <w:proofErr w:type="spellStart"/>
      <w:r w:rsidRPr="000E4FE6">
        <w:rPr>
          <w:rFonts w:ascii="Times New Roman" w:hAnsi="Times New Roman" w:cs="Times New Roman"/>
          <w:sz w:val="24"/>
          <w:szCs w:val="24"/>
        </w:rPr>
        <w:t>Alwan</w:t>
      </w:r>
      <w:proofErr w:type="spellEnd"/>
      <w:r w:rsidRPr="000E4FE6">
        <w:rPr>
          <w:rFonts w:ascii="Times New Roman" w:hAnsi="Times New Roman" w:cs="Times New Roman"/>
          <w:sz w:val="24"/>
          <w:szCs w:val="24"/>
        </w:rPr>
        <w:t>, N. A., Evans, C. E. L., Greenwood, D. C., and Cade, J. E. (2016). Agreement between an online dietary assessment tool (myfood24) and an interviewer-administered 24-h dietary recall in British adolescents aged 11-18 years.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115</w:t>
      </w:r>
      <w:r w:rsidRPr="000E4FE6">
        <w:rPr>
          <w:rFonts w:ascii="Times New Roman" w:hAnsi="Times New Roman" w:cs="Times New Roman"/>
          <w:sz w:val="24"/>
          <w:szCs w:val="24"/>
        </w:rPr>
        <w:t>(9), 1678–1686. https://doi.org/10.1017/S0007114516000593</w:t>
      </w:r>
    </w:p>
    <w:p w14:paraId="00000C5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Alberts, H. J. E. M., </w:t>
      </w:r>
      <w:proofErr w:type="spellStart"/>
      <w:r w:rsidRPr="000E4FE6">
        <w:rPr>
          <w:rFonts w:ascii="Times New Roman" w:hAnsi="Times New Roman" w:cs="Times New Roman"/>
          <w:sz w:val="24"/>
          <w:szCs w:val="24"/>
        </w:rPr>
        <w:t>Mulkens</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Smeets</w:t>
      </w:r>
      <w:proofErr w:type="spellEnd"/>
      <w:r w:rsidRPr="000E4FE6">
        <w:rPr>
          <w:rFonts w:ascii="Times New Roman" w:hAnsi="Times New Roman" w:cs="Times New Roman"/>
          <w:sz w:val="24"/>
          <w:szCs w:val="24"/>
        </w:rPr>
        <w:t xml:space="preserve">, M., and </w:t>
      </w:r>
      <w:proofErr w:type="spellStart"/>
      <w:r w:rsidRPr="000E4FE6">
        <w:rPr>
          <w:rFonts w:ascii="Times New Roman" w:hAnsi="Times New Roman" w:cs="Times New Roman"/>
          <w:sz w:val="24"/>
          <w:szCs w:val="24"/>
        </w:rPr>
        <w:t>Thewissen</w:t>
      </w:r>
      <w:proofErr w:type="spellEnd"/>
      <w:r w:rsidRPr="000E4FE6">
        <w:rPr>
          <w:rFonts w:ascii="Times New Roman" w:hAnsi="Times New Roman" w:cs="Times New Roman"/>
          <w:sz w:val="24"/>
          <w:szCs w:val="24"/>
        </w:rPr>
        <w:t>, R. (2010). Coping with food cravings. Investigating the potential of a mindfulness-based intervention.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55</w:t>
      </w:r>
      <w:r w:rsidRPr="000E4FE6">
        <w:rPr>
          <w:rFonts w:ascii="Times New Roman" w:hAnsi="Times New Roman" w:cs="Times New Roman"/>
          <w:sz w:val="24"/>
          <w:szCs w:val="24"/>
        </w:rPr>
        <w:t>(1), 160–163. https://doi.org/10.1016/j.appet.2010.05.044</w:t>
      </w:r>
    </w:p>
    <w:p w14:paraId="00000C5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Alcock</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Maley</w:t>
      </w:r>
      <w:proofErr w:type="spellEnd"/>
      <w:r w:rsidRPr="000E4FE6">
        <w:rPr>
          <w:rFonts w:ascii="Times New Roman" w:hAnsi="Times New Roman" w:cs="Times New Roman"/>
          <w:sz w:val="24"/>
          <w:szCs w:val="24"/>
        </w:rPr>
        <w:t xml:space="preserve">, C. C., and </w:t>
      </w:r>
      <w:proofErr w:type="spellStart"/>
      <w:r w:rsidRPr="000E4FE6">
        <w:rPr>
          <w:rFonts w:ascii="Times New Roman" w:hAnsi="Times New Roman" w:cs="Times New Roman"/>
          <w:sz w:val="24"/>
          <w:szCs w:val="24"/>
        </w:rPr>
        <w:t>Aktipis</w:t>
      </w:r>
      <w:proofErr w:type="spellEnd"/>
      <w:r w:rsidRPr="000E4FE6">
        <w:rPr>
          <w:rFonts w:ascii="Times New Roman" w:hAnsi="Times New Roman" w:cs="Times New Roman"/>
          <w:sz w:val="24"/>
          <w:szCs w:val="24"/>
        </w:rPr>
        <w:t xml:space="preserve">, C. A. (2014). Is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manipulated by the gastrointestinal microbiota? Evolutionary pressures and potential mechanisms. </w:t>
      </w:r>
      <w:proofErr w:type="spellStart"/>
      <w:r w:rsidRPr="000E4FE6">
        <w:rPr>
          <w:rFonts w:ascii="Times New Roman" w:hAnsi="Times New Roman" w:cs="Times New Roman"/>
          <w:i/>
          <w:sz w:val="24"/>
          <w:szCs w:val="24"/>
        </w:rPr>
        <w:t>Bioessays</w:t>
      </w:r>
      <w:proofErr w:type="spellEnd"/>
      <w:r w:rsidRPr="000E4FE6">
        <w:rPr>
          <w:rFonts w:ascii="Times New Roman" w:hAnsi="Times New Roman" w:cs="Times New Roman"/>
          <w:i/>
          <w:sz w:val="24"/>
          <w:szCs w:val="24"/>
        </w:rPr>
        <w:t>: News and Reviews in Molecular, Cellular and Developmental Biology</w:t>
      </w:r>
      <w:r w:rsidRPr="000E4FE6">
        <w:rPr>
          <w:rFonts w:ascii="Times New Roman" w:hAnsi="Times New Roman" w:cs="Times New Roman"/>
          <w:sz w:val="24"/>
          <w:szCs w:val="24"/>
        </w:rPr>
        <w:t>, </w:t>
      </w:r>
      <w:r w:rsidRPr="000E4FE6">
        <w:rPr>
          <w:rFonts w:ascii="Times New Roman" w:hAnsi="Times New Roman" w:cs="Times New Roman"/>
          <w:i/>
          <w:sz w:val="24"/>
          <w:szCs w:val="24"/>
        </w:rPr>
        <w:t>36</w:t>
      </w:r>
      <w:r w:rsidRPr="000E4FE6">
        <w:rPr>
          <w:rFonts w:ascii="Times New Roman" w:hAnsi="Times New Roman" w:cs="Times New Roman"/>
          <w:sz w:val="24"/>
          <w:szCs w:val="24"/>
        </w:rPr>
        <w:t>(10), 940–949. https://doi.org/10.1002/bies.201400071</w:t>
      </w:r>
    </w:p>
    <w:p w14:paraId="00000C5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Alhussain</w:t>
      </w:r>
      <w:proofErr w:type="spellEnd"/>
      <w:r w:rsidRPr="000E4FE6">
        <w:rPr>
          <w:rFonts w:ascii="Times New Roman" w:hAnsi="Times New Roman" w:cs="Times New Roman"/>
          <w:sz w:val="24"/>
          <w:szCs w:val="24"/>
        </w:rPr>
        <w:t>, M. H., Macdonald, I. A., and Taylor, M. A. (2016). Irregular meal-pattern effects on energy expenditure, metabolism, and appetite regulation: a randomized controlled trial in healthy normal-weight women.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104</w:t>
      </w:r>
      <w:r w:rsidRPr="000E4FE6">
        <w:rPr>
          <w:rFonts w:ascii="Times New Roman" w:hAnsi="Times New Roman" w:cs="Times New Roman"/>
          <w:sz w:val="24"/>
          <w:szCs w:val="24"/>
        </w:rPr>
        <w:t>(1), 21–32. https://doi.org/10.3945/ajcn.115.125401</w:t>
      </w:r>
    </w:p>
    <w:p w14:paraId="00000C5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Allen, C., and </w:t>
      </w:r>
      <w:proofErr w:type="spellStart"/>
      <w:r w:rsidRPr="000E4FE6">
        <w:rPr>
          <w:rFonts w:ascii="Times New Roman" w:hAnsi="Times New Roman" w:cs="Times New Roman"/>
          <w:sz w:val="24"/>
          <w:szCs w:val="24"/>
        </w:rPr>
        <w:t>Mehler</w:t>
      </w:r>
      <w:proofErr w:type="spellEnd"/>
      <w:r w:rsidRPr="000E4FE6">
        <w:rPr>
          <w:rFonts w:ascii="Times New Roman" w:hAnsi="Times New Roman" w:cs="Times New Roman"/>
          <w:sz w:val="24"/>
          <w:szCs w:val="24"/>
        </w:rPr>
        <w:t>, D. M. A. (2019). Open science challenges, benefits and tips in early career and beyond. </w:t>
      </w:r>
      <w:proofErr w:type="spellStart"/>
      <w:r w:rsidRPr="000E4FE6">
        <w:rPr>
          <w:rFonts w:ascii="Times New Roman" w:hAnsi="Times New Roman" w:cs="Times New Roman"/>
          <w:i/>
          <w:sz w:val="24"/>
          <w:szCs w:val="24"/>
        </w:rPr>
        <w:t>PLoS</w:t>
      </w:r>
      <w:proofErr w:type="spellEnd"/>
      <w:r w:rsidRPr="000E4FE6">
        <w:rPr>
          <w:rFonts w:ascii="Times New Roman" w:hAnsi="Times New Roman" w:cs="Times New Roman"/>
          <w:i/>
          <w:sz w:val="24"/>
          <w:szCs w:val="24"/>
        </w:rPr>
        <w:t xml:space="preserve"> Biology</w:t>
      </w:r>
      <w:r w:rsidRPr="000E4FE6">
        <w:rPr>
          <w:rFonts w:ascii="Times New Roman" w:hAnsi="Times New Roman" w:cs="Times New Roman"/>
          <w:sz w:val="24"/>
          <w:szCs w:val="24"/>
        </w:rPr>
        <w:t>, </w:t>
      </w:r>
      <w:r w:rsidRPr="000E4FE6">
        <w:rPr>
          <w:rFonts w:ascii="Times New Roman" w:hAnsi="Times New Roman" w:cs="Times New Roman"/>
          <w:i/>
          <w:sz w:val="24"/>
          <w:szCs w:val="24"/>
        </w:rPr>
        <w:t>17</w:t>
      </w:r>
      <w:r w:rsidRPr="000E4FE6">
        <w:rPr>
          <w:rFonts w:ascii="Times New Roman" w:hAnsi="Times New Roman" w:cs="Times New Roman"/>
          <w:sz w:val="24"/>
          <w:szCs w:val="24"/>
        </w:rPr>
        <w:t>(5), e3000246. https://doi.org/10.1371/journal.pbio.3000246</w:t>
      </w:r>
    </w:p>
    <w:p w14:paraId="00000C5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Allison, K. C., Lundgren, J. D., </w:t>
      </w:r>
      <w:proofErr w:type="spellStart"/>
      <w:r w:rsidRPr="000E4FE6">
        <w:rPr>
          <w:rFonts w:ascii="Times New Roman" w:hAnsi="Times New Roman" w:cs="Times New Roman"/>
          <w:sz w:val="24"/>
          <w:szCs w:val="24"/>
        </w:rPr>
        <w:t>O’Reardon</w:t>
      </w:r>
      <w:proofErr w:type="spellEnd"/>
      <w:r w:rsidRPr="000E4FE6">
        <w:rPr>
          <w:rFonts w:ascii="Times New Roman" w:hAnsi="Times New Roman" w:cs="Times New Roman"/>
          <w:sz w:val="24"/>
          <w:szCs w:val="24"/>
        </w:rPr>
        <w:t xml:space="preserve">, J. P., Martino, N. S., </w:t>
      </w:r>
      <w:proofErr w:type="spellStart"/>
      <w:r w:rsidRPr="000E4FE6">
        <w:rPr>
          <w:rFonts w:ascii="Times New Roman" w:hAnsi="Times New Roman" w:cs="Times New Roman"/>
          <w:sz w:val="24"/>
          <w:szCs w:val="24"/>
        </w:rPr>
        <w:t>Sarwer</w:t>
      </w:r>
      <w:proofErr w:type="spellEnd"/>
      <w:r w:rsidRPr="000E4FE6">
        <w:rPr>
          <w:rFonts w:ascii="Times New Roman" w:hAnsi="Times New Roman" w:cs="Times New Roman"/>
          <w:sz w:val="24"/>
          <w:szCs w:val="24"/>
        </w:rPr>
        <w:t xml:space="preserve">, D. B., </w:t>
      </w:r>
      <w:proofErr w:type="spellStart"/>
      <w:r w:rsidRPr="000E4FE6">
        <w:rPr>
          <w:rFonts w:ascii="Times New Roman" w:hAnsi="Times New Roman" w:cs="Times New Roman"/>
          <w:sz w:val="24"/>
          <w:szCs w:val="24"/>
        </w:rPr>
        <w:t>Wadden</w:t>
      </w:r>
      <w:proofErr w:type="spellEnd"/>
      <w:r w:rsidRPr="000E4FE6">
        <w:rPr>
          <w:rFonts w:ascii="Times New Roman" w:hAnsi="Times New Roman" w:cs="Times New Roman"/>
          <w:sz w:val="24"/>
          <w:szCs w:val="24"/>
        </w:rPr>
        <w:t xml:space="preserve">, T. A., … </w:t>
      </w:r>
      <w:proofErr w:type="spellStart"/>
      <w:r w:rsidRPr="000E4FE6">
        <w:rPr>
          <w:rFonts w:ascii="Times New Roman" w:hAnsi="Times New Roman" w:cs="Times New Roman"/>
          <w:sz w:val="24"/>
          <w:szCs w:val="24"/>
        </w:rPr>
        <w:t>Stunkard</w:t>
      </w:r>
      <w:proofErr w:type="spellEnd"/>
      <w:r w:rsidRPr="000E4FE6">
        <w:rPr>
          <w:rFonts w:ascii="Times New Roman" w:hAnsi="Times New Roman" w:cs="Times New Roman"/>
          <w:sz w:val="24"/>
          <w:szCs w:val="24"/>
        </w:rPr>
        <w:t xml:space="preserve">, A. J. (2008). The Night Eating Questionnaire (NEQ): psychometric </w:t>
      </w:r>
      <w:r w:rsidRPr="000E4FE6">
        <w:rPr>
          <w:rFonts w:ascii="Times New Roman" w:hAnsi="Times New Roman" w:cs="Times New Roman"/>
          <w:sz w:val="24"/>
          <w:szCs w:val="24"/>
        </w:rPr>
        <w:lastRenderedPageBreak/>
        <w:t>properties of a measure of severity of the Night Eating Syndrome.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(1), 62–72. https://doi.org/10.1016/j.eatbeh.2007.03.007</w:t>
      </w:r>
    </w:p>
    <w:p w14:paraId="00000C5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Almoosawi</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Vingeliene</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Karagounis</w:t>
      </w:r>
      <w:proofErr w:type="spellEnd"/>
      <w:r w:rsidRPr="000E4FE6">
        <w:rPr>
          <w:rFonts w:ascii="Times New Roman" w:hAnsi="Times New Roman" w:cs="Times New Roman"/>
          <w:sz w:val="24"/>
          <w:szCs w:val="24"/>
        </w:rPr>
        <w:t>, L. G., and Pot, G. K. (2016). Chrono-nutrition: a review of current evidence from observational studies on global trends in time-of-day of energy intake and its association with obesity. </w:t>
      </w:r>
      <w:r w:rsidRPr="000E4FE6">
        <w:rPr>
          <w:rFonts w:ascii="Times New Roman" w:hAnsi="Times New Roman" w:cs="Times New Roman"/>
          <w:i/>
          <w:sz w:val="24"/>
          <w:szCs w:val="24"/>
        </w:rPr>
        <w:t>The Proceedings of the Nutrition Society</w:t>
      </w:r>
      <w:r w:rsidRPr="000E4FE6">
        <w:rPr>
          <w:rFonts w:ascii="Times New Roman" w:hAnsi="Times New Roman" w:cs="Times New Roman"/>
          <w:sz w:val="24"/>
          <w:szCs w:val="24"/>
        </w:rPr>
        <w:t>, </w:t>
      </w:r>
      <w:r w:rsidRPr="000E4FE6">
        <w:rPr>
          <w:rFonts w:ascii="Times New Roman" w:hAnsi="Times New Roman" w:cs="Times New Roman"/>
          <w:i/>
          <w:sz w:val="24"/>
          <w:szCs w:val="24"/>
        </w:rPr>
        <w:t>75</w:t>
      </w:r>
      <w:r w:rsidRPr="000E4FE6">
        <w:rPr>
          <w:rFonts w:ascii="Times New Roman" w:hAnsi="Times New Roman" w:cs="Times New Roman"/>
          <w:sz w:val="24"/>
          <w:szCs w:val="24"/>
        </w:rPr>
        <w:t>(4), 487–500. https://doi.org/10.1017/S0029665116000306</w:t>
      </w:r>
    </w:p>
    <w:p w14:paraId="00000C5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Ambwani</w:t>
      </w:r>
      <w:proofErr w:type="spellEnd"/>
      <w:r w:rsidRPr="000E4FE6">
        <w:rPr>
          <w:rFonts w:ascii="Times New Roman" w:hAnsi="Times New Roman" w:cs="Times New Roman"/>
          <w:sz w:val="24"/>
          <w:szCs w:val="24"/>
        </w:rPr>
        <w:t>, S., and Chmielewski, J. F. (2013). Weighing the Evidence: Social Desirability, Eating Disorder Symptomatology, and Accuracy of Self-reported Body Weight Among Men and Women. </w:t>
      </w:r>
      <w:r w:rsidRPr="000E4FE6">
        <w:rPr>
          <w:rFonts w:ascii="Times New Roman" w:hAnsi="Times New Roman" w:cs="Times New Roman"/>
          <w:i/>
          <w:sz w:val="24"/>
          <w:szCs w:val="24"/>
        </w:rPr>
        <w:t>Sex Roles</w:t>
      </w:r>
      <w:r w:rsidRPr="000E4FE6">
        <w:rPr>
          <w:rFonts w:ascii="Times New Roman" w:hAnsi="Times New Roman" w:cs="Times New Roman"/>
          <w:sz w:val="24"/>
          <w:szCs w:val="24"/>
        </w:rPr>
        <w:t>, </w:t>
      </w:r>
      <w:r w:rsidRPr="000E4FE6">
        <w:rPr>
          <w:rFonts w:ascii="Times New Roman" w:hAnsi="Times New Roman" w:cs="Times New Roman"/>
          <w:i/>
          <w:sz w:val="24"/>
          <w:szCs w:val="24"/>
        </w:rPr>
        <w:t>68</w:t>
      </w:r>
      <w:r w:rsidRPr="000E4FE6">
        <w:rPr>
          <w:rFonts w:ascii="Times New Roman" w:hAnsi="Times New Roman" w:cs="Times New Roman"/>
          <w:sz w:val="24"/>
          <w:szCs w:val="24"/>
        </w:rPr>
        <w:t>(7–8), 474–483. https://doi.org/10.1007/s11199-012-0244-1</w:t>
      </w:r>
    </w:p>
    <w:p w14:paraId="00000C5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Andrade, A. M., Kresge, D. L., Teixeira, P. J., Baptista, F., and </w:t>
      </w:r>
      <w:proofErr w:type="spellStart"/>
      <w:r w:rsidRPr="000E4FE6">
        <w:rPr>
          <w:rFonts w:ascii="Times New Roman" w:hAnsi="Times New Roman" w:cs="Times New Roman"/>
          <w:sz w:val="24"/>
          <w:szCs w:val="24"/>
        </w:rPr>
        <w:t>Melanson</w:t>
      </w:r>
      <w:proofErr w:type="spellEnd"/>
      <w:r w:rsidRPr="000E4FE6">
        <w:rPr>
          <w:rFonts w:ascii="Times New Roman" w:hAnsi="Times New Roman" w:cs="Times New Roman"/>
          <w:sz w:val="24"/>
          <w:szCs w:val="24"/>
        </w:rPr>
        <w:t>, K. J. (2012). Does eating slowly influence appetite and energy intake when water intake is controlled? </w:t>
      </w:r>
      <w:r w:rsidRPr="000E4FE6">
        <w:rPr>
          <w:rFonts w:ascii="Times New Roman" w:hAnsi="Times New Roman" w:cs="Times New Roman"/>
          <w:i/>
          <w:sz w:val="24"/>
          <w:szCs w:val="24"/>
        </w:rPr>
        <w:t xml:space="preserve">The International Journal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Nutrition and Physical Activity</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 135. https://doi.org/10.1186/1479-5868-9-135</w:t>
      </w:r>
    </w:p>
    <w:p w14:paraId="00000C5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Andreou</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Alexopoulos</w:t>
      </w:r>
      <w:proofErr w:type="spellEnd"/>
      <w:r w:rsidRPr="000E4FE6">
        <w:rPr>
          <w:rFonts w:ascii="Times New Roman" w:hAnsi="Times New Roman" w:cs="Times New Roman"/>
          <w:sz w:val="24"/>
          <w:szCs w:val="24"/>
        </w:rPr>
        <w:t xml:space="preserve">, E. C., </w:t>
      </w:r>
      <w:proofErr w:type="spellStart"/>
      <w:r w:rsidRPr="000E4FE6">
        <w:rPr>
          <w:rFonts w:ascii="Times New Roman" w:hAnsi="Times New Roman" w:cs="Times New Roman"/>
          <w:sz w:val="24"/>
          <w:szCs w:val="24"/>
        </w:rPr>
        <w:t>Lionis</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Varvogli</w:t>
      </w:r>
      <w:proofErr w:type="spellEnd"/>
      <w:r w:rsidRPr="000E4FE6">
        <w:rPr>
          <w:rFonts w:ascii="Times New Roman" w:hAnsi="Times New Roman" w:cs="Times New Roman"/>
          <w:sz w:val="24"/>
          <w:szCs w:val="24"/>
        </w:rPr>
        <w:t xml:space="preserve">, L., </w:t>
      </w:r>
      <w:proofErr w:type="spellStart"/>
      <w:r w:rsidRPr="000E4FE6">
        <w:rPr>
          <w:rFonts w:ascii="Times New Roman" w:hAnsi="Times New Roman" w:cs="Times New Roman"/>
          <w:sz w:val="24"/>
          <w:szCs w:val="24"/>
        </w:rPr>
        <w:t>Gnardellis</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Chrousos</w:t>
      </w:r>
      <w:proofErr w:type="spellEnd"/>
      <w:r w:rsidRPr="000E4FE6">
        <w:rPr>
          <w:rFonts w:ascii="Times New Roman" w:hAnsi="Times New Roman" w:cs="Times New Roman"/>
          <w:sz w:val="24"/>
          <w:szCs w:val="24"/>
        </w:rPr>
        <w:t xml:space="preserve">, G. P., and </w:t>
      </w:r>
      <w:proofErr w:type="spellStart"/>
      <w:r w:rsidRPr="000E4FE6">
        <w:rPr>
          <w:rFonts w:ascii="Times New Roman" w:hAnsi="Times New Roman" w:cs="Times New Roman"/>
          <w:sz w:val="24"/>
          <w:szCs w:val="24"/>
        </w:rPr>
        <w:t>Darviri</w:t>
      </w:r>
      <w:proofErr w:type="spellEnd"/>
      <w:r w:rsidRPr="000E4FE6">
        <w:rPr>
          <w:rFonts w:ascii="Times New Roman" w:hAnsi="Times New Roman" w:cs="Times New Roman"/>
          <w:sz w:val="24"/>
          <w:szCs w:val="24"/>
        </w:rPr>
        <w:t>, C. (2011). Perceived Stress Scale: reliability and validity study in Greece. </w:t>
      </w:r>
      <w:r w:rsidRPr="000E4FE6">
        <w:rPr>
          <w:rFonts w:ascii="Times New Roman" w:hAnsi="Times New Roman" w:cs="Times New Roman"/>
          <w:i/>
          <w:sz w:val="24"/>
          <w:szCs w:val="24"/>
        </w:rPr>
        <w:t>International Journal of Environmental Research and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8</w:t>
      </w:r>
      <w:r w:rsidRPr="000E4FE6">
        <w:rPr>
          <w:rFonts w:ascii="Times New Roman" w:hAnsi="Times New Roman" w:cs="Times New Roman"/>
          <w:sz w:val="24"/>
          <w:szCs w:val="24"/>
        </w:rPr>
        <w:t>(8), 3287–3298. https://doi.org/10.3390/ijerph8083287</w:t>
      </w:r>
    </w:p>
    <w:p w14:paraId="00000C5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Anglé</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Engblom</w:t>
      </w:r>
      <w:proofErr w:type="spellEnd"/>
      <w:r w:rsidRPr="000E4FE6">
        <w:rPr>
          <w:rFonts w:ascii="Times New Roman" w:hAnsi="Times New Roman" w:cs="Times New Roman"/>
          <w:sz w:val="24"/>
          <w:szCs w:val="24"/>
        </w:rPr>
        <w:t xml:space="preserve">, J., Eriksson, T., </w:t>
      </w:r>
      <w:proofErr w:type="spellStart"/>
      <w:r w:rsidRPr="000E4FE6">
        <w:rPr>
          <w:rFonts w:ascii="Times New Roman" w:hAnsi="Times New Roman" w:cs="Times New Roman"/>
          <w:sz w:val="24"/>
          <w:szCs w:val="24"/>
        </w:rPr>
        <w:t>Kautiainen</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Saha</w:t>
      </w:r>
      <w:proofErr w:type="spellEnd"/>
      <w:r w:rsidRPr="000E4FE6">
        <w:rPr>
          <w:rFonts w:ascii="Times New Roman" w:hAnsi="Times New Roman" w:cs="Times New Roman"/>
          <w:sz w:val="24"/>
          <w:szCs w:val="24"/>
        </w:rPr>
        <w:t xml:space="preserve">, M.-T., </w:t>
      </w:r>
      <w:proofErr w:type="spellStart"/>
      <w:r w:rsidRPr="000E4FE6">
        <w:rPr>
          <w:rFonts w:ascii="Times New Roman" w:hAnsi="Times New Roman" w:cs="Times New Roman"/>
          <w:sz w:val="24"/>
          <w:szCs w:val="24"/>
        </w:rPr>
        <w:t>Lindfors</w:t>
      </w:r>
      <w:proofErr w:type="spellEnd"/>
      <w:r w:rsidRPr="000E4FE6">
        <w:rPr>
          <w:rFonts w:ascii="Times New Roman" w:hAnsi="Times New Roman" w:cs="Times New Roman"/>
          <w:sz w:val="24"/>
          <w:szCs w:val="24"/>
        </w:rPr>
        <w:t xml:space="preserve">, P., … </w:t>
      </w:r>
      <w:proofErr w:type="spellStart"/>
      <w:r w:rsidRPr="000E4FE6">
        <w:rPr>
          <w:rFonts w:ascii="Times New Roman" w:hAnsi="Times New Roman" w:cs="Times New Roman"/>
          <w:sz w:val="24"/>
          <w:szCs w:val="24"/>
        </w:rPr>
        <w:t>Rimpelä</w:t>
      </w:r>
      <w:proofErr w:type="spellEnd"/>
      <w:r w:rsidRPr="000E4FE6">
        <w:rPr>
          <w:rFonts w:ascii="Times New Roman" w:hAnsi="Times New Roman" w:cs="Times New Roman"/>
          <w:sz w:val="24"/>
          <w:szCs w:val="24"/>
        </w:rPr>
        <w:t xml:space="preserve">, A. (2009). Three </w:t>
      </w:r>
      <w:proofErr w:type="gramStart"/>
      <w:r w:rsidRPr="000E4FE6">
        <w:rPr>
          <w:rFonts w:ascii="Times New Roman" w:hAnsi="Times New Roman" w:cs="Times New Roman"/>
          <w:sz w:val="24"/>
          <w:szCs w:val="24"/>
        </w:rPr>
        <w:t>factor</w:t>
      </w:r>
      <w:proofErr w:type="gramEnd"/>
      <w:r w:rsidRPr="000E4FE6">
        <w:rPr>
          <w:rFonts w:ascii="Times New Roman" w:hAnsi="Times New Roman" w:cs="Times New Roman"/>
          <w:sz w:val="24"/>
          <w:szCs w:val="24"/>
        </w:rPr>
        <w:t xml:space="preserve"> eating questionnaire-R18 as a measure of cognitive restraint, uncontrolled eating and emotional eating in a sample of young Finnish females. </w:t>
      </w:r>
      <w:r w:rsidRPr="000E4FE6">
        <w:rPr>
          <w:rFonts w:ascii="Times New Roman" w:hAnsi="Times New Roman" w:cs="Times New Roman"/>
          <w:i/>
          <w:sz w:val="24"/>
          <w:szCs w:val="24"/>
        </w:rPr>
        <w:t xml:space="preserve">The International Journal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Nutrition and Physical Activity</w:t>
      </w:r>
      <w:r w:rsidRPr="000E4FE6">
        <w:rPr>
          <w:rFonts w:ascii="Times New Roman" w:hAnsi="Times New Roman" w:cs="Times New Roman"/>
          <w:sz w:val="24"/>
          <w:szCs w:val="24"/>
        </w:rPr>
        <w:t>, </w:t>
      </w:r>
      <w:r w:rsidRPr="000E4FE6">
        <w:rPr>
          <w:rFonts w:ascii="Times New Roman" w:hAnsi="Times New Roman" w:cs="Times New Roman"/>
          <w:i/>
          <w:sz w:val="24"/>
          <w:szCs w:val="24"/>
        </w:rPr>
        <w:t>6</w:t>
      </w:r>
      <w:r w:rsidRPr="000E4FE6">
        <w:rPr>
          <w:rFonts w:ascii="Times New Roman" w:hAnsi="Times New Roman" w:cs="Times New Roman"/>
          <w:sz w:val="24"/>
          <w:szCs w:val="24"/>
        </w:rPr>
        <w:t>, 41. https://doi.org/10.1186/1479-5868-6-41</w:t>
      </w:r>
    </w:p>
    <w:p w14:paraId="00000C6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lang w:val="es-ES_tradnl"/>
        </w:rPr>
        <w:lastRenderedPageBreak/>
        <w:t>Anschutz</w:t>
      </w:r>
      <w:proofErr w:type="spellEnd"/>
      <w:r w:rsidRPr="000E4FE6">
        <w:rPr>
          <w:rFonts w:ascii="Times New Roman" w:hAnsi="Times New Roman" w:cs="Times New Roman"/>
          <w:sz w:val="24"/>
          <w:szCs w:val="24"/>
          <w:lang w:val="es-ES_tradnl"/>
        </w:rPr>
        <w:t xml:space="preserve">, D. J., Van </w:t>
      </w:r>
      <w:proofErr w:type="spellStart"/>
      <w:r w:rsidRPr="000E4FE6">
        <w:rPr>
          <w:rFonts w:ascii="Times New Roman" w:hAnsi="Times New Roman" w:cs="Times New Roman"/>
          <w:sz w:val="24"/>
          <w:szCs w:val="24"/>
          <w:lang w:val="es-ES_tradnl"/>
        </w:rPr>
        <w:t>Strien</w:t>
      </w:r>
      <w:proofErr w:type="spellEnd"/>
      <w:r w:rsidRPr="000E4FE6">
        <w:rPr>
          <w:rFonts w:ascii="Times New Roman" w:hAnsi="Times New Roman" w:cs="Times New Roman"/>
          <w:sz w:val="24"/>
          <w:szCs w:val="24"/>
          <w:lang w:val="es-ES_tradnl"/>
        </w:rPr>
        <w:t xml:space="preserve">, T., Van De Ven, M. O. M., and Engels, R. C. M. E. (2009). </w:t>
      </w:r>
      <w:r w:rsidRPr="000E4FE6">
        <w:rPr>
          <w:rFonts w:ascii="Times New Roman" w:hAnsi="Times New Roman" w:cs="Times New Roman"/>
          <w:sz w:val="24"/>
          <w:szCs w:val="24"/>
        </w:rPr>
        <w:t>Eating styles and energy intake in young women.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53</w:t>
      </w:r>
      <w:r w:rsidRPr="000E4FE6">
        <w:rPr>
          <w:rFonts w:ascii="Times New Roman" w:hAnsi="Times New Roman" w:cs="Times New Roman"/>
          <w:sz w:val="24"/>
          <w:szCs w:val="24"/>
        </w:rPr>
        <w:t>(1), 119–122. https://doi.org/10.1016/j.appet.2009.03.016</w:t>
      </w:r>
    </w:p>
    <w:p w14:paraId="00000C6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Antoni, R., Robertson, T. M., Robertson, M. D., and Johnston, J. D. (2018). A pilot feasibility study exploring the effects of a moderate time-restricted feeding intervention on energy intake, adiposity and metabolic physiology in free-living human subjects. </w:t>
      </w:r>
      <w:r w:rsidRPr="000E4FE6">
        <w:rPr>
          <w:rFonts w:ascii="Times New Roman" w:hAnsi="Times New Roman" w:cs="Times New Roman"/>
          <w:i/>
          <w:sz w:val="24"/>
          <w:szCs w:val="24"/>
        </w:rPr>
        <w:t>Journal of Nutritional Science</w:t>
      </w:r>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 https://doi.org/10.1017/jns.2018.13</w:t>
      </w:r>
    </w:p>
    <w:p w14:paraId="00000C6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Antunes, L. C., </w:t>
      </w:r>
      <w:proofErr w:type="spellStart"/>
      <w:r w:rsidRPr="000E4FE6">
        <w:rPr>
          <w:rFonts w:ascii="Times New Roman" w:hAnsi="Times New Roman" w:cs="Times New Roman"/>
          <w:sz w:val="24"/>
          <w:szCs w:val="24"/>
        </w:rPr>
        <w:t>Levandovski</w:t>
      </w:r>
      <w:proofErr w:type="spellEnd"/>
      <w:r w:rsidRPr="000E4FE6">
        <w:rPr>
          <w:rFonts w:ascii="Times New Roman" w:hAnsi="Times New Roman" w:cs="Times New Roman"/>
          <w:sz w:val="24"/>
          <w:szCs w:val="24"/>
        </w:rPr>
        <w:t xml:space="preserve">, R., </w:t>
      </w:r>
      <w:proofErr w:type="spellStart"/>
      <w:r w:rsidRPr="000E4FE6">
        <w:rPr>
          <w:rFonts w:ascii="Times New Roman" w:hAnsi="Times New Roman" w:cs="Times New Roman"/>
          <w:sz w:val="24"/>
          <w:szCs w:val="24"/>
        </w:rPr>
        <w:t>Dantas</w:t>
      </w:r>
      <w:proofErr w:type="spellEnd"/>
      <w:r w:rsidRPr="000E4FE6">
        <w:rPr>
          <w:rFonts w:ascii="Times New Roman" w:hAnsi="Times New Roman" w:cs="Times New Roman"/>
          <w:sz w:val="24"/>
          <w:szCs w:val="24"/>
        </w:rPr>
        <w:t xml:space="preserve">, G., </w:t>
      </w:r>
      <w:proofErr w:type="spellStart"/>
      <w:r w:rsidRPr="000E4FE6">
        <w:rPr>
          <w:rFonts w:ascii="Times New Roman" w:hAnsi="Times New Roman" w:cs="Times New Roman"/>
          <w:sz w:val="24"/>
          <w:szCs w:val="24"/>
        </w:rPr>
        <w:t>Caumo</w:t>
      </w:r>
      <w:proofErr w:type="spellEnd"/>
      <w:r w:rsidRPr="000E4FE6">
        <w:rPr>
          <w:rFonts w:ascii="Times New Roman" w:hAnsi="Times New Roman" w:cs="Times New Roman"/>
          <w:sz w:val="24"/>
          <w:szCs w:val="24"/>
        </w:rPr>
        <w:t>, W., and Hidalgo, M. P. (2010). Obesity and shift work: chronobiological aspects. </w:t>
      </w:r>
      <w:r w:rsidRPr="000E4FE6">
        <w:rPr>
          <w:rFonts w:ascii="Times New Roman" w:hAnsi="Times New Roman" w:cs="Times New Roman"/>
          <w:i/>
          <w:sz w:val="24"/>
          <w:szCs w:val="24"/>
        </w:rPr>
        <w:t>Nutrition Research Reviews</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(1), 155–168. https://doi.org/10.1017/S0954422410000016</w:t>
      </w:r>
    </w:p>
    <w:p w14:paraId="00000C6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Arain, M., Campbell, M. J., Cooper, C. L., and Lancaster, G. A. (2010). What is a pilot or feasibility study? A review of current practice and editorial policy. </w:t>
      </w:r>
      <w:r w:rsidRPr="000E4FE6">
        <w:rPr>
          <w:rFonts w:ascii="Times New Roman" w:hAnsi="Times New Roman" w:cs="Times New Roman"/>
          <w:i/>
          <w:sz w:val="24"/>
          <w:szCs w:val="24"/>
        </w:rPr>
        <w:t>BMC Medical Research Methodology</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 67. https://doi.org/10.1186/1471-2288-10-67</w:t>
      </w:r>
    </w:p>
    <w:p w14:paraId="00000C6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Arasu</w:t>
      </w:r>
      <w:proofErr w:type="spellEnd"/>
      <w:r w:rsidRPr="000E4FE6">
        <w:rPr>
          <w:rFonts w:ascii="Times New Roman" w:hAnsi="Times New Roman" w:cs="Times New Roman"/>
          <w:sz w:val="24"/>
          <w:szCs w:val="24"/>
        </w:rPr>
        <w:t>, A., Moran, L. J., Robinson, T., Boyle, J., and Lim, S. (2019). Barriers and Facilitators to Weight and Lifestyle Management in Women with Polycystic Ovary Syndrome: General Practitioners’ Perspectives.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(5). https://doi.org/10.3390/nu11051024</w:t>
      </w:r>
    </w:p>
    <w:p w14:paraId="00000C6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Arble</w:t>
      </w:r>
      <w:proofErr w:type="spellEnd"/>
      <w:r w:rsidRPr="000E4FE6">
        <w:rPr>
          <w:rFonts w:ascii="Times New Roman" w:hAnsi="Times New Roman" w:cs="Times New Roman"/>
          <w:sz w:val="24"/>
          <w:szCs w:val="24"/>
        </w:rPr>
        <w:t xml:space="preserve">, D. M., Bass, J., </w:t>
      </w:r>
      <w:proofErr w:type="spellStart"/>
      <w:r w:rsidRPr="000E4FE6">
        <w:rPr>
          <w:rFonts w:ascii="Times New Roman" w:hAnsi="Times New Roman" w:cs="Times New Roman"/>
          <w:sz w:val="24"/>
          <w:szCs w:val="24"/>
        </w:rPr>
        <w:t>Laposky</w:t>
      </w:r>
      <w:proofErr w:type="spellEnd"/>
      <w:r w:rsidRPr="000E4FE6">
        <w:rPr>
          <w:rFonts w:ascii="Times New Roman" w:hAnsi="Times New Roman" w:cs="Times New Roman"/>
          <w:sz w:val="24"/>
          <w:szCs w:val="24"/>
        </w:rPr>
        <w:t xml:space="preserve">, A. D., </w:t>
      </w:r>
      <w:proofErr w:type="spellStart"/>
      <w:r w:rsidRPr="000E4FE6">
        <w:rPr>
          <w:rFonts w:ascii="Times New Roman" w:hAnsi="Times New Roman" w:cs="Times New Roman"/>
          <w:sz w:val="24"/>
          <w:szCs w:val="24"/>
        </w:rPr>
        <w:t>Vitaterna</w:t>
      </w:r>
      <w:proofErr w:type="spellEnd"/>
      <w:r w:rsidRPr="000E4FE6">
        <w:rPr>
          <w:rFonts w:ascii="Times New Roman" w:hAnsi="Times New Roman" w:cs="Times New Roman"/>
          <w:sz w:val="24"/>
          <w:szCs w:val="24"/>
        </w:rPr>
        <w:t xml:space="preserve">, M. H., and </w:t>
      </w:r>
      <w:proofErr w:type="spellStart"/>
      <w:r w:rsidRPr="000E4FE6">
        <w:rPr>
          <w:rFonts w:ascii="Times New Roman" w:hAnsi="Times New Roman" w:cs="Times New Roman"/>
          <w:sz w:val="24"/>
          <w:szCs w:val="24"/>
        </w:rPr>
        <w:t>Turek</w:t>
      </w:r>
      <w:proofErr w:type="spellEnd"/>
      <w:r w:rsidRPr="000E4FE6">
        <w:rPr>
          <w:rFonts w:ascii="Times New Roman" w:hAnsi="Times New Roman" w:cs="Times New Roman"/>
          <w:sz w:val="24"/>
          <w:szCs w:val="24"/>
        </w:rPr>
        <w:t>, F. W. (2009). Circadian timing of food intake contributes to weight gain.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17</w:t>
      </w:r>
      <w:r w:rsidRPr="000E4FE6">
        <w:rPr>
          <w:rFonts w:ascii="Times New Roman" w:hAnsi="Times New Roman" w:cs="Times New Roman"/>
          <w:sz w:val="24"/>
          <w:szCs w:val="24"/>
        </w:rPr>
        <w:t>(11), 2100–2102. https://doi.org/10.1038/oby.2009.264</w:t>
      </w:r>
    </w:p>
    <w:p w14:paraId="00000C66" w14:textId="10840D8A" w:rsidR="00CB4215"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Arguin</w:t>
      </w:r>
      <w:proofErr w:type="spellEnd"/>
      <w:r w:rsidRPr="000E4FE6">
        <w:rPr>
          <w:rFonts w:ascii="Times New Roman" w:hAnsi="Times New Roman" w:cs="Times New Roman"/>
          <w:sz w:val="24"/>
          <w:szCs w:val="24"/>
        </w:rPr>
        <w:t xml:space="preserve">, H., Tremblay, A., Blundell, J. E., </w:t>
      </w:r>
      <w:proofErr w:type="spellStart"/>
      <w:r w:rsidRPr="000E4FE6">
        <w:rPr>
          <w:rFonts w:ascii="Times New Roman" w:hAnsi="Times New Roman" w:cs="Times New Roman"/>
          <w:sz w:val="24"/>
          <w:szCs w:val="24"/>
        </w:rPr>
        <w:t>Després</w:t>
      </w:r>
      <w:proofErr w:type="spellEnd"/>
      <w:r w:rsidRPr="000E4FE6">
        <w:rPr>
          <w:rFonts w:ascii="Times New Roman" w:hAnsi="Times New Roman" w:cs="Times New Roman"/>
          <w:sz w:val="24"/>
          <w:szCs w:val="24"/>
        </w:rPr>
        <w:t>, J.-P., Richard, D., Lamarche, B., and Drapeau, V. (2017). Impact of a non-restrictive satiating diet on anthropometrics, satiety responsiveness and eating behaviour traits in obese men displaying a high or a low satiety phenotype.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118</w:t>
      </w:r>
      <w:r w:rsidRPr="000E4FE6">
        <w:rPr>
          <w:rFonts w:ascii="Times New Roman" w:hAnsi="Times New Roman" w:cs="Times New Roman"/>
          <w:sz w:val="24"/>
          <w:szCs w:val="24"/>
        </w:rPr>
        <w:t xml:space="preserve">(9), 750–760. </w:t>
      </w:r>
      <w:hyperlink r:id="rId821" w:history="1">
        <w:r w:rsidR="00743AE7" w:rsidRPr="00CB0261">
          <w:rPr>
            <w:rStyle w:val="Hyperlink"/>
            <w:rFonts w:ascii="Times New Roman" w:hAnsi="Times New Roman" w:cs="Times New Roman"/>
            <w:sz w:val="24"/>
            <w:szCs w:val="24"/>
          </w:rPr>
          <w:t>https://doi.org/10.1017/S0007114517002549</w:t>
        </w:r>
      </w:hyperlink>
    </w:p>
    <w:p w14:paraId="5C3588BE" w14:textId="3AE1BC53"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lastRenderedPageBreak/>
        <w:t>Arksey, H., and O’Malley, L. (2005). Scoping studies: Towards a methodological framework. International Journal of Social Research Methodology, 8(1), 19–32. https://doi.org/10.1080/1364557032000119616</w:t>
      </w:r>
    </w:p>
    <w:p w14:paraId="00000C6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Arias-</w:t>
      </w:r>
      <w:proofErr w:type="spellStart"/>
      <w:r w:rsidRPr="000E4FE6">
        <w:rPr>
          <w:rFonts w:ascii="Times New Roman" w:hAnsi="Times New Roman" w:cs="Times New Roman"/>
          <w:sz w:val="24"/>
          <w:szCs w:val="24"/>
        </w:rPr>
        <w:t>Carrión</w:t>
      </w:r>
      <w:proofErr w:type="spellEnd"/>
      <w:r w:rsidRPr="000E4FE6">
        <w:rPr>
          <w:rFonts w:ascii="Times New Roman" w:hAnsi="Times New Roman" w:cs="Times New Roman"/>
          <w:sz w:val="24"/>
          <w:szCs w:val="24"/>
        </w:rPr>
        <w:t xml:space="preserve">, O., </w:t>
      </w:r>
      <w:proofErr w:type="spellStart"/>
      <w:r w:rsidRPr="000E4FE6">
        <w:rPr>
          <w:rFonts w:ascii="Times New Roman" w:hAnsi="Times New Roman" w:cs="Times New Roman"/>
          <w:sz w:val="24"/>
          <w:szCs w:val="24"/>
        </w:rPr>
        <w:t>Stamelou</w:t>
      </w:r>
      <w:proofErr w:type="spellEnd"/>
      <w:r w:rsidRPr="000E4FE6">
        <w:rPr>
          <w:rFonts w:ascii="Times New Roman" w:hAnsi="Times New Roman" w:cs="Times New Roman"/>
          <w:sz w:val="24"/>
          <w:szCs w:val="24"/>
        </w:rPr>
        <w:t xml:space="preserve">, M., Murillo-Rodríguez, E., Menéndez-González, M., and </w:t>
      </w:r>
      <w:proofErr w:type="spellStart"/>
      <w:r w:rsidRPr="000E4FE6">
        <w:rPr>
          <w:rFonts w:ascii="Times New Roman" w:hAnsi="Times New Roman" w:cs="Times New Roman"/>
          <w:sz w:val="24"/>
          <w:szCs w:val="24"/>
        </w:rPr>
        <w:t>Pöppel</w:t>
      </w:r>
      <w:proofErr w:type="spellEnd"/>
      <w:r w:rsidRPr="000E4FE6">
        <w:rPr>
          <w:rFonts w:ascii="Times New Roman" w:hAnsi="Times New Roman" w:cs="Times New Roman"/>
          <w:sz w:val="24"/>
          <w:szCs w:val="24"/>
        </w:rPr>
        <w:t>, E. (2010). Dopaminergic reward system: a short integrative review. </w:t>
      </w:r>
      <w:r w:rsidRPr="000E4FE6">
        <w:rPr>
          <w:rFonts w:ascii="Times New Roman" w:hAnsi="Times New Roman" w:cs="Times New Roman"/>
          <w:i/>
          <w:sz w:val="24"/>
          <w:szCs w:val="24"/>
        </w:rPr>
        <w:t>International Archives of Medicine</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 24. https://doi.org/10.1186/1755-7682-3-24</w:t>
      </w:r>
    </w:p>
    <w:p w14:paraId="00000C6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Armstrong, G., Farley, H., Gray, J., and Durkin, M. (2005). Marketing health‐enhancing foods: implications from the dairy sector. </w:t>
      </w:r>
      <w:r w:rsidRPr="000E4FE6">
        <w:rPr>
          <w:rFonts w:ascii="Times New Roman" w:hAnsi="Times New Roman" w:cs="Times New Roman"/>
          <w:i/>
          <w:sz w:val="24"/>
          <w:szCs w:val="24"/>
        </w:rPr>
        <w:t>Marketing Intelligence &amp; Planning</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(7), 705–719. https://doi.org/10.1108/02634500510630221</w:t>
      </w:r>
    </w:p>
    <w:p w14:paraId="00000C6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Asher, G., and </w:t>
      </w:r>
      <w:proofErr w:type="spellStart"/>
      <w:r w:rsidRPr="000E4FE6">
        <w:rPr>
          <w:rFonts w:ascii="Times New Roman" w:hAnsi="Times New Roman" w:cs="Times New Roman"/>
          <w:sz w:val="24"/>
          <w:szCs w:val="24"/>
        </w:rPr>
        <w:t>Sassone-Corsi</w:t>
      </w:r>
      <w:proofErr w:type="spellEnd"/>
      <w:r w:rsidRPr="000E4FE6">
        <w:rPr>
          <w:rFonts w:ascii="Times New Roman" w:hAnsi="Times New Roman" w:cs="Times New Roman"/>
          <w:sz w:val="24"/>
          <w:szCs w:val="24"/>
        </w:rPr>
        <w:t>, P. (2015). Time for food: the intimate interplay between nutrition, metabolism, and the circadian clock. </w:t>
      </w:r>
      <w:r w:rsidRPr="000E4FE6">
        <w:rPr>
          <w:rFonts w:ascii="Times New Roman" w:hAnsi="Times New Roman" w:cs="Times New Roman"/>
          <w:i/>
          <w:sz w:val="24"/>
          <w:szCs w:val="24"/>
        </w:rPr>
        <w:t>Cell</w:t>
      </w:r>
      <w:r w:rsidRPr="000E4FE6">
        <w:rPr>
          <w:rFonts w:ascii="Times New Roman" w:hAnsi="Times New Roman" w:cs="Times New Roman"/>
          <w:sz w:val="24"/>
          <w:szCs w:val="24"/>
        </w:rPr>
        <w:t>, </w:t>
      </w:r>
      <w:r w:rsidRPr="000E4FE6">
        <w:rPr>
          <w:rFonts w:ascii="Times New Roman" w:hAnsi="Times New Roman" w:cs="Times New Roman"/>
          <w:i/>
          <w:sz w:val="24"/>
          <w:szCs w:val="24"/>
        </w:rPr>
        <w:t>161</w:t>
      </w:r>
      <w:r w:rsidRPr="000E4FE6">
        <w:rPr>
          <w:rFonts w:ascii="Times New Roman" w:hAnsi="Times New Roman" w:cs="Times New Roman"/>
          <w:sz w:val="24"/>
          <w:szCs w:val="24"/>
        </w:rPr>
        <w:t>(1), 84–92. https://doi.org/10.1016/j.cell.2015.03.015</w:t>
      </w:r>
    </w:p>
    <w:p w14:paraId="00000C6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Ashton, L. M., Sharkey, T., </w:t>
      </w:r>
      <w:proofErr w:type="spellStart"/>
      <w:r w:rsidRPr="000E4FE6">
        <w:rPr>
          <w:rFonts w:ascii="Times New Roman" w:hAnsi="Times New Roman" w:cs="Times New Roman"/>
          <w:sz w:val="24"/>
          <w:szCs w:val="24"/>
        </w:rPr>
        <w:t>Whatnall</w:t>
      </w:r>
      <w:proofErr w:type="spellEnd"/>
      <w:r w:rsidRPr="000E4FE6">
        <w:rPr>
          <w:rFonts w:ascii="Times New Roman" w:hAnsi="Times New Roman" w:cs="Times New Roman"/>
          <w:sz w:val="24"/>
          <w:szCs w:val="24"/>
        </w:rPr>
        <w:t xml:space="preserve">, M. C., Williams, R. L., </w:t>
      </w:r>
      <w:proofErr w:type="spellStart"/>
      <w:r w:rsidRPr="000E4FE6">
        <w:rPr>
          <w:rFonts w:ascii="Times New Roman" w:hAnsi="Times New Roman" w:cs="Times New Roman"/>
          <w:sz w:val="24"/>
          <w:szCs w:val="24"/>
        </w:rPr>
        <w:t>Bezzina</w:t>
      </w:r>
      <w:proofErr w:type="spellEnd"/>
      <w:r w:rsidRPr="000E4FE6">
        <w:rPr>
          <w:rFonts w:ascii="Times New Roman" w:hAnsi="Times New Roman" w:cs="Times New Roman"/>
          <w:sz w:val="24"/>
          <w:szCs w:val="24"/>
        </w:rPr>
        <w:t xml:space="preserve">, A., Aguiar, E. J., … </w:t>
      </w:r>
      <w:proofErr w:type="spellStart"/>
      <w:r w:rsidRPr="000E4FE6">
        <w:rPr>
          <w:rFonts w:ascii="Times New Roman" w:hAnsi="Times New Roman" w:cs="Times New Roman"/>
          <w:sz w:val="24"/>
          <w:szCs w:val="24"/>
        </w:rPr>
        <w:t>Hutchesson</w:t>
      </w:r>
      <w:proofErr w:type="spellEnd"/>
      <w:r w:rsidRPr="000E4FE6">
        <w:rPr>
          <w:rFonts w:ascii="Times New Roman" w:hAnsi="Times New Roman" w:cs="Times New Roman"/>
          <w:sz w:val="24"/>
          <w:szCs w:val="24"/>
        </w:rPr>
        <w:t>, M. J. (2019). Effectiveness of Interventions and Behaviour Change Techniques for Improving Dietary Intake in Young Adults: A Systematic Review and Meta-Analysis of RCTs.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(4). https://doi.org/10.3390/nu11040825</w:t>
      </w:r>
    </w:p>
    <w:p w14:paraId="00000C6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Astbury, N. M., Taylor, M. A., and Macdonald, I. A. (2011). Breakfast consumption affects appetite, energy intake, and the metabolic and endocrine responses to foods consumed later in the day in male habitual breakfast eaters. </w:t>
      </w:r>
      <w:r w:rsidRPr="000E4FE6">
        <w:rPr>
          <w:rFonts w:ascii="Times New Roman" w:hAnsi="Times New Roman" w:cs="Times New Roman"/>
          <w:i/>
          <w:sz w:val="24"/>
          <w:szCs w:val="24"/>
        </w:rPr>
        <w:t>The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141</w:t>
      </w:r>
      <w:r w:rsidRPr="000E4FE6">
        <w:rPr>
          <w:rFonts w:ascii="Times New Roman" w:hAnsi="Times New Roman" w:cs="Times New Roman"/>
          <w:sz w:val="24"/>
          <w:szCs w:val="24"/>
        </w:rPr>
        <w:t>(7), 1381–1389. https://doi.org/10.3945/jn.110.128645</w:t>
      </w:r>
    </w:p>
    <w:p w14:paraId="00000C6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Atkinson, T. J. (2008). Central and peripheral neuroendocrine peptides and signalling in appetite regulation: considerations for obesity pharmacotherapy.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(2), 108–120. https://doi.org/10.1111/j.1467-789X.2007.00412.x</w:t>
      </w:r>
    </w:p>
    <w:p w14:paraId="00000C6D" w14:textId="54C2BF73"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Aubé</w:t>
      </w:r>
      <w:proofErr w:type="spellEnd"/>
      <w:r w:rsidRPr="000E4FE6">
        <w:rPr>
          <w:rFonts w:ascii="Times New Roman" w:hAnsi="Times New Roman" w:cs="Times New Roman"/>
          <w:sz w:val="24"/>
          <w:szCs w:val="24"/>
        </w:rPr>
        <w:t>, J., and Marquis, M. (2011). [Attitudes and habits of Canadians in relation to planning and preparing meals at home]. </w:t>
      </w:r>
      <w:r w:rsidRPr="000E4FE6">
        <w:rPr>
          <w:rFonts w:ascii="Times New Roman" w:hAnsi="Times New Roman" w:cs="Times New Roman"/>
          <w:i/>
          <w:sz w:val="24"/>
          <w:szCs w:val="24"/>
        </w:rPr>
        <w:t xml:space="preserve">Canadian Journal of Dietetic Practice and </w:t>
      </w:r>
      <w:r w:rsidR="00726876" w:rsidRPr="000E4FE6">
        <w:rPr>
          <w:rFonts w:ascii="Times New Roman" w:hAnsi="Times New Roman" w:cs="Times New Roman"/>
          <w:i/>
          <w:sz w:val="24"/>
          <w:szCs w:val="24"/>
        </w:rPr>
        <w:t>Research:</w:t>
      </w:r>
      <w:r w:rsidRPr="000E4FE6">
        <w:rPr>
          <w:rFonts w:ascii="Times New Roman" w:hAnsi="Times New Roman" w:cs="Times New Roman"/>
          <w:i/>
          <w:sz w:val="24"/>
          <w:szCs w:val="24"/>
        </w:rPr>
        <w:t xml:space="preserve"> A </w:t>
      </w:r>
      <w:r w:rsidRPr="000E4FE6">
        <w:rPr>
          <w:rFonts w:ascii="Times New Roman" w:hAnsi="Times New Roman" w:cs="Times New Roman"/>
          <w:i/>
          <w:sz w:val="24"/>
          <w:szCs w:val="24"/>
        </w:rPr>
        <w:lastRenderedPageBreak/>
        <w:t xml:space="preserve">Publication of Dietitians of Canada = Revue Canadienne de La Pratique et de La Recherche </w:t>
      </w:r>
      <w:proofErr w:type="spellStart"/>
      <w:r w:rsidRPr="000E4FE6">
        <w:rPr>
          <w:rFonts w:ascii="Times New Roman" w:hAnsi="Times New Roman" w:cs="Times New Roman"/>
          <w:i/>
          <w:sz w:val="24"/>
          <w:szCs w:val="24"/>
        </w:rPr>
        <w:t>En</w:t>
      </w:r>
      <w:proofErr w:type="spellEnd"/>
      <w:r w:rsidRPr="000E4FE6">
        <w:rPr>
          <w:rFonts w:ascii="Times New Roman" w:hAnsi="Times New Roman" w:cs="Times New Roman"/>
          <w:i/>
          <w:sz w:val="24"/>
          <w:szCs w:val="24"/>
        </w:rPr>
        <w:t xml:space="preserve"> </w:t>
      </w:r>
      <w:proofErr w:type="spellStart"/>
      <w:proofErr w:type="gramStart"/>
      <w:r w:rsidRPr="000E4FE6">
        <w:rPr>
          <w:rFonts w:ascii="Times New Roman" w:hAnsi="Times New Roman" w:cs="Times New Roman"/>
          <w:i/>
          <w:sz w:val="24"/>
          <w:szCs w:val="24"/>
        </w:rPr>
        <w:t>Dietetique</w:t>
      </w:r>
      <w:proofErr w:type="spellEnd"/>
      <w:r w:rsidRPr="000E4FE6">
        <w:rPr>
          <w:rFonts w:ascii="Times New Roman" w:hAnsi="Times New Roman" w:cs="Times New Roman"/>
          <w:i/>
          <w:sz w:val="24"/>
          <w:szCs w:val="24"/>
        </w:rPr>
        <w:t> :</w:t>
      </w:r>
      <w:proofErr w:type="gramEnd"/>
      <w:r w:rsidRPr="000E4FE6">
        <w:rPr>
          <w:rFonts w:ascii="Times New Roman" w:hAnsi="Times New Roman" w:cs="Times New Roman"/>
          <w:i/>
          <w:sz w:val="24"/>
          <w:szCs w:val="24"/>
        </w:rPr>
        <w:t xml:space="preserve"> Une Publication Des </w:t>
      </w:r>
      <w:proofErr w:type="spellStart"/>
      <w:r w:rsidRPr="000E4FE6">
        <w:rPr>
          <w:rFonts w:ascii="Times New Roman" w:hAnsi="Times New Roman" w:cs="Times New Roman"/>
          <w:i/>
          <w:sz w:val="24"/>
          <w:szCs w:val="24"/>
        </w:rPr>
        <w:t>Dietetistes</w:t>
      </w:r>
      <w:proofErr w:type="spellEnd"/>
      <w:r w:rsidRPr="000E4FE6">
        <w:rPr>
          <w:rFonts w:ascii="Times New Roman" w:hAnsi="Times New Roman" w:cs="Times New Roman"/>
          <w:i/>
          <w:sz w:val="24"/>
          <w:szCs w:val="24"/>
        </w:rPr>
        <w:t xml:space="preserve"> Du Canada</w:t>
      </w:r>
      <w:r w:rsidRPr="000E4FE6">
        <w:rPr>
          <w:rFonts w:ascii="Times New Roman" w:hAnsi="Times New Roman" w:cs="Times New Roman"/>
          <w:sz w:val="24"/>
          <w:szCs w:val="24"/>
        </w:rPr>
        <w:t>, </w:t>
      </w:r>
      <w:r w:rsidRPr="000E4FE6">
        <w:rPr>
          <w:rFonts w:ascii="Times New Roman" w:hAnsi="Times New Roman" w:cs="Times New Roman"/>
          <w:i/>
          <w:sz w:val="24"/>
          <w:szCs w:val="24"/>
        </w:rPr>
        <w:t>72</w:t>
      </w:r>
      <w:r w:rsidRPr="000E4FE6">
        <w:rPr>
          <w:rFonts w:ascii="Times New Roman" w:hAnsi="Times New Roman" w:cs="Times New Roman"/>
          <w:sz w:val="24"/>
          <w:szCs w:val="24"/>
        </w:rPr>
        <w:t>(2), 70–75. https://doi.org/10.3148/72.2.2011.70</w:t>
      </w:r>
    </w:p>
    <w:p w14:paraId="00000C6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Austin, J., and Marks, D. (2009). Hormonal regulators of appetite. </w:t>
      </w:r>
      <w:r w:rsidRPr="000E4FE6">
        <w:rPr>
          <w:rFonts w:ascii="Times New Roman" w:hAnsi="Times New Roman" w:cs="Times New Roman"/>
          <w:i/>
          <w:sz w:val="24"/>
          <w:szCs w:val="24"/>
        </w:rPr>
        <w:t xml:space="preserve">International Journal of </w:t>
      </w:r>
      <w:proofErr w:type="spellStart"/>
      <w:r w:rsidRPr="000E4FE6">
        <w:rPr>
          <w:rFonts w:ascii="Times New Roman" w:hAnsi="Times New Roman" w:cs="Times New Roman"/>
          <w:i/>
          <w:sz w:val="24"/>
          <w:szCs w:val="24"/>
        </w:rPr>
        <w:t>Pediatric</w:t>
      </w:r>
      <w:proofErr w:type="spellEnd"/>
      <w:r w:rsidRPr="000E4FE6">
        <w:rPr>
          <w:rFonts w:ascii="Times New Roman" w:hAnsi="Times New Roman" w:cs="Times New Roman"/>
          <w:i/>
          <w:sz w:val="24"/>
          <w:szCs w:val="24"/>
        </w:rPr>
        <w:t xml:space="preserve"> Endocrinology</w:t>
      </w:r>
      <w:r w:rsidRPr="000E4FE6">
        <w:rPr>
          <w:rFonts w:ascii="Times New Roman" w:hAnsi="Times New Roman" w:cs="Times New Roman"/>
          <w:sz w:val="24"/>
          <w:szCs w:val="24"/>
        </w:rPr>
        <w:t>, </w:t>
      </w:r>
      <w:r w:rsidRPr="000E4FE6">
        <w:rPr>
          <w:rFonts w:ascii="Times New Roman" w:hAnsi="Times New Roman" w:cs="Times New Roman"/>
          <w:i/>
          <w:sz w:val="24"/>
          <w:szCs w:val="24"/>
        </w:rPr>
        <w:t>2009</w:t>
      </w:r>
      <w:r w:rsidRPr="000E4FE6">
        <w:rPr>
          <w:rFonts w:ascii="Times New Roman" w:hAnsi="Times New Roman" w:cs="Times New Roman"/>
          <w:sz w:val="24"/>
          <w:szCs w:val="24"/>
        </w:rPr>
        <w:t>, 141753. https://doi.org/10.1155/2009/141753</w:t>
      </w:r>
    </w:p>
    <w:p w14:paraId="00000C6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Badland</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Whitzman</w:t>
      </w:r>
      <w:proofErr w:type="spellEnd"/>
      <w:r w:rsidRPr="000E4FE6">
        <w:rPr>
          <w:rFonts w:ascii="Times New Roman" w:hAnsi="Times New Roman" w:cs="Times New Roman"/>
          <w:sz w:val="24"/>
          <w:szCs w:val="24"/>
        </w:rPr>
        <w:t xml:space="preserve">, C., Lowe, M., </w:t>
      </w:r>
      <w:proofErr w:type="spellStart"/>
      <w:r w:rsidRPr="000E4FE6">
        <w:rPr>
          <w:rFonts w:ascii="Times New Roman" w:hAnsi="Times New Roman" w:cs="Times New Roman"/>
          <w:sz w:val="24"/>
          <w:szCs w:val="24"/>
        </w:rPr>
        <w:t>Davern</w:t>
      </w:r>
      <w:proofErr w:type="spellEnd"/>
      <w:r w:rsidRPr="000E4FE6">
        <w:rPr>
          <w:rFonts w:ascii="Times New Roman" w:hAnsi="Times New Roman" w:cs="Times New Roman"/>
          <w:sz w:val="24"/>
          <w:szCs w:val="24"/>
        </w:rPr>
        <w:t>, M., Aye, L., Butterworth, I., … Giles-</w:t>
      </w:r>
      <w:proofErr w:type="spellStart"/>
      <w:r w:rsidRPr="000E4FE6">
        <w:rPr>
          <w:rFonts w:ascii="Times New Roman" w:hAnsi="Times New Roman" w:cs="Times New Roman"/>
          <w:sz w:val="24"/>
          <w:szCs w:val="24"/>
        </w:rPr>
        <w:t>Corti</w:t>
      </w:r>
      <w:proofErr w:type="spellEnd"/>
      <w:r w:rsidRPr="000E4FE6">
        <w:rPr>
          <w:rFonts w:ascii="Times New Roman" w:hAnsi="Times New Roman" w:cs="Times New Roman"/>
          <w:sz w:val="24"/>
          <w:szCs w:val="24"/>
        </w:rPr>
        <w:t>, B. (2014). Urban liveability: emerging lessons from Australia for exploring the potential for indicators to measure the social determinants of health. </w:t>
      </w:r>
      <w:r w:rsidRPr="000E4FE6">
        <w:rPr>
          <w:rFonts w:ascii="Times New Roman" w:hAnsi="Times New Roman" w:cs="Times New Roman"/>
          <w:i/>
          <w:sz w:val="24"/>
          <w:szCs w:val="24"/>
        </w:rPr>
        <w:t>Social Science &amp; Medicine</w:t>
      </w:r>
      <w:r w:rsidRPr="000E4FE6">
        <w:rPr>
          <w:rFonts w:ascii="Times New Roman" w:hAnsi="Times New Roman" w:cs="Times New Roman"/>
          <w:sz w:val="24"/>
          <w:szCs w:val="24"/>
        </w:rPr>
        <w:t>, </w:t>
      </w:r>
      <w:r w:rsidRPr="000E4FE6">
        <w:rPr>
          <w:rFonts w:ascii="Times New Roman" w:hAnsi="Times New Roman" w:cs="Times New Roman"/>
          <w:i/>
          <w:sz w:val="24"/>
          <w:szCs w:val="24"/>
        </w:rPr>
        <w:t>111</w:t>
      </w:r>
      <w:r w:rsidRPr="000E4FE6">
        <w:rPr>
          <w:rFonts w:ascii="Times New Roman" w:hAnsi="Times New Roman" w:cs="Times New Roman"/>
          <w:sz w:val="24"/>
          <w:szCs w:val="24"/>
        </w:rPr>
        <w:t>, 64–73. https://doi.org/10.1016/j.socscimed.2014.04.003</w:t>
      </w:r>
    </w:p>
    <w:p w14:paraId="00000C7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Bailey, R. L. (2021). Overview of dietary assessment methods for measuring intakes of foods, beverages, and dietary supplements in research studies. </w:t>
      </w:r>
      <w:r w:rsidRPr="000E4FE6">
        <w:rPr>
          <w:rFonts w:ascii="Times New Roman" w:hAnsi="Times New Roman" w:cs="Times New Roman"/>
          <w:i/>
          <w:sz w:val="24"/>
          <w:szCs w:val="24"/>
        </w:rPr>
        <w:t>Current Opinion in Biotechnology</w:t>
      </w:r>
      <w:r w:rsidRPr="000E4FE6">
        <w:rPr>
          <w:rFonts w:ascii="Times New Roman" w:hAnsi="Times New Roman" w:cs="Times New Roman"/>
          <w:sz w:val="24"/>
          <w:szCs w:val="24"/>
        </w:rPr>
        <w:t>, </w:t>
      </w:r>
      <w:r w:rsidRPr="000E4FE6">
        <w:rPr>
          <w:rFonts w:ascii="Times New Roman" w:hAnsi="Times New Roman" w:cs="Times New Roman"/>
          <w:i/>
          <w:sz w:val="24"/>
          <w:szCs w:val="24"/>
        </w:rPr>
        <w:t>70</w:t>
      </w:r>
      <w:r w:rsidRPr="000E4FE6">
        <w:rPr>
          <w:rFonts w:ascii="Times New Roman" w:hAnsi="Times New Roman" w:cs="Times New Roman"/>
          <w:sz w:val="24"/>
          <w:szCs w:val="24"/>
        </w:rPr>
        <w:t>, 91–96. https://doi.org/10.1016/j.copbio.2021.02.007</w:t>
      </w:r>
    </w:p>
    <w:p w14:paraId="00000C7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Baranowski, T., Smith, M., Baranowski, J., Wang, D. T., Doyle, C., Lin, L. S., … </w:t>
      </w:r>
      <w:proofErr w:type="spellStart"/>
      <w:r w:rsidRPr="000E4FE6">
        <w:rPr>
          <w:rFonts w:ascii="Times New Roman" w:hAnsi="Times New Roman" w:cs="Times New Roman"/>
          <w:sz w:val="24"/>
          <w:szCs w:val="24"/>
        </w:rPr>
        <w:t>Resnicow</w:t>
      </w:r>
      <w:proofErr w:type="spellEnd"/>
      <w:r w:rsidRPr="000E4FE6">
        <w:rPr>
          <w:rFonts w:ascii="Times New Roman" w:hAnsi="Times New Roman" w:cs="Times New Roman"/>
          <w:sz w:val="24"/>
          <w:szCs w:val="24"/>
        </w:rPr>
        <w:t>, K. (1997). Low validity of a seven-item fruit and vegetable food frequency questionnaire among third-grade students. </w:t>
      </w:r>
      <w:r w:rsidRPr="000E4FE6">
        <w:rPr>
          <w:rFonts w:ascii="Times New Roman" w:hAnsi="Times New Roman" w:cs="Times New Roman"/>
          <w:i/>
          <w:sz w:val="24"/>
          <w:szCs w:val="24"/>
        </w:rPr>
        <w:t>Journal of the 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97</w:t>
      </w:r>
      <w:r w:rsidRPr="000E4FE6">
        <w:rPr>
          <w:rFonts w:ascii="Times New Roman" w:hAnsi="Times New Roman" w:cs="Times New Roman"/>
          <w:sz w:val="24"/>
          <w:szCs w:val="24"/>
        </w:rPr>
        <w:t>(1), 66–68. https://doi.org/10.1016/S0002-8223(97)00022-9</w:t>
      </w:r>
    </w:p>
    <w:p w14:paraId="00000C7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Barclay, J. L., </w:t>
      </w:r>
      <w:proofErr w:type="spellStart"/>
      <w:r w:rsidRPr="000E4FE6">
        <w:rPr>
          <w:rFonts w:ascii="Times New Roman" w:hAnsi="Times New Roman" w:cs="Times New Roman"/>
          <w:sz w:val="24"/>
          <w:szCs w:val="24"/>
        </w:rPr>
        <w:t>Shostak</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Leliavski</w:t>
      </w:r>
      <w:proofErr w:type="spellEnd"/>
      <w:r w:rsidRPr="000E4FE6">
        <w:rPr>
          <w:rFonts w:ascii="Times New Roman" w:hAnsi="Times New Roman" w:cs="Times New Roman"/>
          <w:sz w:val="24"/>
          <w:szCs w:val="24"/>
        </w:rPr>
        <w:t xml:space="preserve">, A., Tsang, A. H., </w:t>
      </w:r>
      <w:proofErr w:type="spellStart"/>
      <w:r w:rsidRPr="000E4FE6">
        <w:rPr>
          <w:rFonts w:ascii="Times New Roman" w:hAnsi="Times New Roman" w:cs="Times New Roman"/>
          <w:sz w:val="24"/>
          <w:szCs w:val="24"/>
        </w:rPr>
        <w:t>Jöhren</w:t>
      </w:r>
      <w:proofErr w:type="spellEnd"/>
      <w:r w:rsidRPr="000E4FE6">
        <w:rPr>
          <w:rFonts w:ascii="Times New Roman" w:hAnsi="Times New Roman" w:cs="Times New Roman"/>
          <w:sz w:val="24"/>
          <w:szCs w:val="24"/>
        </w:rPr>
        <w:t>, O., Müller-</w:t>
      </w:r>
      <w:proofErr w:type="spellStart"/>
      <w:r w:rsidRPr="000E4FE6">
        <w:rPr>
          <w:rFonts w:ascii="Times New Roman" w:hAnsi="Times New Roman" w:cs="Times New Roman"/>
          <w:sz w:val="24"/>
          <w:szCs w:val="24"/>
        </w:rPr>
        <w:t>Fielitz</w:t>
      </w:r>
      <w:proofErr w:type="spellEnd"/>
      <w:r w:rsidRPr="000E4FE6">
        <w:rPr>
          <w:rFonts w:ascii="Times New Roman" w:hAnsi="Times New Roman" w:cs="Times New Roman"/>
          <w:sz w:val="24"/>
          <w:szCs w:val="24"/>
        </w:rPr>
        <w:t>, H., … Oster, H. (2013). High-fat diet-induced hyperinsulinemia and tissue-specific insulin resistance in Cry-deficient mice. </w:t>
      </w:r>
      <w:r w:rsidRPr="000E4FE6">
        <w:rPr>
          <w:rFonts w:ascii="Times New Roman" w:hAnsi="Times New Roman" w:cs="Times New Roman"/>
          <w:i/>
          <w:sz w:val="24"/>
          <w:szCs w:val="24"/>
        </w:rPr>
        <w:t>American Journal of Physiology. Endocrinology and Metabolism</w:t>
      </w:r>
      <w:r w:rsidRPr="000E4FE6">
        <w:rPr>
          <w:rFonts w:ascii="Times New Roman" w:hAnsi="Times New Roman" w:cs="Times New Roman"/>
          <w:sz w:val="24"/>
          <w:szCs w:val="24"/>
        </w:rPr>
        <w:t>, </w:t>
      </w:r>
      <w:r w:rsidRPr="000E4FE6">
        <w:rPr>
          <w:rFonts w:ascii="Times New Roman" w:hAnsi="Times New Roman" w:cs="Times New Roman"/>
          <w:i/>
          <w:sz w:val="24"/>
          <w:szCs w:val="24"/>
        </w:rPr>
        <w:t>304</w:t>
      </w:r>
      <w:r w:rsidRPr="000E4FE6">
        <w:rPr>
          <w:rFonts w:ascii="Times New Roman" w:hAnsi="Times New Roman" w:cs="Times New Roman"/>
          <w:sz w:val="24"/>
          <w:szCs w:val="24"/>
        </w:rPr>
        <w:t>(10), E1053-63. https://doi.org/10.1152/ajpendo.00512.2012</w:t>
      </w:r>
    </w:p>
    <w:p w14:paraId="00000C7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Barkeling</w:t>
      </w:r>
      <w:proofErr w:type="spellEnd"/>
      <w:r w:rsidRPr="000E4FE6">
        <w:rPr>
          <w:rFonts w:ascii="Times New Roman" w:hAnsi="Times New Roman" w:cs="Times New Roman"/>
          <w:sz w:val="24"/>
          <w:szCs w:val="24"/>
        </w:rPr>
        <w:t xml:space="preserve">, B., King, N. A., </w:t>
      </w:r>
      <w:proofErr w:type="spellStart"/>
      <w:r w:rsidRPr="000E4FE6">
        <w:rPr>
          <w:rFonts w:ascii="Times New Roman" w:hAnsi="Times New Roman" w:cs="Times New Roman"/>
          <w:sz w:val="24"/>
          <w:szCs w:val="24"/>
        </w:rPr>
        <w:t>Näslund</w:t>
      </w:r>
      <w:proofErr w:type="spellEnd"/>
      <w:r w:rsidRPr="000E4FE6">
        <w:rPr>
          <w:rFonts w:ascii="Times New Roman" w:hAnsi="Times New Roman" w:cs="Times New Roman"/>
          <w:sz w:val="24"/>
          <w:szCs w:val="24"/>
        </w:rPr>
        <w:t>, E., and Blundell, J. E. (2007). Characterization of obese individuals who claim to detect no relationship between their eating pattern and sensations of hunger or fullness.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31</w:t>
      </w:r>
      <w:r w:rsidRPr="000E4FE6">
        <w:rPr>
          <w:rFonts w:ascii="Times New Roman" w:hAnsi="Times New Roman" w:cs="Times New Roman"/>
          <w:sz w:val="24"/>
          <w:szCs w:val="24"/>
        </w:rPr>
        <w:t>(3), 435–439. https://doi.org/10.1038/sj.ijo.0803449</w:t>
      </w:r>
    </w:p>
    <w:p w14:paraId="00000C7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Barnes, T. L., French, S. A., </w:t>
      </w:r>
      <w:proofErr w:type="spellStart"/>
      <w:r w:rsidRPr="000E4FE6">
        <w:rPr>
          <w:rFonts w:ascii="Times New Roman" w:hAnsi="Times New Roman" w:cs="Times New Roman"/>
          <w:sz w:val="24"/>
          <w:szCs w:val="24"/>
        </w:rPr>
        <w:t>Harnack</w:t>
      </w:r>
      <w:proofErr w:type="spellEnd"/>
      <w:r w:rsidRPr="000E4FE6">
        <w:rPr>
          <w:rFonts w:ascii="Times New Roman" w:hAnsi="Times New Roman" w:cs="Times New Roman"/>
          <w:sz w:val="24"/>
          <w:szCs w:val="24"/>
        </w:rPr>
        <w:t xml:space="preserve">, L. J., Mitchell, N. R., and Wolfson, J. (2015). Snacking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diet quality, and body mass index in a community sample of working adults. </w:t>
      </w:r>
      <w:r w:rsidRPr="000E4FE6">
        <w:rPr>
          <w:rFonts w:ascii="Times New Roman" w:hAnsi="Times New Roman" w:cs="Times New Roman"/>
          <w:i/>
          <w:sz w:val="24"/>
          <w:szCs w:val="24"/>
        </w:rPr>
        <w:t>Journal of the Academy of Nutrition and Dietetics</w:t>
      </w:r>
      <w:r w:rsidRPr="000E4FE6">
        <w:rPr>
          <w:rFonts w:ascii="Times New Roman" w:hAnsi="Times New Roman" w:cs="Times New Roman"/>
          <w:sz w:val="24"/>
          <w:szCs w:val="24"/>
        </w:rPr>
        <w:t>, </w:t>
      </w:r>
      <w:r w:rsidRPr="000E4FE6">
        <w:rPr>
          <w:rFonts w:ascii="Times New Roman" w:hAnsi="Times New Roman" w:cs="Times New Roman"/>
          <w:i/>
          <w:sz w:val="24"/>
          <w:szCs w:val="24"/>
        </w:rPr>
        <w:t>115</w:t>
      </w:r>
      <w:r w:rsidRPr="000E4FE6">
        <w:rPr>
          <w:rFonts w:ascii="Times New Roman" w:hAnsi="Times New Roman" w:cs="Times New Roman"/>
          <w:sz w:val="24"/>
          <w:szCs w:val="24"/>
        </w:rPr>
        <w:t>(7), 1117–1123. https://doi.org/10.1016/j.jand.2015.01.009</w:t>
      </w:r>
    </w:p>
    <w:p w14:paraId="00000C7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Baron, K. G., and Reid, K. J. (2015). Relationship between Circadian Rhythms, Feeding, and Obesity. In </w:t>
      </w:r>
      <w:r w:rsidRPr="000E4FE6">
        <w:rPr>
          <w:rFonts w:ascii="Times New Roman" w:hAnsi="Times New Roman" w:cs="Times New Roman"/>
          <w:i/>
          <w:sz w:val="24"/>
          <w:szCs w:val="24"/>
        </w:rPr>
        <w:t>Modulation of sleep by obesity, diabetes, age, and diet</w:t>
      </w:r>
      <w:r w:rsidRPr="000E4FE6">
        <w:rPr>
          <w:rFonts w:ascii="Times New Roman" w:hAnsi="Times New Roman" w:cs="Times New Roman"/>
          <w:sz w:val="24"/>
          <w:szCs w:val="24"/>
        </w:rPr>
        <w:t> (pp. 243–253). Elsevier. https://doi.org/10.1016/B978-0-12-420168-2.00026-0</w:t>
      </w:r>
    </w:p>
    <w:p w14:paraId="00000C7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Baron, K. G., Reid, K. J., Kern, A. S., and Zee, P. C. (2011). Role of sleep timing in caloric intake and BMI.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(7), 1374–1381. https://doi.org/10.1038/oby.2011.100</w:t>
      </w:r>
    </w:p>
    <w:p w14:paraId="00000C7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Barrington, W. E., and Beresford, S. A. A. (2019). Eating occasions, obesity and related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in working adults: does it matter when you snack?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(10). https://doi.org/10.3390/nu11102320</w:t>
      </w:r>
    </w:p>
    <w:p w14:paraId="00000C7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Basdevant</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Craplet</w:t>
      </w:r>
      <w:proofErr w:type="spellEnd"/>
      <w:r w:rsidRPr="000E4FE6">
        <w:rPr>
          <w:rFonts w:ascii="Times New Roman" w:hAnsi="Times New Roman" w:cs="Times New Roman"/>
          <w:sz w:val="24"/>
          <w:szCs w:val="24"/>
        </w:rPr>
        <w:t>, C., and Guy-Grand, B. (1993). Snacking patterns in obese French women.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(1), 17–23. https://doi.org/10.1006/appe.1993.1033</w:t>
      </w:r>
    </w:p>
    <w:p w14:paraId="00000C7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Bass, J., and Takahashi, J. S. (2010). Circadian integration of metabolism and energetics. </w:t>
      </w:r>
      <w:r w:rsidRPr="000E4FE6">
        <w:rPr>
          <w:rFonts w:ascii="Times New Roman" w:hAnsi="Times New Roman" w:cs="Times New Roman"/>
          <w:i/>
          <w:sz w:val="24"/>
          <w:szCs w:val="24"/>
        </w:rPr>
        <w:t>Science</w:t>
      </w:r>
      <w:r w:rsidRPr="000E4FE6">
        <w:rPr>
          <w:rFonts w:ascii="Times New Roman" w:hAnsi="Times New Roman" w:cs="Times New Roman"/>
          <w:sz w:val="24"/>
          <w:szCs w:val="24"/>
        </w:rPr>
        <w:t>, </w:t>
      </w:r>
      <w:r w:rsidRPr="000E4FE6">
        <w:rPr>
          <w:rFonts w:ascii="Times New Roman" w:hAnsi="Times New Roman" w:cs="Times New Roman"/>
          <w:i/>
          <w:sz w:val="24"/>
          <w:szCs w:val="24"/>
        </w:rPr>
        <w:t>330</w:t>
      </w:r>
      <w:r w:rsidRPr="000E4FE6">
        <w:rPr>
          <w:rFonts w:ascii="Times New Roman" w:hAnsi="Times New Roman" w:cs="Times New Roman"/>
          <w:sz w:val="24"/>
          <w:szCs w:val="24"/>
        </w:rPr>
        <w:t>(6009), 1349–1354. https://doi.org/10.1126/science.1195027</w:t>
      </w:r>
    </w:p>
    <w:p w14:paraId="00000C7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Bassett, D. R. (2000). Validity and reliability issues in objective monitoring of physical activity. </w:t>
      </w:r>
      <w:r w:rsidRPr="000E4FE6">
        <w:rPr>
          <w:rFonts w:ascii="Times New Roman" w:hAnsi="Times New Roman" w:cs="Times New Roman"/>
          <w:i/>
          <w:sz w:val="24"/>
          <w:szCs w:val="24"/>
        </w:rPr>
        <w:t>Research Quarterly for Exercise and Sport</w:t>
      </w:r>
      <w:r w:rsidRPr="000E4FE6">
        <w:rPr>
          <w:rFonts w:ascii="Times New Roman" w:hAnsi="Times New Roman" w:cs="Times New Roman"/>
          <w:sz w:val="24"/>
          <w:szCs w:val="24"/>
        </w:rPr>
        <w:t>, </w:t>
      </w:r>
      <w:r w:rsidRPr="000E4FE6">
        <w:rPr>
          <w:rFonts w:ascii="Times New Roman" w:hAnsi="Times New Roman" w:cs="Times New Roman"/>
          <w:i/>
          <w:sz w:val="24"/>
          <w:szCs w:val="24"/>
        </w:rPr>
        <w:t>71</w:t>
      </w:r>
      <w:r w:rsidRPr="000E4FE6">
        <w:rPr>
          <w:rFonts w:ascii="Times New Roman" w:hAnsi="Times New Roman" w:cs="Times New Roman"/>
          <w:sz w:val="24"/>
          <w:szCs w:val="24"/>
        </w:rPr>
        <w:t xml:space="preserve">(2 </w:t>
      </w:r>
      <w:proofErr w:type="spellStart"/>
      <w:r w:rsidRPr="000E4FE6">
        <w:rPr>
          <w:rFonts w:ascii="Times New Roman" w:hAnsi="Times New Roman" w:cs="Times New Roman"/>
          <w:sz w:val="24"/>
          <w:szCs w:val="24"/>
        </w:rPr>
        <w:t>Suppl</w:t>
      </w:r>
      <w:proofErr w:type="spellEnd"/>
      <w:r w:rsidRPr="000E4FE6">
        <w:rPr>
          <w:rFonts w:ascii="Times New Roman" w:hAnsi="Times New Roman" w:cs="Times New Roman"/>
          <w:sz w:val="24"/>
          <w:szCs w:val="24"/>
        </w:rPr>
        <w:t>), S30-6.</w:t>
      </w:r>
    </w:p>
    <w:p w14:paraId="00000C7B" w14:textId="157A0790" w:rsidR="00CB4215"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Battle, E. K., and Brownell, K. D. (1996). Confronting a rising tide of eating disorders and obesity: treatment vs. prevention and policy. </w:t>
      </w:r>
      <w:r w:rsidRPr="000E4FE6">
        <w:rPr>
          <w:rFonts w:ascii="Times New Roman" w:hAnsi="Times New Roman" w:cs="Times New Roman"/>
          <w:i/>
          <w:sz w:val="24"/>
          <w:szCs w:val="24"/>
        </w:rPr>
        <w:t xml:space="preserve">Addictive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 xml:space="preserve">(6), 755–765. </w:t>
      </w:r>
      <w:hyperlink r:id="rId822" w:history="1">
        <w:r w:rsidR="00743AE7" w:rsidRPr="00CB0261">
          <w:rPr>
            <w:rStyle w:val="Hyperlink"/>
            <w:rFonts w:ascii="Times New Roman" w:hAnsi="Times New Roman" w:cs="Times New Roman"/>
            <w:sz w:val="24"/>
            <w:szCs w:val="24"/>
          </w:rPr>
          <w:t>https://doi.org/10.1016/0306-4603(96)00034-2</w:t>
        </w:r>
      </w:hyperlink>
    </w:p>
    <w:p w14:paraId="594FB951" w14:textId="581BCA68"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t>Baumeister, R. F., and Leary, M. R. (1997). Writing narrative literature reviews. Review of General Psychology, 1(3), 311–320. https://doi.org/10.1037//1089-2680.1.3.311</w:t>
      </w:r>
    </w:p>
    <w:p w14:paraId="00000C7C" w14:textId="77777777" w:rsidR="00CB4215" w:rsidRPr="000E4FE6" w:rsidRDefault="000530B4">
      <w:pPr>
        <w:spacing w:line="480" w:lineRule="auto"/>
        <w:ind w:left="737" w:hanging="720"/>
        <w:jc w:val="both"/>
        <w:rPr>
          <w:rFonts w:ascii="Times New Roman" w:hAnsi="Times New Roman" w:cs="Times New Roman"/>
          <w:sz w:val="24"/>
          <w:szCs w:val="24"/>
        </w:rPr>
      </w:pPr>
      <w:r w:rsidRPr="00606A72">
        <w:rPr>
          <w:rFonts w:ascii="Times New Roman" w:hAnsi="Times New Roman" w:cs="Times New Roman"/>
          <w:sz w:val="24"/>
          <w:szCs w:val="24"/>
          <w:lang w:val="es-ES_tradnl"/>
        </w:rPr>
        <w:t>Bautista-Castaño, I., Molina-</w:t>
      </w:r>
      <w:proofErr w:type="spellStart"/>
      <w:r w:rsidRPr="00606A72">
        <w:rPr>
          <w:rFonts w:ascii="Times New Roman" w:hAnsi="Times New Roman" w:cs="Times New Roman"/>
          <w:sz w:val="24"/>
          <w:szCs w:val="24"/>
          <w:lang w:val="es-ES_tradnl"/>
        </w:rPr>
        <w:t>Cabrillana</w:t>
      </w:r>
      <w:proofErr w:type="spellEnd"/>
      <w:r w:rsidRPr="00606A72">
        <w:rPr>
          <w:rFonts w:ascii="Times New Roman" w:hAnsi="Times New Roman" w:cs="Times New Roman"/>
          <w:sz w:val="24"/>
          <w:szCs w:val="24"/>
          <w:lang w:val="es-ES_tradnl"/>
        </w:rPr>
        <w:t>, J., Montoya-Alonso, J. A., and Serra-</w:t>
      </w:r>
      <w:proofErr w:type="spellStart"/>
      <w:r w:rsidRPr="00606A72">
        <w:rPr>
          <w:rFonts w:ascii="Times New Roman" w:hAnsi="Times New Roman" w:cs="Times New Roman"/>
          <w:sz w:val="24"/>
          <w:szCs w:val="24"/>
          <w:lang w:val="es-ES_tradnl"/>
        </w:rPr>
        <w:t>Majem</w:t>
      </w:r>
      <w:proofErr w:type="spellEnd"/>
      <w:r w:rsidRPr="00606A72">
        <w:rPr>
          <w:rFonts w:ascii="Times New Roman" w:hAnsi="Times New Roman" w:cs="Times New Roman"/>
          <w:sz w:val="24"/>
          <w:szCs w:val="24"/>
          <w:lang w:val="es-ES_tradnl"/>
        </w:rPr>
        <w:t xml:space="preserve">, L. (2004). </w:t>
      </w:r>
      <w:r w:rsidRPr="000E4FE6">
        <w:rPr>
          <w:rFonts w:ascii="Times New Roman" w:hAnsi="Times New Roman" w:cs="Times New Roman"/>
          <w:sz w:val="24"/>
          <w:szCs w:val="24"/>
        </w:rPr>
        <w:t xml:space="preserve">Variables predictive of adherence to diet and physical activity </w:t>
      </w:r>
      <w:r w:rsidRPr="000E4FE6">
        <w:rPr>
          <w:rFonts w:ascii="Times New Roman" w:hAnsi="Times New Roman" w:cs="Times New Roman"/>
          <w:sz w:val="24"/>
          <w:szCs w:val="24"/>
        </w:rPr>
        <w:lastRenderedPageBreak/>
        <w:t>recommendations in the treatment of obesity and overweight, in a group of Spanish subjects.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(5), 697–705. https://doi.org/10.1038/sj.ijo.0802602</w:t>
      </w:r>
    </w:p>
    <w:p w14:paraId="00000C7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Beaulieu, K., </w:t>
      </w:r>
      <w:proofErr w:type="spellStart"/>
      <w:r w:rsidRPr="000E4FE6">
        <w:rPr>
          <w:rFonts w:ascii="Times New Roman" w:hAnsi="Times New Roman" w:cs="Times New Roman"/>
          <w:sz w:val="24"/>
          <w:szCs w:val="24"/>
        </w:rPr>
        <w:t>Oustric</w:t>
      </w:r>
      <w:proofErr w:type="spellEnd"/>
      <w:r w:rsidRPr="000E4FE6">
        <w:rPr>
          <w:rFonts w:ascii="Times New Roman" w:hAnsi="Times New Roman" w:cs="Times New Roman"/>
          <w:sz w:val="24"/>
          <w:szCs w:val="24"/>
        </w:rPr>
        <w:t xml:space="preserve">, P., </w:t>
      </w:r>
      <w:proofErr w:type="spellStart"/>
      <w:r w:rsidRPr="000E4FE6">
        <w:rPr>
          <w:rFonts w:ascii="Times New Roman" w:hAnsi="Times New Roman" w:cs="Times New Roman"/>
          <w:sz w:val="24"/>
          <w:szCs w:val="24"/>
        </w:rPr>
        <w:t>Alkahtani</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Alhussain</w:t>
      </w:r>
      <w:proofErr w:type="spellEnd"/>
      <w:r w:rsidRPr="000E4FE6">
        <w:rPr>
          <w:rFonts w:ascii="Times New Roman" w:hAnsi="Times New Roman" w:cs="Times New Roman"/>
          <w:sz w:val="24"/>
          <w:szCs w:val="24"/>
        </w:rPr>
        <w:t>, M., Pedersen, H., Quist, J. S., … Finlayson, G. (2020). Impact of meal timing and chronotype on food reward and appetite control in young adults.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(5). https://doi.org/10.3390/nu12051506</w:t>
      </w:r>
    </w:p>
    <w:p w14:paraId="00000C7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Beccuti</w:t>
      </w:r>
      <w:proofErr w:type="spellEnd"/>
      <w:r w:rsidRPr="000E4FE6">
        <w:rPr>
          <w:rFonts w:ascii="Times New Roman" w:hAnsi="Times New Roman" w:cs="Times New Roman"/>
          <w:sz w:val="24"/>
          <w:szCs w:val="24"/>
        </w:rPr>
        <w:t xml:space="preserve">, G., </w:t>
      </w:r>
      <w:proofErr w:type="spellStart"/>
      <w:r w:rsidRPr="000E4FE6">
        <w:rPr>
          <w:rFonts w:ascii="Times New Roman" w:hAnsi="Times New Roman" w:cs="Times New Roman"/>
          <w:sz w:val="24"/>
          <w:szCs w:val="24"/>
        </w:rPr>
        <w:t>Monagheddu</w:t>
      </w:r>
      <w:proofErr w:type="spellEnd"/>
      <w:r w:rsidRPr="000E4FE6">
        <w:rPr>
          <w:rFonts w:ascii="Times New Roman" w:hAnsi="Times New Roman" w:cs="Times New Roman"/>
          <w:sz w:val="24"/>
          <w:szCs w:val="24"/>
        </w:rPr>
        <w:t xml:space="preserve">, C., Evangelista, A., Ciccone, G., </w:t>
      </w:r>
      <w:proofErr w:type="spellStart"/>
      <w:r w:rsidRPr="000E4FE6">
        <w:rPr>
          <w:rFonts w:ascii="Times New Roman" w:hAnsi="Times New Roman" w:cs="Times New Roman"/>
          <w:sz w:val="24"/>
          <w:szCs w:val="24"/>
        </w:rPr>
        <w:t>Broglio</w:t>
      </w:r>
      <w:proofErr w:type="spellEnd"/>
      <w:r w:rsidRPr="000E4FE6">
        <w:rPr>
          <w:rFonts w:ascii="Times New Roman" w:hAnsi="Times New Roman" w:cs="Times New Roman"/>
          <w:sz w:val="24"/>
          <w:szCs w:val="24"/>
        </w:rPr>
        <w:t>, F., Soldati, L., and Bo, S. (2017). Timing of food intake: Sounding the alarm about metabolic impairments? A systematic review. </w:t>
      </w:r>
      <w:r w:rsidRPr="000E4FE6">
        <w:rPr>
          <w:rFonts w:ascii="Times New Roman" w:hAnsi="Times New Roman" w:cs="Times New Roman"/>
          <w:i/>
          <w:sz w:val="24"/>
          <w:szCs w:val="24"/>
        </w:rPr>
        <w:t>Pharmacological Research</w:t>
      </w:r>
      <w:r w:rsidRPr="000E4FE6">
        <w:rPr>
          <w:rFonts w:ascii="Times New Roman" w:hAnsi="Times New Roman" w:cs="Times New Roman"/>
          <w:sz w:val="24"/>
          <w:szCs w:val="24"/>
        </w:rPr>
        <w:t>, </w:t>
      </w:r>
      <w:r w:rsidRPr="000E4FE6">
        <w:rPr>
          <w:rFonts w:ascii="Times New Roman" w:hAnsi="Times New Roman" w:cs="Times New Roman"/>
          <w:i/>
          <w:sz w:val="24"/>
          <w:szCs w:val="24"/>
        </w:rPr>
        <w:t>125</w:t>
      </w:r>
      <w:r w:rsidRPr="000E4FE6">
        <w:rPr>
          <w:rFonts w:ascii="Times New Roman" w:hAnsi="Times New Roman" w:cs="Times New Roman"/>
          <w:sz w:val="24"/>
          <w:szCs w:val="24"/>
        </w:rPr>
        <w:t>(Pt B), 132–141. https://doi.org/10.1016/j.phrs.2017.09.005</w:t>
      </w:r>
    </w:p>
    <w:p w14:paraId="00000C7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Beechy, L., </w:t>
      </w:r>
      <w:proofErr w:type="spellStart"/>
      <w:r w:rsidRPr="000E4FE6">
        <w:rPr>
          <w:rFonts w:ascii="Times New Roman" w:hAnsi="Times New Roman" w:cs="Times New Roman"/>
          <w:sz w:val="24"/>
          <w:szCs w:val="24"/>
        </w:rPr>
        <w:t>Galpern</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Petrone</w:t>
      </w:r>
      <w:proofErr w:type="spellEnd"/>
      <w:r w:rsidRPr="000E4FE6">
        <w:rPr>
          <w:rFonts w:ascii="Times New Roman" w:hAnsi="Times New Roman" w:cs="Times New Roman"/>
          <w:sz w:val="24"/>
          <w:szCs w:val="24"/>
        </w:rPr>
        <w:t>, A., and Das, S. K. (2012). Assessment tools in obesity - psychological measures, diet, activity, and body composition.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107</w:t>
      </w:r>
      <w:r w:rsidRPr="000E4FE6">
        <w:rPr>
          <w:rFonts w:ascii="Times New Roman" w:hAnsi="Times New Roman" w:cs="Times New Roman"/>
          <w:sz w:val="24"/>
          <w:szCs w:val="24"/>
        </w:rPr>
        <w:t>(1), 154–171. https://doi.org/10.1016/j.physbeh.2012.04.013</w:t>
      </w:r>
    </w:p>
    <w:p w14:paraId="00000C8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Bell, E. A., Castellanos, V. H., </w:t>
      </w:r>
      <w:proofErr w:type="spellStart"/>
      <w:r w:rsidRPr="000E4FE6">
        <w:rPr>
          <w:rFonts w:ascii="Times New Roman" w:hAnsi="Times New Roman" w:cs="Times New Roman"/>
          <w:sz w:val="24"/>
          <w:szCs w:val="24"/>
        </w:rPr>
        <w:t>Pelkman</w:t>
      </w:r>
      <w:proofErr w:type="spellEnd"/>
      <w:r w:rsidRPr="000E4FE6">
        <w:rPr>
          <w:rFonts w:ascii="Times New Roman" w:hAnsi="Times New Roman" w:cs="Times New Roman"/>
          <w:sz w:val="24"/>
          <w:szCs w:val="24"/>
        </w:rPr>
        <w:t xml:space="preserve">, C. L., </w:t>
      </w:r>
      <w:proofErr w:type="spellStart"/>
      <w:r w:rsidRPr="000E4FE6">
        <w:rPr>
          <w:rFonts w:ascii="Times New Roman" w:hAnsi="Times New Roman" w:cs="Times New Roman"/>
          <w:sz w:val="24"/>
          <w:szCs w:val="24"/>
        </w:rPr>
        <w:t>Thorwart</w:t>
      </w:r>
      <w:proofErr w:type="spellEnd"/>
      <w:r w:rsidRPr="000E4FE6">
        <w:rPr>
          <w:rFonts w:ascii="Times New Roman" w:hAnsi="Times New Roman" w:cs="Times New Roman"/>
          <w:sz w:val="24"/>
          <w:szCs w:val="24"/>
        </w:rPr>
        <w:t>, M. L., and Rolls, B. J. (1998). Energy density of foods affects energy intake in normal-weight women.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67</w:t>
      </w:r>
      <w:r w:rsidRPr="000E4FE6">
        <w:rPr>
          <w:rFonts w:ascii="Times New Roman" w:hAnsi="Times New Roman" w:cs="Times New Roman"/>
          <w:sz w:val="24"/>
          <w:szCs w:val="24"/>
        </w:rPr>
        <w:t>(3), 412–420. https://doi.org/10.1093/ajcn/67.3.412</w:t>
      </w:r>
    </w:p>
    <w:p w14:paraId="00000C8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Bell, E. A., and Rolls, B. J. (2001). Energy density of foods affects energy intake across multiple levels of fat content in lean and obese women.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73</w:t>
      </w:r>
      <w:r w:rsidRPr="000E4FE6">
        <w:rPr>
          <w:rFonts w:ascii="Times New Roman" w:hAnsi="Times New Roman" w:cs="Times New Roman"/>
          <w:sz w:val="24"/>
          <w:szCs w:val="24"/>
        </w:rPr>
        <w:t>(6), 1010–1018. https://doi.org/10.1093/ajcn/73.6.1010</w:t>
      </w:r>
    </w:p>
    <w:p w14:paraId="00000C8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Bellisle</w:t>
      </w:r>
      <w:proofErr w:type="spellEnd"/>
      <w:r w:rsidRPr="000E4FE6">
        <w:rPr>
          <w:rFonts w:ascii="Times New Roman" w:hAnsi="Times New Roman" w:cs="Times New Roman"/>
          <w:sz w:val="24"/>
          <w:szCs w:val="24"/>
        </w:rPr>
        <w:t>, F. (2003). Why should we study human food intake behaviour? </w:t>
      </w:r>
      <w:r w:rsidRPr="000E4FE6">
        <w:rPr>
          <w:rFonts w:ascii="Times New Roman" w:hAnsi="Times New Roman" w:cs="Times New Roman"/>
          <w:i/>
          <w:sz w:val="24"/>
          <w:szCs w:val="24"/>
        </w:rPr>
        <w:t>Nutrition, Metabolism, and Cardiovascular Diseases</w:t>
      </w:r>
      <w:r w:rsidRPr="000E4FE6">
        <w:rPr>
          <w:rFonts w:ascii="Times New Roman" w:hAnsi="Times New Roman" w:cs="Times New Roman"/>
          <w:sz w:val="24"/>
          <w:szCs w:val="24"/>
        </w:rPr>
        <w:t>, </w:t>
      </w:r>
      <w:r w:rsidRPr="000E4FE6">
        <w:rPr>
          <w:rFonts w:ascii="Times New Roman" w:hAnsi="Times New Roman" w:cs="Times New Roman"/>
          <w:i/>
          <w:sz w:val="24"/>
          <w:szCs w:val="24"/>
        </w:rPr>
        <w:t>13</w:t>
      </w:r>
      <w:r w:rsidRPr="000E4FE6">
        <w:rPr>
          <w:rFonts w:ascii="Times New Roman" w:hAnsi="Times New Roman" w:cs="Times New Roman"/>
          <w:sz w:val="24"/>
          <w:szCs w:val="24"/>
        </w:rPr>
        <w:t>(4), 189–193. https://doi.org/10.1016/s0939-4753(03)80010-8</w:t>
      </w:r>
    </w:p>
    <w:p w14:paraId="00000C8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Bellisle</w:t>
      </w:r>
      <w:proofErr w:type="spellEnd"/>
      <w:r w:rsidRPr="000E4FE6">
        <w:rPr>
          <w:rFonts w:ascii="Times New Roman" w:hAnsi="Times New Roman" w:cs="Times New Roman"/>
          <w:sz w:val="24"/>
          <w:szCs w:val="24"/>
        </w:rPr>
        <w:t>, F. (2008). Functional foods and the satiety cascade. </w:t>
      </w:r>
      <w:r w:rsidRPr="000E4FE6">
        <w:rPr>
          <w:rFonts w:ascii="Times New Roman" w:hAnsi="Times New Roman" w:cs="Times New Roman"/>
          <w:i/>
          <w:sz w:val="24"/>
          <w:szCs w:val="24"/>
        </w:rPr>
        <w:t>Nutrition Bulletin</w:t>
      </w:r>
      <w:r w:rsidRPr="000E4FE6">
        <w:rPr>
          <w:rFonts w:ascii="Times New Roman" w:hAnsi="Times New Roman" w:cs="Times New Roman"/>
          <w:sz w:val="24"/>
          <w:szCs w:val="24"/>
        </w:rPr>
        <w:t>, </w:t>
      </w:r>
      <w:r w:rsidRPr="000E4FE6">
        <w:rPr>
          <w:rFonts w:ascii="Times New Roman" w:hAnsi="Times New Roman" w:cs="Times New Roman"/>
          <w:i/>
          <w:sz w:val="24"/>
          <w:szCs w:val="24"/>
        </w:rPr>
        <w:t>33</w:t>
      </w:r>
      <w:r w:rsidRPr="000E4FE6">
        <w:rPr>
          <w:rFonts w:ascii="Times New Roman" w:hAnsi="Times New Roman" w:cs="Times New Roman"/>
          <w:sz w:val="24"/>
          <w:szCs w:val="24"/>
        </w:rPr>
        <w:t>(1), 8–14. https://doi.org/10.1111/j.1467-3010.2007.00657.x</w:t>
      </w:r>
    </w:p>
    <w:p w14:paraId="00000C8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Bellisle</w:t>
      </w:r>
      <w:proofErr w:type="spellEnd"/>
      <w:r w:rsidRPr="000E4FE6">
        <w:rPr>
          <w:rFonts w:ascii="Times New Roman" w:hAnsi="Times New Roman" w:cs="Times New Roman"/>
          <w:sz w:val="24"/>
          <w:szCs w:val="24"/>
        </w:rPr>
        <w:t xml:space="preserve">, F, </w:t>
      </w:r>
      <w:proofErr w:type="spellStart"/>
      <w:r w:rsidRPr="000E4FE6">
        <w:rPr>
          <w:rFonts w:ascii="Times New Roman" w:hAnsi="Times New Roman" w:cs="Times New Roman"/>
          <w:sz w:val="24"/>
          <w:szCs w:val="24"/>
        </w:rPr>
        <w:t>Dalix</w:t>
      </w:r>
      <w:proofErr w:type="spellEnd"/>
      <w:r w:rsidRPr="000E4FE6">
        <w:rPr>
          <w:rFonts w:ascii="Times New Roman" w:hAnsi="Times New Roman" w:cs="Times New Roman"/>
          <w:sz w:val="24"/>
          <w:szCs w:val="24"/>
        </w:rPr>
        <w:t xml:space="preserve">, A. M., and </w:t>
      </w:r>
      <w:proofErr w:type="spellStart"/>
      <w:r w:rsidRPr="000E4FE6">
        <w:rPr>
          <w:rFonts w:ascii="Times New Roman" w:hAnsi="Times New Roman" w:cs="Times New Roman"/>
          <w:sz w:val="24"/>
          <w:szCs w:val="24"/>
        </w:rPr>
        <w:t>Slama</w:t>
      </w:r>
      <w:proofErr w:type="spellEnd"/>
      <w:r w:rsidRPr="000E4FE6">
        <w:rPr>
          <w:rFonts w:ascii="Times New Roman" w:hAnsi="Times New Roman" w:cs="Times New Roman"/>
          <w:sz w:val="24"/>
          <w:szCs w:val="24"/>
        </w:rPr>
        <w:t xml:space="preserve">, G. (2004). </w:t>
      </w:r>
      <w:proofErr w:type="spellStart"/>
      <w:proofErr w:type="gramStart"/>
      <w:r w:rsidRPr="000E4FE6">
        <w:rPr>
          <w:rFonts w:ascii="Times New Roman" w:hAnsi="Times New Roman" w:cs="Times New Roman"/>
          <w:sz w:val="24"/>
          <w:szCs w:val="24"/>
        </w:rPr>
        <w:t>Non food</w:t>
      </w:r>
      <w:proofErr w:type="spellEnd"/>
      <w:proofErr w:type="gramEnd"/>
      <w:r w:rsidRPr="000E4FE6">
        <w:rPr>
          <w:rFonts w:ascii="Times New Roman" w:hAnsi="Times New Roman" w:cs="Times New Roman"/>
          <w:sz w:val="24"/>
          <w:szCs w:val="24"/>
        </w:rPr>
        <w:t>-related environmental stimuli induce increased meal intake in healthy women: comparison of television viewing versus listening to a recorded story in laboratory settings.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43</w:t>
      </w:r>
      <w:r w:rsidRPr="000E4FE6">
        <w:rPr>
          <w:rFonts w:ascii="Times New Roman" w:hAnsi="Times New Roman" w:cs="Times New Roman"/>
          <w:sz w:val="24"/>
          <w:szCs w:val="24"/>
        </w:rPr>
        <w:t>(2), 175–180. https://doi.org/10.1016/j.appet.2004.04.004</w:t>
      </w:r>
    </w:p>
    <w:p w14:paraId="00000C8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Bellisle</w:t>
      </w:r>
      <w:proofErr w:type="spellEnd"/>
      <w:r w:rsidRPr="000E4FE6">
        <w:rPr>
          <w:rFonts w:ascii="Times New Roman" w:hAnsi="Times New Roman" w:cs="Times New Roman"/>
          <w:sz w:val="24"/>
          <w:szCs w:val="24"/>
        </w:rPr>
        <w:t>, France. (2004). Impact of the daily meal pattern on energy balance. </w:t>
      </w:r>
      <w:r w:rsidRPr="000E4FE6">
        <w:rPr>
          <w:rFonts w:ascii="Times New Roman" w:hAnsi="Times New Roman" w:cs="Times New Roman"/>
          <w:i/>
          <w:sz w:val="24"/>
          <w:szCs w:val="24"/>
        </w:rPr>
        <w:t>Scandinavian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48</w:t>
      </w:r>
      <w:r w:rsidRPr="000E4FE6">
        <w:rPr>
          <w:rFonts w:ascii="Times New Roman" w:hAnsi="Times New Roman" w:cs="Times New Roman"/>
          <w:sz w:val="24"/>
          <w:szCs w:val="24"/>
        </w:rPr>
        <w:t>(3), 114–118. https://doi.org/10.1080/11026480410000454</w:t>
      </w:r>
    </w:p>
    <w:p w14:paraId="00000C8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Bellisle</w:t>
      </w:r>
      <w:proofErr w:type="spellEnd"/>
      <w:r w:rsidRPr="000E4FE6">
        <w:rPr>
          <w:rFonts w:ascii="Times New Roman" w:hAnsi="Times New Roman" w:cs="Times New Roman"/>
          <w:sz w:val="24"/>
          <w:szCs w:val="24"/>
        </w:rPr>
        <w:t xml:space="preserve">, France, Clément, K., Le </w:t>
      </w:r>
      <w:proofErr w:type="spellStart"/>
      <w:r w:rsidRPr="000E4FE6">
        <w:rPr>
          <w:rFonts w:ascii="Times New Roman" w:hAnsi="Times New Roman" w:cs="Times New Roman"/>
          <w:sz w:val="24"/>
          <w:szCs w:val="24"/>
        </w:rPr>
        <w:t>Barzic</w:t>
      </w:r>
      <w:proofErr w:type="spellEnd"/>
      <w:r w:rsidRPr="000E4FE6">
        <w:rPr>
          <w:rFonts w:ascii="Times New Roman" w:hAnsi="Times New Roman" w:cs="Times New Roman"/>
          <w:sz w:val="24"/>
          <w:szCs w:val="24"/>
        </w:rPr>
        <w:t xml:space="preserve">, M., Le Gall, A., Guy-Grand, B., and </w:t>
      </w:r>
      <w:proofErr w:type="spellStart"/>
      <w:r w:rsidRPr="000E4FE6">
        <w:rPr>
          <w:rFonts w:ascii="Times New Roman" w:hAnsi="Times New Roman" w:cs="Times New Roman"/>
          <w:sz w:val="24"/>
          <w:szCs w:val="24"/>
        </w:rPr>
        <w:t>Basdevant</w:t>
      </w:r>
      <w:proofErr w:type="spellEnd"/>
      <w:r w:rsidRPr="000E4FE6">
        <w:rPr>
          <w:rFonts w:ascii="Times New Roman" w:hAnsi="Times New Roman" w:cs="Times New Roman"/>
          <w:sz w:val="24"/>
          <w:szCs w:val="24"/>
        </w:rPr>
        <w:t>, A. (2004). The Eating Inventory and body adiposity from leanness to massive obesity: a study of 2509 adults. </w:t>
      </w:r>
      <w:r w:rsidRPr="000E4FE6">
        <w:rPr>
          <w:rFonts w:ascii="Times New Roman" w:hAnsi="Times New Roman" w:cs="Times New Roman"/>
          <w:i/>
          <w:sz w:val="24"/>
          <w:szCs w:val="24"/>
        </w:rPr>
        <w:t>Obesity Research</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(12), 2023–2030. https://doi.org/10.1038/oby.2004.253</w:t>
      </w:r>
    </w:p>
    <w:p w14:paraId="00000C8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Bennett, J., Greene, G., and Schwartz-</w:t>
      </w:r>
      <w:proofErr w:type="spellStart"/>
      <w:r w:rsidRPr="000E4FE6">
        <w:rPr>
          <w:rFonts w:ascii="Times New Roman" w:hAnsi="Times New Roman" w:cs="Times New Roman"/>
          <w:sz w:val="24"/>
          <w:szCs w:val="24"/>
        </w:rPr>
        <w:t>Barcott</w:t>
      </w:r>
      <w:proofErr w:type="spellEnd"/>
      <w:r w:rsidRPr="000E4FE6">
        <w:rPr>
          <w:rFonts w:ascii="Times New Roman" w:hAnsi="Times New Roman" w:cs="Times New Roman"/>
          <w:sz w:val="24"/>
          <w:szCs w:val="24"/>
        </w:rPr>
        <w:t xml:space="preserve">, D. (2013). Perceptions of emotional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A qualitative study of college students.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60</w:t>
      </w:r>
      <w:r w:rsidRPr="000E4FE6">
        <w:rPr>
          <w:rFonts w:ascii="Times New Roman" w:hAnsi="Times New Roman" w:cs="Times New Roman"/>
          <w:sz w:val="24"/>
          <w:szCs w:val="24"/>
        </w:rPr>
        <w:t>(1), 187–192. https://doi.org/10.1016/j.appet.2012.09.023</w:t>
      </w:r>
    </w:p>
    <w:p w14:paraId="00000C8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Benton, D., Slater, O., and Donohoe, R. T. (2001). The influence of breakfast and a snack on psychological functioning.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74</w:t>
      </w:r>
      <w:r w:rsidRPr="000E4FE6">
        <w:rPr>
          <w:rFonts w:ascii="Times New Roman" w:hAnsi="Times New Roman" w:cs="Times New Roman"/>
          <w:sz w:val="24"/>
          <w:szCs w:val="24"/>
        </w:rPr>
        <w:t>(4–5), 559–571. https://doi.org/10.1016/s0031-9384(01)00601-1</w:t>
      </w:r>
    </w:p>
    <w:p w14:paraId="00000C8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Berg, C., and </w:t>
      </w:r>
      <w:proofErr w:type="spellStart"/>
      <w:r w:rsidRPr="000E4FE6">
        <w:rPr>
          <w:rFonts w:ascii="Times New Roman" w:hAnsi="Times New Roman" w:cs="Times New Roman"/>
          <w:sz w:val="24"/>
          <w:szCs w:val="24"/>
        </w:rPr>
        <w:t>Forslund</w:t>
      </w:r>
      <w:proofErr w:type="spellEnd"/>
      <w:r w:rsidRPr="000E4FE6">
        <w:rPr>
          <w:rFonts w:ascii="Times New Roman" w:hAnsi="Times New Roman" w:cs="Times New Roman"/>
          <w:sz w:val="24"/>
          <w:szCs w:val="24"/>
        </w:rPr>
        <w:t>, H. B. (2015). The influence of portion size and timing of meals on weight balance and obesity. </w:t>
      </w:r>
      <w:r w:rsidRPr="000E4FE6">
        <w:rPr>
          <w:rFonts w:ascii="Times New Roman" w:hAnsi="Times New Roman" w:cs="Times New Roman"/>
          <w:i/>
          <w:sz w:val="24"/>
          <w:szCs w:val="24"/>
        </w:rPr>
        <w:t>Current Obesity Reports</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(1), 11–18. https://doi.org/10.1007/s13679-015-0138-y</w:t>
      </w:r>
    </w:p>
    <w:p w14:paraId="00000C8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Berge, J. M., </w:t>
      </w:r>
      <w:proofErr w:type="spellStart"/>
      <w:r w:rsidRPr="000E4FE6">
        <w:rPr>
          <w:rFonts w:ascii="Times New Roman" w:hAnsi="Times New Roman" w:cs="Times New Roman"/>
          <w:sz w:val="24"/>
          <w:szCs w:val="24"/>
        </w:rPr>
        <w:t>Hoppmann</w:t>
      </w:r>
      <w:proofErr w:type="spellEnd"/>
      <w:r w:rsidRPr="000E4FE6">
        <w:rPr>
          <w:rFonts w:ascii="Times New Roman" w:hAnsi="Times New Roman" w:cs="Times New Roman"/>
          <w:sz w:val="24"/>
          <w:szCs w:val="24"/>
        </w:rPr>
        <w:t xml:space="preserve">, C., Hanson, C., and </w:t>
      </w:r>
      <w:proofErr w:type="spellStart"/>
      <w:r w:rsidRPr="000E4FE6">
        <w:rPr>
          <w:rFonts w:ascii="Times New Roman" w:hAnsi="Times New Roman" w:cs="Times New Roman"/>
          <w:sz w:val="24"/>
          <w:szCs w:val="24"/>
        </w:rPr>
        <w:t>Neumark-Sztainer</w:t>
      </w:r>
      <w:proofErr w:type="spellEnd"/>
      <w:r w:rsidRPr="000E4FE6">
        <w:rPr>
          <w:rFonts w:ascii="Times New Roman" w:hAnsi="Times New Roman" w:cs="Times New Roman"/>
          <w:sz w:val="24"/>
          <w:szCs w:val="24"/>
        </w:rPr>
        <w:t>, D. (2013). Perspectives about family meals from single-headed and dual-headed households: a qualitative analysis. </w:t>
      </w:r>
      <w:r w:rsidRPr="000E4FE6">
        <w:rPr>
          <w:rFonts w:ascii="Times New Roman" w:hAnsi="Times New Roman" w:cs="Times New Roman"/>
          <w:i/>
          <w:sz w:val="24"/>
          <w:szCs w:val="24"/>
        </w:rPr>
        <w:t>Journal of the Academy of Nutrition and Dietetics</w:t>
      </w:r>
      <w:r w:rsidRPr="000E4FE6">
        <w:rPr>
          <w:rFonts w:ascii="Times New Roman" w:hAnsi="Times New Roman" w:cs="Times New Roman"/>
          <w:sz w:val="24"/>
          <w:szCs w:val="24"/>
        </w:rPr>
        <w:t>, </w:t>
      </w:r>
      <w:r w:rsidRPr="000E4FE6">
        <w:rPr>
          <w:rFonts w:ascii="Times New Roman" w:hAnsi="Times New Roman" w:cs="Times New Roman"/>
          <w:i/>
          <w:sz w:val="24"/>
          <w:szCs w:val="24"/>
        </w:rPr>
        <w:t>113</w:t>
      </w:r>
      <w:r w:rsidRPr="000E4FE6">
        <w:rPr>
          <w:rFonts w:ascii="Times New Roman" w:hAnsi="Times New Roman" w:cs="Times New Roman"/>
          <w:sz w:val="24"/>
          <w:szCs w:val="24"/>
        </w:rPr>
        <w:t>(12), 1632–1639. https://doi.org/10.1016/j.jand.2013.08.023</w:t>
      </w:r>
    </w:p>
    <w:p w14:paraId="00000C8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Berkey, C. S., </w:t>
      </w:r>
      <w:proofErr w:type="spellStart"/>
      <w:r w:rsidRPr="000E4FE6">
        <w:rPr>
          <w:rFonts w:ascii="Times New Roman" w:hAnsi="Times New Roman" w:cs="Times New Roman"/>
          <w:sz w:val="24"/>
          <w:szCs w:val="24"/>
        </w:rPr>
        <w:t>Rockett</w:t>
      </w:r>
      <w:proofErr w:type="spellEnd"/>
      <w:r w:rsidRPr="000E4FE6">
        <w:rPr>
          <w:rFonts w:ascii="Times New Roman" w:hAnsi="Times New Roman" w:cs="Times New Roman"/>
          <w:sz w:val="24"/>
          <w:szCs w:val="24"/>
        </w:rPr>
        <w:t xml:space="preserve">, H. R. H., Gillman, M. W., Field, A. E., and Colditz, G. A. (2003). Longitudinal study of skipping breakfast and weight change in </w:t>
      </w:r>
      <w:r w:rsidRPr="000E4FE6">
        <w:rPr>
          <w:rFonts w:ascii="Times New Roman" w:hAnsi="Times New Roman" w:cs="Times New Roman"/>
          <w:sz w:val="24"/>
          <w:szCs w:val="24"/>
        </w:rPr>
        <w:lastRenderedPageBreak/>
        <w:t>adolescents.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(10), 1258–1266. https://doi.org/10.1038/sj.ijo.0802402</w:t>
      </w:r>
    </w:p>
    <w:p w14:paraId="00000C8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Berridge</w:t>
      </w:r>
      <w:proofErr w:type="spellEnd"/>
      <w:r w:rsidRPr="000E4FE6">
        <w:rPr>
          <w:rFonts w:ascii="Times New Roman" w:hAnsi="Times New Roman" w:cs="Times New Roman"/>
          <w:sz w:val="24"/>
          <w:szCs w:val="24"/>
        </w:rPr>
        <w:t>, K. C. (1996). Food reward: brain substrates of wanting and liking. </w:t>
      </w:r>
      <w:r w:rsidRPr="000E4FE6">
        <w:rPr>
          <w:rFonts w:ascii="Times New Roman" w:hAnsi="Times New Roman" w:cs="Times New Roman"/>
          <w:i/>
          <w:sz w:val="24"/>
          <w:szCs w:val="24"/>
        </w:rPr>
        <w:t xml:space="preserve">Neuroscience and </w:t>
      </w:r>
      <w:proofErr w:type="spellStart"/>
      <w:r w:rsidRPr="000E4FE6">
        <w:rPr>
          <w:rFonts w:ascii="Times New Roman" w:hAnsi="Times New Roman" w:cs="Times New Roman"/>
          <w:i/>
          <w:sz w:val="24"/>
          <w:szCs w:val="24"/>
        </w:rPr>
        <w:t>Biobehavioral</w:t>
      </w:r>
      <w:proofErr w:type="spellEnd"/>
      <w:r w:rsidRPr="000E4FE6">
        <w:rPr>
          <w:rFonts w:ascii="Times New Roman" w:hAnsi="Times New Roman" w:cs="Times New Roman"/>
          <w:i/>
          <w:sz w:val="24"/>
          <w:szCs w:val="24"/>
        </w:rPr>
        <w:t xml:space="preserve"> Reviews</w:t>
      </w:r>
      <w:r w:rsidRPr="000E4FE6">
        <w:rPr>
          <w:rFonts w:ascii="Times New Roman" w:hAnsi="Times New Roman" w:cs="Times New Roman"/>
          <w:sz w:val="24"/>
          <w:szCs w:val="24"/>
        </w:rPr>
        <w:t>, </w:t>
      </w:r>
      <w:r w:rsidRPr="000E4FE6">
        <w:rPr>
          <w:rFonts w:ascii="Times New Roman" w:hAnsi="Times New Roman" w:cs="Times New Roman"/>
          <w:i/>
          <w:sz w:val="24"/>
          <w:szCs w:val="24"/>
        </w:rPr>
        <w:t>20</w:t>
      </w:r>
      <w:r w:rsidRPr="000E4FE6">
        <w:rPr>
          <w:rFonts w:ascii="Times New Roman" w:hAnsi="Times New Roman" w:cs="Times New Roman"/>
          <w:sz w:val="24"/>
          <w:szCs w:val="24"/>
        </w:rPr>
        <w:t>(1), 1–25. https://doi.org/10.1016/0149-7634(95)00033-b</w:t>
      </w:r>
    </w:p>
    <w:p w14:paraId="00000C8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Berridge</w:t>
      </w:r>
      <w:proofErr w:type="spellEnd"/>
      <w:r w:rsidRPr="000E4FE6">
        <w:rPr>
          <w:rFonts w:ascii="Times New Roman" w:hAnsi="Times New Roman" w:cs="Times New Roman"/>
          <w:sz w:val="24"/>
          <w:szCs w:val="24"/>
        </w:rPr>
        <w:t>, K. C., and Robinson, T. E. (2003). Parsing reward. </w:t>
      </w:r>
      <w:r w:rsidRPr="000E4FE6">
        <w:rPr>
          <w:rFonts w:ascii="Times New Roman" w:hAnsi="Times New Roman" w:cs="Times New Roman"/>
          <w:i/>
          <w:sz w:val="24"/>
          <w:szCs w:val="24"/>
        </w:rPr>
        <w:t>Trends in Neurosciences</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(9), 507–513. https://doi.org/10.1016/S0166-2236(03)00233-9</w:t>
      </w:r>
    </w:p>
    <w:p w14:paraId="00000C8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Bertéus</w:t>
      </w:r>
      <w:proofErr w:type="spellEnd"/>
      <w:r w:rsidRPr="000E4FE6">
        <w:rPr>
          <w:rFonts w:ascii="Times New Roman" w:hAnsi="Times New Roman" w:cs="Times New Roman"/>
          <w:sz w:val="24"/>
          <w:szCs w:val="24"/>
        </w:rPr>
        <w:t xml:space="preserve"> </w:t>
      </w:r>
      <w:proofErr w:type="spellStart"/>
      <w:r w:rsidRPr="000E4FE6">
        <w:rPr>
          <w:rFonts w:ascii="Times New Roman" w:hAnsi="Times New Roman" w:cs="Times New Roman"/>
          <w:sz w:val="24"/>
          <w:szCs w:val="24"/>
        </w:rPr>
        <w:t>Forslund</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Lindroos</w:t>
      </w:r>
      <w:proofErr w:type="spellEnd"/>
      <w:r w:rsidRPr="000E4FE6">
        <w:rPr>
          <w:rFonts w:ascii="Times New Roman" w:hAnsi="Times New Roman" w:cs="Times New Roman"/>
          <w:sz w:val="24"/>
          <w:szCs w:val="24"/>
        </w:rPr>
        <w:t xml:space="preserve">, A. K., </w:t>
      </w:r>
      <w:proofErr w:type="spellStart"/>
      <w:r w:rsidRPr="000E4FE6">
        <w:rPr>
          <w:rFonts w:ascii="Times New Roman" w:hAnsi="Times New Roman" w:cs="Times New Roman"/>
          <w:sz w:val="24"/>
          <w:szCs w:val="24"/>
        </w:rPr>
        <w:t>Sjöström</w:t>
      </w:r>
      <w:proofErr w:type="spellEnd"/>
      <w:r w:rsidRPr="000E4FE6">
        <w:rPr>
          <w:rFonts w:ascii="Times New Roman" w:hAnsi="Times New Roman" w:cs="Times New Roman"/>
          <w:sz w:val="24"/>
          <w:szCs w:val="24"/>
        </w:rPr>
        <w:t xml:space="preserve">, L., and </w:t>
      </w:r>
      <w:proofErr w:type="spellStart"/>
      <w:r w:rsidRPr="000E4FE6">
        <w:rPr>
          <w:rFonts w:ascii="Times New Roman" w:hAnsi="Times New Roman" w:cs="Times New Roman"/>
          <w:sz w:val="24"/>
          <w:szCs w:val="24"/>
        </w:rPr>
        <w:t>Lissner</w:t>
      </w:r>
      <w:proofErr w:type="spellEnd"/>
      <w:r w:rsidRPr="000E4FE6">
        <w:rPr>
          <w:rFonts w:ascii="Times New Roman" w:hAnsi="Times New Roman" w:cs="Times New Roman"/>
          <w:sz w:val="24"/>
          <w:szCs w:val="24"/>
        </w:rPr>
        <w:t>, L. (2002). Meal patterns and obesity in Swedish women-a simple instrument describing usual meal types, frequency and temporal distribution. </w:t>
      </w:r>
      <w:r w:rsidRPr="000E4FE6">
        <w:rPr>
          <w:rFonts w:ascii="Times New Roman" w:hAnsi="Times New Roman" w:cs="Times New Roman"/>
          <w:i/>
          <w:sz w:val="24"/>
          <w:szCs w:val="24"/>
        </w:rPr>
        <w:t>European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56</w:t>
      </w:r>
      <w:r w:rsidRPr="000E4FE6">
        <w:rPr>
          <w:rFonts w:ascii="Times New Roman" w:hAnsi="Times New Roman" w:cs="Times New Roman"/>
          <w:sz w:val="24"/>
          <w:szCs w:val="24"/>
        </w:rPr>
        <w:t>(8), 740–747. https://doi.org/10.1038/sj.ejcn.1601387</w:t>
      </w:r>
    </w:p>
    <w:p w14:paraId="00000C8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Bertéus</w:t>
      </w:r>
      <w:proofErr w:type="spellEnd"/>
      <w:r w:rsidRPr="000E4FE6">
        <w:rPr>
          <w:rFonts w:ascii="Times New Roman" w:hAnsi="Times New Roman" w:cs="Times New Roman"/>
          <w:sz w:val="24"/>
          <w:szCs w:val="24"/>
        </w:rPr>
        <w:t xml:space="preserve"> </w:t>
      </w:r>
      <w:proofErr w:type="spellStart"/>
      <w:r w:rsidRPr="000E4FE6">
        <w:rPr>
          <w:rFonts w:ascii="Times New Roman" w:hAnsi="Times New Roman" w:cs="Times New Roman"/>
          <w:sz w:val="24"/>
          <w:szCs w:val="24"/>
        </w:rPr>
        <w:t>Forslund</w:t>
      </w:r>
      <w:proofErr w:type="spellEnd"/>
      <w:r w:rsidRPr="000E4FE6">
        <w:rPr>
          <w:rFonts w:ascii="Times New Roman" w:hAnsi="Times New Roman" w:cs="Times New Roman"/>
          <w:sz w:val="24"/>
          <w:szCs w:val="24"/>
        </w:rPr>
        <w:t xml:space="preserve">, H., Torgerson, J. S., </w:t>
      </w:r>
      <w:proofErr w:type="spellStart"/>
      <w:r w:rsidRPr="000E4FE6">
        <w:rPr>
          <w:rFonts w:ascii="Times New Roman" w:hAnsi="Times New Roman" w:cs="Times New Roman"/>
          <w:sz w:val="24"/>
          <w:szCs w:val="24"/>
        </w:rPr>
        <w:t>Sjöström</w:t>
      </w:r>
      <w:proofErr w:type="spellEnd"/>
      <w:r w:rsidRPr="000E4FE6">
        <w:rPr>
          <w:rFonts w:ascii="Times New Roman" w:hAnsi="Times New Roman" w:cs="Times New Roman"/>
          <w:sz w:val="24"/>
          <w:szCs w:val="24"/>
        </w:rPr>
        <w:t xml:space="preserve">, L., and </w:t>
      </w:r>
      <w:proofErr w:type="spellStart"/>
      <w:r w:rsidRPr="000E4FE6">
        <w:rPr>
          <w:rFonts w:ascii="Times New Roman" w:hAnsi="Times New Roman" w:cs="Times New Roman"/>
          <w:sz w:val="24"/>
          <w:szCs w:val="24"/>
        </w:rPr>
        <w:t>Lindroos</w:t>
      </w:r>
      <w:proofErr w:type="spellEnd"/>
      <w:r w:rsidRPr="000E4FE6">
        <w:rPr>
          <w:rFonts w:ascii="Times New Roman" w:hAnsi="Times New Roman" w:cs="Times New Roman"/>
          <w:sz w:val="24"/>
          <w:szCs w:val="24"/>
        </w:rPr>
        <w:t>, A. K. (2005). Snacking frequency in relation to energy intake and food choices in obese men and women compared to a reference population.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29</w:t>
      </w:r>
      <w:r w:rsidRPr="000E4FE6">
        <w:rPr>
          <w:rFonts w:ascii="Times New Roman" w:hAnsi="Times New Roman" w:cs="Times New Roman"/>
          <w:sz w:val="24"/>
          <w:szCs w:val="24"/>
        </w:rPr>
        <w:t>(6), 711–719. https://doi.org/10.1038/sj.ijo.0802950</w:t>
      </w:r>
    </w:p>
    <w:p w14:paraId="00000C9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Berthoud, H.-R. (2006). Homeostatic and non-homeostatic pathways involved in the control of food intake and energy balance.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14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5</w:t>
      </w:r>
      <w:r w:rsidRPr="000E4FE6">
        <w:rPr>
          <w:rFonts w:ascii="Times New Roman" w:hAnsi="Times New Roman" w:cs="Times New Roman"/>
          <w:sz w:val="24"/>
          <w:szCs w:val="24"/>
        </w:rPr>
        <w:t>, 197S-200S. https://doi.org/10.1038/oby.2006.308</w:t>
      </w:r>
    </w:p>
    <w:p w14:paraId="00000C9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Berthoud, H.-R. (2011). Metabolic and hedonic drives in the neural control of appetite: who is the boss? </w:t>
      </w:r>
      <w:r w:rsidRPr="000E4FE6">
        <w:rPr>
          <w:rFonts w:ascii="Times New Roman" w:hAnsi="Times New Roman" w:cs="Times New Roman"/>
          <w:i/>
          <w:sz w:val="24"/>
          <w:szCs w:val="24"/>
        </w:rPr>
        <w:t>Current Opinion in Neurobiology</w:t>
      </w:r>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(6), 888–896. https://doi.org/10.1016/j.conb.2011.09.004</w:t>
      </w:r>
    </w:p>
    <w:p w14:paraId="00000C9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Betts, J. A., Richardson, J. D., Chowdhury, E. A., Holman, G. D., </w:t>
      </w:r>
      <w:proofErr w:type="spellStart"/>
      <w:r w:rsidRPr="000E4FE6">
        <w:rPr>
          <w:rFonts w:ascii="Times New Roman" w:hAnsi="Times New Roman" w:cs="Times New Roman"/>
          <w:sz w:val="24"/>
          <w:szCs w:val="24"/>
        </w:rPr>
        <w:t>Tsintzas</w:t>
      </w:r>
      <w:proofErr w:type="spellEnd"/>
      <w:r w:rsidRPr="000E4FE6">
        <w:rPr>
          <w:rFonts w:ascii="Times New Roman" w:hAnsi="Times New Roman" w:cs="Times New Roman"/>
          <w:sz w:val="24"/>
          <w:szCs w:val="24"/>
        </w:rPr>
        <w:t>, K., and Thompson, D. (2014). The causal role of breakfast in energy balance and health: a randomized controlled trial in lean adults.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100</w:t>
      </w:r>
      <w:r w:rsidRPr="000E4FE6">
        <w:rPr>
          <w:rFonts w:ascii="Times New Roman" w:hAnsi="Times New Roman" w:cs="Times New Roman"/>
          <w:sz w:val="24"/>
          <w:szCs w:val="24"/>
        </w:rPr>
        <w:t>(2), 539–547. https://doi.org/10.3945/ajcn.114.083402</w:t>
      </w:r>
    </w:p>
    <w:p w14:paraId="00000C9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Biesbroek</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Kneepkens</w:t>
      </w:r>
      <w:proofErr w:type="spellEnd"/>
      <w:r w:rsidRPr="000E4FE6">
        <w:rPr>
          <w:rFonts w:ascii="Times New Roman" w:hAnsi="Times New Roman" w:cs="Times New Roman"/>
          <w:sz w:val="24"/>
          <w:szCs w:val="24"/>
        </w:rPr>
        <w:t xml:space="preserve">, M. C., van den Berg, S. W., </w:t>
      </w:r>
      <w:proofErr w:type="spellStart"/>
      <w:r w:rsidRPr="000E4FE6">
        <w:rPr>
          <w:rFonts w:ascii="Times New Roman" w:hAnsi="Times New Roman" w:cs="Times New Roman"/>
          <w:sz w:val="24"/>
          <w:szCs w:val="24"/>
        </w:rPr>
        <w:t>Fransen</w:t>
      </w:r>
      <w:proofErr w:type="spellEnd"/>
      <w:r w:rsidRPr="000E4FE6">
        <w:rPr>
          <w:rFonts w:ascii="Times New Roman" w:hAnsi="Times New Roman" w:cs="Times New Roman"/>
          <w:sz w:val="24"/>
          <w:szCs w:val="24"/>
        </w:rPr>
        <w:t xml:space="preserve">, H. P., </w:t>
      </w:r>
      <w:proofErr w:type="spellStart"/>
      <w:r w:rsidRPr="000E4FE6">
        <w:rPr>
          <w:rFonts w:ascii="Times New Roman" w:hAnsi="Times New Roman" w:cs="Times New Roman"/>
          <w:sz w:val="24"/>
          <w:szCs w:val="24"/>
        </w:rPr>
        <w:t>Beulens</w:t>
      </w:r>
      <w:proofErr w:type="spellEnd"/>
      <w:r w:rsidRPr="000E4FE6">
        <w:rPr>
          <w:rFonts w:ascii="Times New Roman" w:hAnsi="Times New Roman" w:cs="Times New Roman"/>
          <w:sz w:val="24"/>
          <w:szCs w:val="24"/>
        </w:rPr>
        <w:t xml:space="preserve">, J. W., </w:t>
      </w:r>
      <w:proofErr w:type="spellStart"/>
      <w:r w:rsidRPr="000E4FE6">
        <w:rPr>
          <w:rFonts w:ascii="Times New Roman" w:hAnsi="Times New Roman" w:cs="Times New Roman"/>
          <w:sz w:val="24"/>
          <w:szCs w:val="24"/>
        </w:rPr>
        <w:t>Peeters</w:t>
      </w:r>
      <w:proofErr w:type="spellEnd"/>
      <w:r w:rsidRPr="000E4FE6">
        <w:rPr>
          <w:rFonts w:ascii="Times New Roman" w:hAnsi="Times New Roman" w:cs="Times New Roman"/>
          <w:sz w:val="24"/>
          <w:szCs w:val="24"/>
        </w:rPr>
        <w:t>, P. H. M., and Boer, J. M. A. (2018). Dietary patterns within educational groups and their association with CHD and stroke in the European Prospective Investigation into Cancer and Nutrition-Netherlands cohort.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119</w:t>
      </w:r>
      <w:r w:rsidRPr="000E4FE6">
        <w:rPr>
          <w:rFonts w:ascii="Times New Roman" w:hAnsi="Times New Roman" w:cs="Times New Roman"/>
          <w:sz w:val="24"/>
          <w:szCs w:val="24"/>
        </w:rPr>
        <w:t>(8), 949–956. https://doi.org/10.1017/S0007114518000569</w:t>
      </w:r>
    </w:p>
    <w:p w14:paraId="00000C9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Bilman</w:t>
      </w:r>
      <w:proofErr w:type="spellEnd"/>
      <w:r w:rsidRPr="000E4FE6">
        <w:rPr>
          <w:rFonts w:ascii="Times New Roman" w:hAnsi="Times New Roman" w:cs="Times New Roman"/>
          <w:sz w:val="24"/>
          <w:szCs w:val="24"/>
        </w:rPr>
        <w:t xml:space="preserve">, E., van </w:t>
      </w:r>
      <w:proofErr w:type="spellStart"/>
      <w:r w:rsidRPr="000E4FE6">
        <w:rPr>
          <w:rFonts w:ascii="Times New Roman" w:hAnsi="Times New Roman" w:cs="Times New Roman"/>
          <w:sz w:val="24"/>
          <w:szCs w:val="24"/>
        </w:rPr>
        <w:t>Kleef</w:t>
      </w:r>
      <w:proofErr w:type="spellEnd"/>
      <w:r w:rsidRPr="000E4FE6">
        <w:rPr>
          <w:rFonts w:ascii="Times New Roman" w:hAnsi="Times New Roman" w:cs="Times New Roman"/>
          <w:sz w:val="24"/>
          <w:szCs w:val="24"/>
        </w:rPr>
        <w:t xml:space="preserve">, E., and van </w:t>
      </w:r>
      <w:proofErr w:type="spellStart"/>
      <w:r w:rsidRPr="000E4FE6">
        <w:rPr>
          <w:rFonts w:ascii="Times New Roman" w:hAnsi="Times New Roman" w:cs="Times New Roman"/>
          <w:sz w:val="24"/>
          <w:szCs w:val="24"/>
        </w:rPr>
        <w:t>Trijp</w:t>
      </w:r>
      <w:proofErr w:type="spellEnd"/>
      <w:r w:rsidRPr="000E4FE6">
        <w:rPr>
          <w:rFonts w:ascii="Times New Roman" w:hAnsi="Times New Roman" w:cs="Times New Roman"/>
          <w:sz w:val="24"/>
          <w:szCs w:val="24"/>
        </w:rPr>
        <w:t>, H. (2017). External cues challenging the internal appetite control system-Overview and practical implications. </w:t>
      </w:r>
      <w:r w:rsidRPr="000E4FE6">
        <w:rPr>
          <w:rFonts w:ascii="Times New Roman" w:hAnsi="Times New Roman" w:cs="Times New Roman"/>
          <w:i/>
          <w:sz w:val="24"/>
          <w:szCs w:val="24"/>
        </w:rPr>
        <w:t>Critical Reviews in Food Science and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57</w:t>
      </w:r>
      <w:r w:rsidRPr="000E4FE6">
        <w:rPr>
          <w:rFonts w:ascii="Times New Roman" w:hAnsi="Times New Roman" w:cs="Times New Roman"/>
          <w:sz w:val="24"/>
          <w:szCs w:val="24"/>
        </w:rPr>
        <w:t>(13), 2825–2834. https://doi.org/10.1080/10408398.2015.1073140</w:t>
      </w:r>
    </w:p>
    <w:p w14:paraId="00000C9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Birch, L </w:t>
      </w:r>
      <w:proofErr w:type="spellStart"/>
      <w:r w:rsidRPr="000E4FE6">
        <w:rPr>
          <w:rFonts w:ascii="Times New Roman" w:hAnsi="Times New Roman" w:cs="Times New Roman"/>
          <w:sz w:val="24"/>
          <w:szCs w:val="24"/>
        </w:rPr>
        <w:t>L</w:t>
      </w:r>
      <w:proofErr w:type="spellEnd"/>
      <w:r w:rsidRPr="000E4FE6">
        <w:rPr>
          <w:rFonts w:ascii="Times New Roman" w:hAnsi="Times New Roman" w:cs="Times New Roman"/>
          <w:sz w:val="24"/>
          <w:szCs w:val="24"/>
        </w:rPr>
        <w:t>, and Fisher, J. O. (2000). Mothers’ child-feeding practices influence daughters’ eating and weight.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71</w:t>
      </w:r>
      <w:r w:rsidRPr="000E4FE6">
        <w:rPr>
          <w:rFonts w:ascii="Times New Roman" w:hAnsi="Times New Roman" w:cs="Times New Roman"/>
          <w:sz w:val="24"/>
          <w:szCs w:val="24"/>
        </w:rPr>
        <w:t>(5), 1054–1061. https://doi.org/10.1093/ajcn/71.5.1054</w:t>
      </w:r>
    </w:p>
    <w:p w14:paraId="00000C9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Birch, Leann L, Fisher, J. O., and Davison, K. K. (2003). Learning to </w:t>
      </w:r>
      <w:proofErr w:type="gramStart"/>
      <w:r w:rsidRPr="000E4FE6">
        <w:rPr>
          <w:rFonts w:ascii="Times New Roman" w:hAnsi="Times New Roman" w:cs="Times New Roman"/>
          <w:sz w:val="24"/>
          <w:szCs w:val="24"/>
        </w:rPr>
        <w:t>overeat:</w:t>
      </w:r>
      <w:proofErr w:type="gramEnd"/>
      <w:r w:rsidRPr="000E4FE6">
        <w:rPr>
          <w:rFonts w:ascii="Times New Roman" w:hAnsi="Times New Roman" w:cs="Times New Roman"/>
          <w:sz w:val="24"/>
          <w:szCs w:val="24"/>
        </w:rPr>
        <w:t xml:space="preserve"> maternal use of restrictive feeding practices promotes girls’ eating in the absence of hunger.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78</w:t>
      </w:r>
      <w:r w:rsidRPr="000E4FE6">
        <w:rPr>
          <w:rFonts w:ascii="Times New Roman" w:hAnsi="Times New Roman" w:cs="Times New Roman"/>
          <w:sz w:val="24"/>
          <w:szCs w:val="24"/>
        </w:rPr>
        <w:t>(2), 215–220. https://doi.org/10.1093/ajcn/78.2.215</w:t>
      </w:r>
    </w:p>
    <w:p w14:paraId="00000C9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Birnbaum, M. H. (2000). </w:t>
      </w:r>
      <w:proofErr w:type="spellStart"/>
      <w:r w:rsidRPr="000E4FE6">
        <w:rPr>
          <w:rFonts w:ascii="Times New Roman" w:hAnsi="Times New Roman" w:cs="Times New Roman"/>
          <w:sz w:val="24"/>
          <w:szCs w:val="24"/>
        </w:rPr>
        <w:t>SurveyWiz</w:t>
      </w:r>
      <w:proofErr w:type="spellEnd"/>
      <w:r w:rsidRPr="000E4FE6">
        <w:rPr>
          <w:rFonts w:ascii="Times New Roman" w:hAnsi="Times New Roman" w:cs="Times New Roman"/>
          <w:sz w:val="24"/>
          <w:szCs w:val="24"/>
        </w:rPr>
        <w:t xml:space="preserve"> and </w:t>
      </w:r>
      <w:proofErr w:type="spellStart"/>
      <w:r w:rsidRPr="000E4FE6">
        <w:rPr>
          <w:rFonts w:ascii="Times New Roman" w:hAnsi="Times New Roman" w:cs="Times New Roman"/>
          <w:sz w:val="24"/>
          <w:szCs w:val="24"/>
        </w:rPr>
        <w:t>factorWiz</w:t>
      </w:r>
      <w:proofErr w:type="spellEnd"/>
      <w:r w:rsidRPr="000E4FE6">
        <w:rPr>
          <w:rFonts w:ascii="Times New Roman" w:hAnsi="Times New Roman" w:cs="Times New Roman"/>
          <w:sz w:val="24"/>
          <w:szCs w:val="24"/>
        </w:rPr>
        <w:t>: JavaScript Web pages that make HTML forms for research on the Internet.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i/>
          <w:sz w:val="24"/>
          <w:szCs w:val="24"/>
        </w:rPr>
        <w:t xml:space="preserve"> Research Methods, Instruments, &amp; </w:t>
      </w:r>
      <w:proofErr w:type="gramStart"/>
      <w:r w:rsidRPr="000E4FE6">
        <w:rPr>
          <w:rFonts w:ascii="Times New Roman" w:hAnsi="Times New Roman" w:cs="Times New Roman"/>
          <w:i/>
          <w:sz w:val="24"/>
          <w:szCs w:val="24"/>
        </w:rPr>
        <w:t>Computers :</w:t>
      </w:r>
      <w:proofErr w:type="gramEnd"/>
      <w:r w:rsidRPr="000E4FE6">
        <w:rPr>
          <w:rFonts w:ascii="Times New Roman" w:hAnsi="Times New Roman" w:cs="Times New Roman"/>
          <w:i/>
          <w:sz w:val="24"/>
          <w:szCs w:val="24"/>
        </w:rPr>
        <w:t xml:space="preserve"> A Journal of the Psychonomic Society, Inc</w:t>
      </w:r>
      <w:r w:rsidRPr="000E4FE6">
        <w:rPr>
          <w:rFonts w:ascii="Times New Roman" w:hAnsi="Times New Roman" w:cs="Times New Roman"/>
          <w:sz w:val="24"/>
          <w:szCs w:val="24"/>
        </w:rPr>
        <w:t>, </w:t>
      </w:r>
      <w:r w:rsidRPr="000E4FE6">
        <w:rPr>
          <w:rFonts w:ascii="Times New Roman" w:hAnsi="Times New Roman" w:cs="Times New Roman"/>
          <w:i/>
          <w:sz w:val="24"/>
          <w:szCs w:val="24"/>
        </w:rPr>
        <w:t>32</w:t>
      </w:r>
      <w:r w:rsidRPr="000E4FE6">
        <w:rPr>
          <w:rFonts w:ascii="Times New Roman" w:hAnsi="Times New Roman" w:cs="Times New Roman"/>
          <w:sz w:val="24"/>
          <w:szCs w:val="24"/>
        </w:rPr>
        <w:t>(2), 339–346.</w:t>
      </w:r>
    </w:p>
    <w:p w14:paraId="00000C9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Bjørklund</w:t>
      </w:r>
      <w:proofErr w:type="spellEnd"/>
      <w:r w:rsidRPr="000E4FE6">
        <w:rPr>
          <w:rFonts w:ascii="Times New Roman" w:hAnsi="Times New Roman" w:cs="Times New Roman"/>
          <w:sz w:val="24"/>
          <w:szCs w:val="24"/>
        </w:rPr>
        <w:t xml:space="preserve">, O., </w:t>
      </w:r>
      <w:proofErr w:type="spellStart"/>
      <w:r w:rsidRPr="000E4FE6">
        <w:rPr>
          <w:rFonts w:ascii="Times New Roman" w:hAnsi="Times New Roman" w:cs="Times New Roman"/>
          <w:sz w:val="24"/>
          <w:szCs w:val="24"/>
        </w:rPr>
        <w:t>Wichstrøm</w:t>
      </w:r>
      <w:proofErr w:type="spellEnd"/>
      <w:r w:rsidRPr="000E4FE6">
        <w:rPr>
          <w:rFonts w:ascii="Times New Roman" w:hAnsi="Times New Roman" w:cs="Times New Roman"/>
          <w:sz w:val="24"/>
          <w:szCs w:val="24"/>
        </w:rPr>
        <w:t xml:space="preserve">, L., Llewellyn, C. H., and </w:t>
      </w:r>
      <w:proofErr w:type="spellStart"/>
      <w:r w:rsidRPr="000E4FE6">
        <w:rPr>
          <w:rFonts w:ascii="Times New Roman" w:hAnsi="Times New Roman" w:cs="Times New Roman"/>
          <w:sz w:val="24"/>
          <w:szCs w:val="24"/>
        </w:rPr>
        <w:t>Steinsbekk</w:t>
      </w:r>
      <w:proofErr w:type="spellEnd"/>
      <w:r w:rsidRPr="000E4FE6">
        <w:rPr>
          <w:rFonts w:ascii="Times New Roman" w:hAnsi="Times New Roman" w:cs="Times New Roman"/>
          <w:sz w:val="24"/>
          <w:szCs w:val="24"/>
        </w:rPr>
        <w:t>, S. (2019). Emotional over‐ and undereating in children: A longitudinal analysis of child and contextual predictors. </w:t>
      </w:r>
      <w:r w:rsidRPr="000E4FE6">
        <w:rPr>
          <w:rFonts w:ascii="Times New Roman" w:hAnsi="Times New Roman" w:cs="Times New Roman"/>
          <w:i/>
          <w:sz w:val="24"/>
          <w:szCs w:val="24"/>
        </w:rPr>
        <w:t>Child Development</w:t>
      </w:r>
      <w:r w:rsidRPr="000E4FE6">
        <w:rPr>
          <w:rFonts w:ascii="Times New Roman" w:hAnsi="Times New Roman" w:cs="Times New Roman"/>
          <w:sz w:val="24"/>
          <w:szCs w:val="24"/>
        </w:rPr>
        <w:t>, </w:t>
      </w:r>
      <w:r w:rsidRPr="000E4FE6">
        <w:rPr>
          <w:rFonts w:ascii="Times New Roman" w:hAnsi="Times New Roman" w:cs="Times New Roman"/>
          <w:i/>
          <w:sz w:val="24"/>
          <w:szCs w:val="24"/>
        </w:rPr>
        <w:t>90</w:t>
      </w:r>
      <w:r w:rsidRPr="000E4FE6">
        <w:rPr>
          <w:rFonts w:ascii="Times New Roman" w:hAnsi="Times New Roman" w:cs="Times New Roman"/>
          <w:sz w:val="24"/>
          <w:szCs w:val="24"/>
        </w:rPr>
        <w:t>(6). https://doi.org/10.1111/cdev.13110</w:t>
      </w:r>
    </w:p>
    <w:p w14:paraId="00000C9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Block, G., Gillespie, C., Rosenbaum, E. H., and Jenson, C. (2000). A rapid food screener to assess fat and fruit and vegetable intake. </w:t>
      </w:r>
      <w:r w:rsidRPr="000E4FE6">
        <w:rPr>
          <w:rFonts w:ascii="Times New Roman" w:hAnsi="Times New Roman" w:cs="Times New Roman"/>
          <w:i/>
          <w:sz w:val="24"/>
          <w:szCs w:val="24"/>
        </w:rPr>
        <w:t>American Journal of Preventive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(4), 284–288. https://doi.org/10.1016/s0749-3797(00)00119-7</w:t>
      </w:r>
    </w:p>
    <w:p w14:paraId="00000C9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Blouet</w:t>
      </w:r>
      <w:proofErr w:type="spellEnd"/>
      <w:r w:rsidRPr="000E4FE6">
        <w:rPr>
          <w:rFonts w:ascii="Times New Roman" w:hAnsi="Times New Roman" w:cs="Times New Roman"/>
          <w:sz w:val="24"/>
          <w:szCs w:val="24"/>
        </w:rPr>
        <w:t>, C., and Schwartz, G. J. (2010). Hypothalamic nutrient sensing in the control of energy homeostasis. </w:t>
      </w:r>
      <w:r w:rsidRPr="000E4FE6">
        <w:rPr>
          <w:rFonts w:ascii="Times New Roman" w:hAnsi="Times New Roman" w:cs="Times New Roman"/>
          <w:i/>
          <w:sz w:val="24"/>
          <w:szCs w:val="24"/>
        </w:rPr>
        <w:t>Behavioural Brain Research</w:t>
      </w:r>
      <w:r w:rsidRPr="000E4FE6">
        <w:rPr>
          <w:rFonts w:ascii="Times New Roman" w:hAnsi="Times New Roman" w:cs="Times New Roman"/>
          <w:sz w:val="24"/>
          <w:szCs w:val="24"/>
        </w:rPr>
        <w:t>, </w:t>
      </w:r>
      <w:r w:rsidRPr="000E4FE6">
        <w:rPr>
          <w:rFonts w:ascii="Times New Roman" w:hAnsi="Times New Roman" w:cs="Times New Roman"/>
          <w:i/>
          <w:sz w:val="24"/>
          <w:szCs w:val="24"/>
        </w:rPr>
        <w:t>209</w:t>
      </w:r>
      <w:r w:rsidRPr="000E4FE6">
        <w:rPr>
          <w:rFonts w:ascii="Times New Roman" w:hAnsi="Times New Roman" w:cs="Times New Roman"/>
          <w:sz w:val="24"/>
          <w:szCs w:val="24"/>
        </w:rPr>
        <w:t>(1), 1–12. https://doi.org/10.1016/j.bbr.2009.12.024</w:t>
      </w:r>
    </w:p>
    <w:p w14:paraId="00000C9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Blumfield</w:t>
      </w:r>
      <w:proofErr w:type="spellEnd"/>
      <w:r w:rsidRPr="000E4FE6">
        <w:rPr>
          <w:rFonts w:ascii="Times New Roman" w:hAnsi="Times New Roman" w:cs="Times New Roman"/>
          <w:sz w:val="24"/>
          <w:szCs w:val="24"/>
        </w:rPr>
        <w:t xml:space="preserve">, M. L., Bei, B., </w:t>
      </w:r>
      <w:proofErr w:type="spellStart"/>
      <w:r w:rsidRPr="000E4FE6">
        <w:rPr>
          <w:rFonts w:ascii="Times New Roman" w:hAnsi="Times New Roman" w:cs="Times New Roman"/>
          <w:sz w:val="24"/>
          <w:szCs w:val="24"/>
        </w:rPr>
        <w:t>Zimberg</w:t>
      </w:r>
      <w:proofErr w:type="spellEnd"/>
      <w:r w:rsidRPr="000E4FE6">
        <w:rPr>
          <w:rFonts w:ascii="Times New Roman" w:hAnsi="Times New Roman" w:cs="Times New Roman"/>
          <w:sz w:val="24"/>
          <w:szCs w:val="24"/>
        </w:rPr>
        <w:t>, I. Z., and Cain, S. W. (2018). Dietary disinhibition mediates the relationship between poor sleep quality and body weight.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120</w:t>
      </w:r>
      <w:r w:rsidRPr="000E4FE6">
        <w:rPr>
          <w:rFonts w:ascii="Times New Roman" w:hAnsi="Times New Roman" w:cs="Times New Roman"/>
          <w:sz w:val="24"/>
          <w:szCs w:val="24"/>
        </w:rPr>
        <w:t>, 602–608. https://doi.org/10.1016/j.appet.2017.10.022</w:t>
      </w:r>
    </w:p>
    <w:p w14:paraId="00000C9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Blundell, J, de Graaf, C., Hulshof, T., </w:t>
      </w:r>
      <w:proofErr w:type="spellStart"/>
      <w:r w:rsidRPr="000E4FE6">
        <w:rPr>
          <w:rFonts w:ascii="Times New Roman" w:hAnsi="Times New Roman" w:cs="Times New Roman"/>
          <w:sz w:val="24"/>
          <w:szCs w:val="24"/>
        </w:rPr>
        <w:t>Jebb</w:t>
      </w:r>
      <w:proofErr w:type="spellEnd"/>
      <w:r w:rsidRPr="000E4FE6">
        <w:rPr>
          <w:rFonts w:ascii="Times New Roman" w:hAnsi="Times New Roman" w:cs="Times New Roman"/>
          <w:sz w:val="24"/>
          <w:szCs w:val="24"/>
        </w:rPr>
        <w:t xml:space="preserve">, S., Livingstone, B., </w:t>
      </w:r>
      <w:proofErr w:type="spellStart"/>
      <w:r w:rsidRPr="000E4FE6">
        <w:rPr>
          <w:rFonts w:ascii="Times New Roman" w:hAnsi="Times New Roman" w:cs="Times New Roman"/>
          <w:sz w:val="24"/>
          <w:szCs w:val="24"/>
        </w:rPr>
        <w:t>Lluch</w:t>
      </w:r>
      <w:proofErr w:type="spellEnd"/>
      <w:r w:rsidRPr="000E4FE6">
        <w:rPr>
          <w:rFonts w:ascii="Times New Roman" w:hAnsi="Times New Roman" w:cs="Times New Roman"/>
          <w:sz w:val="24"/>
          <w:szCs w:val="24"/>
        </w:rPr>
        <w:t xml:space="preserve">, A., … </w:t>
      </w:r>
      <w:proofErr w:type="spellStart"/>
      <w:r w:rsidRPr="000E4FE6">
        <w:rPr>
          <w:rFonts w:ascii="Times New Roman" w:hAnsi="Times New Roman" w:cs="Times New Roman"/>
          <w:sz w:val="24"/>
          <w:szCs w:val="24"/>
        </w:rPr>
        <w:t>Westerterp</w:t>
      </w:r>
      <w:proofErr w:type="spellEnd"/>
      <w:r w:rsidRPr="000E4FE6">
        <w:rPr>
          <w:rFonts w:ascii="Times New Roman" w:hAnsi="Times New Roman" w:cs="Times New Roman"/>
          <w:sz w:val="24"/>
          <w:szCs w:val="24"/>
        </w:rPr>
        <w:t>, M. (2010). Appetite control: methodological aspects of the evaluation of foods.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(3), 251–270. https://doi.org/10.1111/j.1467-789X.2010.00714.x</w:t>
      </w:r>
    </w:p>
    <w:p w14:paraId="00000C9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Blundell, J E, De Graaf, K., Finlayson, G., Halford, J. C., Hetherington, M., King, N., and Stubbs, J. (2009). Measuring food intake, hunger, satiety and satiation in the laboratory. </w:t>
      </w:r>
      <w:r w:rsidRPr="000E4FE6">
        <w:rPr>
          <w:rFonts w:ascii="Times New Roman" w:hAnsi="Times New Roman" w:cs="Times New Roman"/>
          <w:i/>
          <w:sz w:val="24"/>
          <w:szCs w:val="24"/>
        </w:rPr>
        <w:t>Handbook of Assessment Methods for Eating Behaviours and Weight-Related Problems: Measures, Theory and Research. 2nd Ed. Newbury Park, CA: Sage</w:t>
      </w:r>
      <w:r w:rsidRPr="000E4FE6">
        <w:rPr>
          <w:rFonts w:ascii="Times New Roman" w:hAnsi="Times New Roman" w:cs="Times New Roman"/>
          <w:sz w:val="24"/>
          <w:szCs w:val="24"/>
        </w:rPr>
        <w:t>, 283–325.</w:t>
      </w:r>
    </w:p>
    <w:p w14:paraId="00000C9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Blundell, J E, and Gillett, A. (2001). Control of food intake in the obese. </w:t>
      </w:r>
      <w:r w:rsidRPr="000E4FE6">
        <w:rPr>
          <w:rFonts w:ascii="Times New Roman" w:hAnsi="Times New Roman" w:cs="Times New Roman"/>
          <w:i/>
          <w:sz w:val="24"/>
          <w:szCs w:val="24"/>
        </w:rPr>
        <w:t>Obesity Research</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9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4</w:t>
      </w:r>
      <w:r w:rsidRPr="000E4FE6">
        <w:rPr>
          <w:rFonts w:ascii="Times New Roman" w:hAnsi="Times New Roman" w:cs="Times New Roman"/>
          <w:sz w:val="24"/>
          <w:szCs w:val="24"/>
        </w:rPr>
        <w:t>, 263S-270S. https://doi.org/10.1038/oby.2001.129</w:t>
      </w:r>
    </w:p>
    <w:p w14:paraId="00000C9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Blundell, J E, Stubbs, R. J., Golding, C., </w:t>
      </w:r>
      <w:proofErr w:type="spellStart"/>
      <w:r w:rsidRPr="000E4FE6">
        <w:rPr>
          <w:rFonts w:ascii="Times New Roman" w:hAnsi="Times New Roman" w:cs="Times New Roman"/>
          <w:sz w:val="24"/>
          <w:szCs w:val="24"/>
        </w:rPr>
        <w:t>Croden</w:t>
      </w:r>
      <w:proofErr w:type="spellEnd"/>
      <w:r w:rsidRPr="000E4FE6">
        <w:rPr>
          <w:rFonts w:ascii="Times New Roman" w:hAnsi="Times New Roman" w:cs="Times New Roman"/>
          <w:sz w:val="24"/>
          <w:szCs w:val="24"/>
        </w:rPr>
        <w:t xml:space="preserve">, F., </w:t>
      </w:r>
      <w:proofErr w:type="spellStart"/>
      <w:r w:rsidRPr="000E4FE6">
        <w:rPr>
          <w:rFonts w:ascii="Times New Roman" w:hAnsi="Times New Roman" w:cs="Times New Roman"/>
          <w:sz w:val="24"/>
          <w:szCs w:val="24"/>
        </w:rPr>
        <w:t>Alam</w:t>
      </w:r>
      <w:proofErr w:type="spellEnd"/>
      <w:r w:rsidRPr="000E4FE6">
        <w:rPr>
          <w:rFonts w:ascii="Times New Roman" w:hAnsi="Times New Roman" w:cs="Times New Roman"/>
          <w:sz w:val="24"/>
          <w:szCs w:val="24"/>
        </w:rPr>
        <w:t>, R., Whybrow, S., … Lawton, C. L. (2005). Resistance and susceptibility to weight gain: individual variability in response to a high-fat diet.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86</w:t>
      </w:r>
      <w:r w:rsidRPr="000E4FE6">
        <w:rPr>
          <w:rFonts w:ascii="Times New Roman" w:hAnsi="Times New Roman" w:cs="Times New Roman"/>
          <w:sz w:val="24"/>
          <w:szCs w:val="24"/>
        </w:rPr>
        <w:t>(5), 614–622. https://doi.org/10.1016/j.physbeh.2005.08.052</w:t>
      </w:r>
    </w:p>
    <w:p w14:paraId="00000CA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Blundell, J E, and Tremblay, A. (1995). Appetite control and energy (fuel) balance. </w:t>
      </w:r>
      <w:r w:rsidRPr="000E4FE6">
        <w:rPr>
          <w:rFonts w:ascii="Times New Roman" w:hAnsi="Times New Roman" w:cs="Times New Roman"/>
          <w:i/>
          <w:sz w:val="24"/>
          <w:szCs w:val="24"/>
        </w:rPr>
        <w:t>Nutrition Research Reviews</w:t>
      </w:r>
      <w:r w:rsidRPr="000E4FE6">
        <w:rPr>
          <w:rFonts w:ascii="Times New Roman" w:hAnsi="Times New Roman" w:cs="Times New Roman"/>
          <w:sz w:val="24"/>
          <w:szCs w:val="24"/>
        </w:rPr>
        <w:t>, </w:t>
      </w:r>
      <w:r w:rsidRPr="000E4FE6">
        <w:rPr>
          <w:rFonts w:ascii="Times New Roman" w:hAnsi="Times New Roman" w:cs="Times New Roman"/>
          <w:i/>
          <w:sz w:val="24"/>
          <w:szCs w:val="24"/>
        </w:rPr>
        <w:t>8</w:t>
      </w:r>
      <w:r w:rsidRPr="000E4FE6">
        <w:rPr>
          <w:rFonts w:ascii="Times New Roman" w:hAnsi="Times New Roman" w:cs="Times New Roman"/>
          <w:sz w:val="24"/>
          <w:szCs w:val="24"/>
        </w:rPr>
        <w:t>(1), 225–242. https://doi.org/10.1079/NRR19950014</w:t>
      </w:r>
    </w:p>
    <w:p w14:paraId="00000CA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Blundell, John, Bryant, E., Lawton, C., Halford, J., </w:t>
      </w:r>
      <w:proofErr w:type="spellStart"/>
      <w:r w:rsidRPr="000E4FE6">
        <w:rPr>
          <w:rFonts w:ascii="Times New Roman" w:hAnsi="Times New Roman" w:cs="Times New Roman"/>
          <w:sz w:val="24"/>
          <w:szCs w:val="24"/>
        </w:rPr>
        <w:t>Naslund</w:t>
      </w:r>
      <w:proofErr w:type="spellEnd"/>
      <w:r w:rsidRPr="000E4FE6">
        <w:rPr>
          <w:rFonts w:ascii="Times New Roman" w:hAnsi="Times New Roman" w:cs="Times New Roman"/>
          <w:sz w:val="24"/>
          <w:szCs w:val="24"/>
        </w:rPr>
        <w:t xml:space="preserve">, E., Finlayson, G., and King, N. (2010). Characterizing the homeostatic and hedonic markers of the susceptible </w:t>
      </w:r>
      <w:r w:rsidRPr="000E4FE6">
        <w:rPr>
          <w:rFonts w:ascii="Times New Roman" w:hAnsi="Times New Roman" w:cs="Times New Roman"/>
          <w:sz w:val="24"/>
          <w:szCs w:val="24"/>
        </w:rPr>
        <w:lastRenderedPageBreak/>
        <w:t>phenotype. In </w:t>
      </w:r>
      <w:r w:rsidRPr="000E4FE6">
        <w:rPr>
          <w:rFonts w:ascii="Times New Roman" w:hAnsi="Times New Roman" w:cs="Times New Roman"/>
          <w:i/>
          <w:sz w:val="24"/>
          <w:szCs w:val="24"/>
        </w:rPr>
        <w:t>Obesity Prevention</w:t>
      </w:r>
      <w:r w:rsidRPr="000E4FE6">
        <w:rPr>
          <w:rFonts w:ascii="Times New Roman" w:hAnsi="Times New Roman" w:cs="Times New Roman"/>
          <w:sz w:val="24"/>
          <w:szCs w:val="24"/>
        </w:rPr>
        <w:t> (pp. 231–240). Elsevier. https://doi.org/10.1016/B978-0-12-374387-9.00018-0</w:t>
      </w:r>
    </w:p>
    <w:p w14:paraId="00000CA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Blundell, JOHN E., and </w:t>
      </w:r>
      <w:proofErr w:type="spellStart"/>
      <w:r w:rsidRPr="000E4FE6">
        <w:rPr>
          <w:rFonts w:ascii="Times New Roman" w:hAnsi="Times New Roman" w:cs="Times New Roman"/>
          <w:sz w:val="24"/>
          <w:szCs w:val="24"/>
        </w:rPr>
        <w:t>Macdiarmid</w:t>
      </w:r>
      <w:proofErr w:type="spellEnd"/>
      <w:r w:rsidRPr="000E4FE6">
        <w:rPr>
          <w:rFonts w:ascii="Times New Roman" w:hAnsi="Times New Roman" w:cs="Times New Roman"/>
          <w:sz w:val="24"/>
          <w:szCs w:val="24"/>
        </w:rPr>
        <w:t>, J. I. (1997). Fat as a risk factor for overconsumption. </w:t>
      </w:r>
      <w:r w:rsidRPr="000E4FE6">
        <w:rPr>
          <w:rFonts w:ascii="Times New Roman" w:hAnsi="Times New Roman" w:cs="Times New Roman"/>
          <w:i/>
          <w:sz w:val="24"/>
          <w:szCs w:val="24"/>
        </w:rPr>
        <w:t>Journal of the 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97</w:t>
      </w:r>
      <w:r w:rsidRPr="000E4FE6">
        <w:rPr>
          <w:rFonts w:ascii="Times New Roman" w:hAnsi="Times New Roman" w:cs="Times New Roman"/>
          <w:sz w:val="24"/>
          <w:szCs w:val="24"/>
        </w:rPr>
        <w:t>(7), S63–S69. https://doi.org/10.1016/S0002-8223(97)00733-5</w:t>
      </w:r>
    </w:p>
    <w:p w14:paraId="00000CA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Bo, S, </w:t>
      </w:r>
      <w:proofErr w:type="spellStart"/>
      <w:r w:rsidRPr="000E4FE6">
        <w:rPr>
          <w:rFonts w:ascii="Times New Roman" w:hAnsi="Times New Roman" w:cs="Times New Roman"/>
          <w:sz w:val="24"/>
          <w:szCs w:val="24"/>
          <w:lang w:val="es-ES_tradnl"/>
        </w:rPr>
        <w:t>Fadda</w:t>
      </w:r>
      <w:proofErr w:type="spellEnd"/>
      <w:r w:rsidRPr="000E4FE6">
        <w:rPr>
          <w:rFonts w:ascii="Times New Roman" w:hAnsi="Times New Roman" w:cs="Times New Roman"/>
          <w:sz w:val="24"/>
          <w:szCs w:val="24"/>
          <w:lang w:val="es-ES_tradnl"/>
        </w:rPr>
        <w:t xml:space="preserve">, M., Castiglione, A., </w:t>
      </w:r>
      <w:proofErr w:type="spellStart"/>
      <w:r w:rsidRPr="000E4FE6">
        <w:rPr>
          <w:rFonts w:ascii="Times New Roman" w:hAnsi="Times New Roman" w:cs="Times New Roman"/>
          <w:sz w:val="24"/>
          <w:szCs w:val="24"/>
          <w:lang w:val="es-ES_tradnl"/>
        </w:rPr>
        <w:t>Ciccone</w:t>
      </w:r>
      <w:proofErr w:type="spellEnd"/>
      <w:r w:rsidRPr="000E4FE6">
        <w:rPr>
          <w:rFonts w:ascii="Times New Roman" w:hAnsi="Times New Roman" w:cs="Times New Roman"/>
          <w:sz w:val="24"/>
          <w:szCs w:val="24"/>
          <w:lang w:val="es-ES_tradnl"/>
        </w:rPr>
        <w:t xml:space="preserve">, G., De Francesco, A., Fedele, D., … </w:t>
      </w:r>
      <w:proofErr w:type="spellStart"/>
      <w:r w:rsidRPr="000E4FE6">
        <w:rPr>
          <w:rFonts w:ascii="Times New Roman" w:hAnsi="Times New Roman" w:cs="Times New Roman"/>
          <w:sz w:val="24"/>
          <w:szCs w:val="24"/>
        </w:rPr>
        <w:t>Broglio</w:t>
      </w:r>
      <w:proofErr w:type="spellEnd"/>
      <w:r w:rsidRPr="000E4FE6">
        <w:rPr>
          <w:rFonts w:ascii="Times New Roman" w:hAnsi="Times New Roman" w:cs="Times New Roman"/>
          <w:sz w:val="24"/>
          <w:szCs w:val="24"/>
        </w:rPr>
        <w:t>, F. (2015). Is the timing of caloric intake associated with variation in diet-induced thermogenesis and in the metabolic pattern? A randomized cross-over study.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39</w:t>
      </w:r>
      <w:r w:rsidRPr="000E4FE6">
        <w:rPr>
          <w:rFonts w:ascii="Times New Roman" w:hAnsi="Times New Roman" w:cs="Times New Roman"/>
          <w:sz w:val="24"/>
          <w:szCs w:val="24"/>
        </w:rPr>
        <w:t>(12), 1689–1695. https://doi.org/10.1038/ijo.2015.138</w:t>
      </w:r>
    </w:p>
    <w:p w14:paraId="00000CA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Bo, Simona, Musso, G., </w:t>
      </w:r>
      <w:proofErr w:type="spellStart"/>
      <w:r w:rsidRPr="000E4FE6">
        <w:rPr>
          <w:rFonts w:ascii="Times New Roman" w:hAnsi="Times New Roman" w:cs="Times New Roman"/>
          <w:sz w:val="24"/>
          <w:szCs w:val="24"/>
          <w:lang w:val="es-ES_tradnl"/>
        </w:rPr>
        <w:t>Beccuti</w:t>
      </w:r>
      <w:proofErr w:type="spellEnd"/>
      <w:r w:rsidRPr="000E4FE6">
        <w:rPr>
          <w:rFonts w:ascii="Times New Roman" w:hAnsi="Times New Roman" w:cs="Times New Roman"/>
          <w:sz w:val="24"/>
          <w:szCs w:val="24"/>
          <w:lang w:val="es-ES_tradnl"/>
        </w:rPr>
        <w:t xml:space="preserve">, G., </w:t>
      </w:r>
      <w:proofErr w:type="spellStart"/>
      <w:r w:rsidRPr="000E4FE6">
        <w:rPr>
          <w:rFonts w:ascii="Times New Roman" w:hAnsi="Times New Roman" w:cs="Times New Roman"/>
          <w:sz w:val="24"/>
          <w:szCs w:val="24"/>
          <w:lang w:val="es-ES_tradnl"/>
        </w:rPr>
        <w:t>Fadda</w:t>
      </w:r>
      <w:proofErr w:type="spellEnd"/>
      <w:r w:rsidRPr="000E4FE6">
        <w:rPr>
          <w:rFonts w:ascii="Times New Roman" w:hAnsi="Times New Roman" w:cs="Times New Roman"/>
          <w:sz w:val="24"/>
          <w:szCs w:val="24"/>
          <w:lang w:val="es-ES_tradnl"/>
        </w:rPr>
        <w:t xml:space="preserve">, M., Fedele, D., Gambino, R., … </w:t>
      </w:r>
      <w:proofErr w:type="spellStart"/>
      <w:r w:rsidRPr="000E4FE6">
        <w:rPr>
          <w:rFonts w:ascii="Times New Roman" w:hAnsi="Times New Roman" w:cs="Times New Roman"/>
          <w:sz w:val="24"/>
          <w:szCs w:val="24"/>
        </w:rPr>
        <w:t>Cassader</w:t>
      </w:r>
      <w:proofErr w:type="spellEnd"/>
      <w:r w:rsidRPr="000E4FE6">
        <w:rPr>
          <w:rFonts w:ascii="Times New Roman" w:hAnsi="Times New Roman" w:cs="Times New Roman"/>
          <w:sz w:val="24"/>
          <w:szCs w:val="24"/>
        </w:rPr>
        <w:t>, M. (2014). Consuming more of daily caloric intake at dinner predisposes to obesity. A 6-year population-based prospective cohort study. </w:t>
      </w:r>
      <w:proofErr w:type="spellStart"/>
      <w:r w:rsidRPr="000E4FE6">
        <w:rPr>
          <w:rFonts w:ascii="Times New Roman" w:hAnsi="Times New Roman" w:cs="Times New Roman"/>
          <w:i/>
          <w:sz w:val="24"/>
          <w:szCs w:val="24"/>
        </w:rPr>
        <w:t>Plos</w:t>
      </w:r>
      <w:proofErr w:type="spellEnd"/>
      <w:r w:rsidRPr="000E4FE6">
        <w:rPr>
          <w:rFonts w:ascii="Times New Roman" w:hAnsi="Times New Roman" w:cs="Times New Roman"/>
          <w:i/>
          <w:sz w:val="24"/>
          <w:szCs w:val="24"/>
        </w:rPr>
        <w:t xml:space="preserve"> One</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(9), e108467. https://doi.org/10.1371/journal.pone.0108467</w:t>
      </w:r>
    </w:p>
    <w:p w14:paraId="00000CA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Bongers</w:t>
      </w:r>
      <w:proofErr w:type="spellEnd"/>
      <w:r w:rsidRPr="000E4FE6">
        <w:rPr>
          <w:rFonts w:ascii="Times New Roman" w:hAnsi="Times New Roman" w:cs="Times New Roman"/>
          <w:sz w:val="24"/>
          <w:szCs w:val="24"/>
        </w:rPr>
        <w:t>, P., and Jansen, A. (2016). Emotional eating is not what you think it is and emotional eating scales do not measure what you think they measure. </w:t>
      </w:r>
      <w:r w:rsidRPr="000E4FE6">
        <w:rPr>
          <w:rFonts w:ascii="Times New Roman" w:hAnsi="Times New Roman" w:cs="Times New Roman"/>
          <w:i/>
          <w:sz w:val="24"/>
          <w:szCs w:val="24"/>
        </w:rPr>
        <w:t>Frontiers in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 1932. https://doi.org/10.3389/fpsyg.2016.01932</w:t>
      </w:r>
    </w:p>
    <w:p w14:paraId="00000CA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Bonham, M. P., </w:t>
      </w:r>
      <w:proofErr w:type="spellStart"/>
      <w:r w:rsidRPr="000E4FE6">
        <w:rPr>
          <w:rFonts w:ascii="Times New Roman" w:hAnsi="Times New Roman" w:cs="Times New Roman"/>
          <w:sz w:val="24"/>
          <w:szCs w:val="24"/>
        </w:rPr>
        <w:t>Bonnell</w:t>
      </w:r>
      <w:proofErr w:type="spellEnd"/>
      <w:r w:rsidRPr="000E4FE6">
        <w:rPr>
          <w:rFonts w:ascii="Times New Roman" w:hAnsi="Times New Roman" w:cs="Times New Roman"/>
          <w:sz w:val="24"/>
          <w:szCs w:val="24"/>
        </w:rPr>
        <w:t>, E. K., and Huggins, C. E. (2016). Energy intake of shift workers compared to fixed day workers: A systematic review and meta-analysis. </w:t>
      </w:r>
      <w:r w:rsidRPr="000E4FE6">
        <w:rPr>
          <w:rFonts w:ascii="Times New Roman" w:hAnsi="Times New Roman" w:cs="Times New Roman"/>
          <w:i/>
          <w:sz w:val="24"/>
          <w:szCs w:val="24"/>
        </w:rPr>
        <w:t>Chronobiology International</w:t>
      </w:r>
      <w:r w:rsidRPr="000E4FE6">
        <w:rPr>
          <w:rFonts w:ascii="Times New Roman" w:hAnsi="Times New Roman" w:cs="Times New Roman"/>
          <w:sz w:val="24"/>
          <w:szCs w:val="24"/>
        </w:rPr>
        <w:t>, </w:t>
      </w:r>
      <w:r w:rsidRPr="000E4FE6">
        <w:rPr>
          <w:rFonts w:ascii="Times New Roman" w:hAnsi="Times New Roman" w:cs="Times New Roman"/>
          <w:i/>
          <w:sz w:val="24"/>
          <w:szCs w:val="24"/>
        </w:rPr>
        <w:t>33</w:t>
      </w:r>
      <w:r w:rsidRPr="000E4FE6">
        <w:rPr>
          <w:rFonts w:ascii="Times New Roman" w:hAnsi="Times New Roman" w:cs="Times New Roman"/>
          <w:sz w:val="24"/>
          <w:szCs w:val="24"/>
        </w:rPr>
        <w:t>(8), 1086–1100. https://doi.org/10.1080/07420528.2016.1192188</w:t>
      </w:r>
    </w:p>
    <w:p w14:paraId="00000CA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Boschi</w:t>
      </w:r>
      <w:proofErr w:type="spellEnd"/>
      <w:r w:rsidRPr="000E4FE6">
        <w:rPr>
          <w:rFonts w:ascii="Times New Roman" w:hAnsi="Times New Roman" w:cs="Times New Roman"/>
          <w:sz w:val="24"/>
          <w:szCs w:val="24"/>
        </w:rPr>
        <w:t xml:space="preserve">, V., </w:t>
      </w:r>
      <w:proofErr w:type="spellStart"/>
      <w:r w:rsidRPr="000E4FE6">
        <w:rPr>
          <w:rFonts w:ascii="Times New Roman" w:hAnsi="Times New Roman" w:cs="Times New Roman"/>
          <w:sz w:val="24"/>
          <w:szCs w:val="24"/>
        </w:rPr>
        <w:t>Iorio</w:t>
      </w:r>
      <w:proofErr w:type="spellEnd"/>
      <w:r w:rsidRPr="000E4FE6">
        <w:rPr>
          <w:rFonts w:ascii="Times New Roman" w:hAnsi="Times New Roman" w:cs="Times New Roman"/>
          <w:sz w:val="24"/>
          <w:szCs w:val="24"/>
        </w:rPr>
        <w:t xml:space="preserve">, D., </w:t>
      </w:r>
      <w:proofErr w:type="spellStart"/>
      <w:r w:rsidRPr="000E4FE6">
        <w:rPr>
          <w:rFonts w:ascii="Times New Roman" w:hAnsi="Times New Roman" w:cs="Times New Roman"/>
          <w:sz w:val="24"/>
          <w:szCs w:val="24"/>
        </w:rPr>
        <w:t>Margiotta</w:t>
      </w:r>
      <w:proofErr w:type="spellEnd"/>
      <w:r w:rsidRPr="000E4FE6">
        <w:rPr>
          <w:rFonts w:ascii="Times New Roman" w:hAnsi="Times New Roman" w:cs="Times New Roman"/>
          <w:sz w:val="24"/>
          <w:szCs w:val="24"/>
        </w:rPr>
        <w:t xml:space="preserve">, N., </w:t>
      </w:r>
      <w:proofErr w:type="spellStart"/>
      <w:r w:rsidRPr="000E4FE6">
        <w:rPr>
          <w:rFonts w:ascii="Times New Roman" w:hAnsi="Times New Roman" w:cs="Times New Roman"/>
          <w:sz w:val="24"/>
          <w:szCs w:val="24"/>
        </w:rPr>
        <w:t>D’Orsi</w:t>
      </w:r>
      <w:proofErr w:type="spellEnd"/>
      <w:r w:rsidRPr="000E4FE6">
        <w:rPr>
          <w:rFonts w:ascii="Times New Roman" w:hAnsi="Times New Roman" w:cs="Times New Roman"/>
          <w:sz w:val="24"/>
          <w:szCs w:val="24"/>
        </w:rPr>
        <w:t xml:space="preserve">, P., and </w:t>
      </w:r>
      <w:proofErr w:type="spellStart"/>
      <w:r w:rsidRPr="000E4FE6">
        <w:rPr>
          <w:rFonts w:ascii="Times New Roman" w:hAnsi="Times New Roman" w:cs="Times New Roman"/>
          <w:sz w:val="24"/>
          <w:szCs w:val="24"/>
        </w:rPr>
        <w:t>Falconi</w:t>
      </w:r>
      <w:proofErr w:type="spellEnd"/>
      <w:r w:rsidRPr="000E4FE6">
        <w:rPr>
          <w:rFonts w:ascii="Times New Roman" w:hAnsi="Times New Roman" w:cs="Times New Roman"/>
          <w:sz w:val="24"/>
          <w:szCs w:val="24"/>
        </w:rPr>
        <w:t xml:space="preserve">, C. (2001). The three-factor eating questionnaire in the evaluation of eating behaviour in subjects seeking participation in a </w:t>
      </w:r>
      <w:proofErr w:type="spellStart"/>
      <w:r w:rsidRPr="000E4FE6">
        <w:rPr>
          <w:rFonts w:ascii="Times New Roman" w:hAnsi="Times New Roman" w:cs="Times New Roman"/>
          <w:sz w:val="24"/>
          <w:szCs w:val="24"/>
        </w:rPr>
        <w:t>dietotherapy</w:t>
      </w:r>
      <w:proofErr w:type="spellEnd"/>
      <w:r w:rsidRPr="000E4FE6">
        <w:rPr>
          <w:rFonts w:ascii="Times New Roman" w:hAnsi="Times New Roman" w:cs="Times New Roman"/>
          <w:sz w:val="24"/>
          <w:szCs w:val="24"/>
        </w:rPr>
        <w:t xml:space="preserve"> programme. </w:t>
      </w:r>
      <w:r w:rsidRPr="000E4FE6">
        <w:rPr>
          <w:rFonts w:ascii="Times New Roman" w:hAnsi="Times New Roman" w:cs="Times New Roman"/>
          <w:i/>
          <w:sz w:val="24"/>
          <w:szCs w:val="24"/>
        </w:rPr>
        <w:t>Annals of Nutrition &amp; Metabolism</w:t>
      </w:r>
      <w:r w:rsidRPr="000E4FE6">
        <w:rPr>
          <w:rFonts w:ascii="Times New Roman" w:hAnsi="Times New Roman" w:cs="Times New Roman"/>
          <w:sz w:val="24"/>
          <w:szCs w:val="24"/>
        </w:rPr>
        <w:t>, </w:t>
      </w:r>
      <w:r w:rsidRPr="000E4FE6">
        <w:rPr>
          <w:rFonts w:ascii="Times New Roman" w:hAnsi="Times New Roman" w:cs="Times New Roman"/>
          <w:i/>
          <w:sz w:val="24"/>
          <w:szCs w:val="24"/>
        </w:rPr>
        <w:t>45</w:t>
      </w:r>
      <w:r w:rsidRPr="000E4FE6">
        <w:rPr>
          <w:rFonts w:ascii="Times New Roman" w:hAnsi="Times New Roman" w:cs="Times New Roman"/>
          <w:sz w:val="24"/>
          <w:szCs w:val="24"/>
        </w:rPr>
        <w:t>(2), 72–77. https://doi.org/10.1159/000046709</w:t>
      </w:r>
    </w:p>
    <w:p w14:paraId="00000CA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Boswell, N., Byrne, R., and Davies, P. S. W. (2018).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traits associated with demographic variables and implications for obesity outcomes in early childhood.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120</w:t>
      </w:r>
      <w:r w:rsidRPr="000E4FE6">
        <w:rPr>
          <w:rFonts w:ascii="Times New Roman" w:hAnsi="Times New Roman" w:cs="Times New Roman"/>
          <w:sz w:val="24"/>
          <w:szCs w:val="24"/>
        </w:rPr>
        <w:t>, 482–490. https://doi.org/10.1016/j.appet.2017.10.012</w:t>
      </w:r>
    </w:p>
    <w:p w14:paraId="00000CA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Boswell, R. G., and </w:t>
      </w:r>
      <w:proofErr w:type="spellStart"/>
      <w:r w:rsidRPr="000E4FE6">
        <w:rPr>
          <w:rFonts w:ascii="Times New Roman" w:hAnsi="Times New Roman" w:cs="Times New Roman"/>
          <w:sz w:val="24"/>
          <w:szCs w:val="24"/>
        </w:rPr>
        <w:t>Kober</w:t>
      </w:r>
      <w:proofErr w:type="spellEnd"/>
      <w:r w:rsidRPr="000E4FE6">
        <w:rPr>
          <w:rFonts w:ascii="Times New Roman" w:hAnsi="Times New Roman" w:cs="Times New Roman"/>
          <w:sz w:val="24"/>
          <w:szCs w:val="24"/>
        </w:rPr>
        <w:t>, H. (2016). Food cue reactivity and craving predict eating and weight gain: a meta-analytic review.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17</w:t>
      </w:r>
      <w:r w:rsidRPr="000E4FE6">
        <w:rPr>
          <w:rFonts w:ascii="Times New Roman" w:hAnsi="Times New Roman" w:cs="Times New Roman"/>
          <w:sz w:val="24"/>
          <w:szCs w:val="24"/>
        </w:rPr>
        <w:t>(2), 159–177. https://doi.org/10.1111/obr.12354</w:t>
      </w:r>
    </w:p>
    <w:p w14:paraId="00000CA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Bouchard, C., Tremblay, A., </w:t>
      </w:r>
      <w:proofErr w:type="spellStart"/>
      <w:r w:rsidRPr="000E4FE6">
        <w:rPr>
          <w:rFonts w:ascii="Times New Roman" w:hAnsi="Times New Roman" w:cs="Times New Roman"/>
          <w:sz w:val="24"/>
          <w:szCs w:val="24"/>
        </w:rPr>
        <w:t>Després</w:t>
      </w:r>
      <w:proofErr w:type="spellEnd"/>
      <w:r w:rsidRPr="000E4FE6">
        <w:rPr>
          <w:rFonts w:ascii="Times New Roman" w:hAnsi="Times New Roman" w:cs="Times New Roman"/>
          <w:sz w:val="24"/>
          <w:szCs w:val="24"/>
        </w:rPr>
        <w:t xml:space="preserve">, J. P., Nadeau, A., </w:t>
      </w:r>
      <w:proofErr w:type="spellStart"/>
      <w:r w:rsidRPr="000E4FE6">
        <w:rPr>
          <w:rFonts w:ascii="Times New Roman" w:hAnsi="Times New Roman" w:cs="Times New Roman"/>
          <w:sz w:val="24"/>
          <w:szCs w:val="24"/>
        </w:rPr>
        <w:t>Lupien</w:t>
      </w:r>
      <w:proofErr w:type="spellEnd"/>
      <w:r w:rsidRPr="000E4FE6">
        <w:rPr>
          <w:rFonts w:ascii="Times New Roman" w:hAnsi="Times New Roman" w:cs="Times New Roman"/>
          <w:sz w:val="24"/>
          <w:szCs w:val="24"/>
        </w:rPr>
        <w:t xml:space="preserve">, P. J., </w:t>
      </w:r>
      <w:proofErr w:type="spellStart"/>
      <w:r w:rsidRPr="000E4FE6">
        <w:rPr>
          <w:rFonts w:ascii="Times New Roman" w:hAnsi="Times New Roman" w:cs="Times New Roman"/>
          <w:sz w:val="24"/>
          <w:szCs w:val="24"/>
        </w:rPr>
        <w:t>Thériault</w:t>
      </w:r>
      <w:proofErr w:type="spellEnd"/>
      <w:r w:rsidRPr="000E4FE6">
        <w:rPr>
          <w:rFonts w:ascii="Times New Roman" w:hAnsi="Times New Roman" w:cs="Times New Roman"/>
          <w:sz w:val="24"/>
          <w:szCs w:val="24"/>
        </w:rPr>
        <w:t>, G., … Fournier, G. (1990). The response to long-term overfeeding in identical twins. </w:t>
      </w:r>
      <w:r w:rsidRPr="000E4FE6">
        <w:rPr>
          <w:rFonts w:ascii="Times New Roman" w:hAnsi="Times New Roman" w:cs="Times New Roman"/>
          <w:i/>
          <w:sz w:val="24"/>
          <w:szCs w:val="24"/>
        </w:rPr>
        <w:t>The New England Journal of Medicine</w:t>
      </w:r>
      <w:r w:rsidRPr="000E4FE6">
        <w:rPr>
          <w:rFonts w:ascii="Times New Roman" w:hAnsi="Times New Roman" w:cs="Times New Roman"/>
          <w:sz w:val="24"/>
          <w:szCs w:val="24"/>
        </w:rPr>
        <w:t>, </w:t>
      </w:r>
      <w:r w:rsidRPr="000E4FE6">
        <w:rPr>
          <w:rFonts w:ascii="Times New Roman" w:hAnsi="Times New Roman" w:cs="Times New Roman"/>
          <w:i/>
          <w:sz w:val="24"/>
          <w:szCs w:val="24"/>
        </w:rPr>
        <w:t>322</w:t>
      </w:r>
      <w:r w:rsidRPr="000E4FE6">
        <w:rPr>
          <w:rFonts w:ascii="Times New Roman" w:hAnsi="Times New Roman" w:cs="Times New Roman"/>
          <w:sz w:val="24"/>
          <w:szCs w:val="24"/>
        </w:rPr>
        <w:t>(21), 1477–1482. https://doi.org/10.1056/NEJM199005243222101</w:t>
      </w:r>
    </w:p>
    <w:p w14:paraId="00000CA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Bouten</w:t>
      </w:r>
      <w:proofErr w:type="spellEnd"/>
      <w:r w:rsidRPr="000E4FE6">
        <w:rPr>
          <w:rFonts w:ascii="Times New Roman" w:hAnsi="Times New Roman" w:cs="Times New Roman"/>
          <w:sz w:val="24"/>
          <w:szCs w:val="24"/>
        </w:rPr>
        <w:t xml:space="preserve">, C. V., </w:t>
      </w:r>
      <w:proofErr w:type="spellStart"/>
      <w:r w:rsidRPr="000E4FE6">
        <w:rPr>
          <w:rFonts w:ascii="Times New Roman" w:hAnsi="Times New Roman" w:cs="Times New Roman"/>
          <w:sz w:val="24"/>
          <w:szCs w:val="24"/>
        </w:rPr>
        <w:t>Westerterp</w:t>
      </w:r>
      <w:proofErr w:type="spellEnd"/>
      <w:r w:rsidRPr="000E4FE6">
        <w:rPr>
          <w:rFonts w:ascii="Times New Roman" w:hAnsi="Times New Roman" w:cs="Times New Roman"/>
          <w:sz w:val="24"/>
          <w:szCs w:val="24"/>
        </w:rPr>
        <w:t xml:space="preserve">, K. R., </w:t>
      </w:r>
      <w:proofErr w:type="spellStart"/>
      <w:r w:rsidRPr="000E4FE6">
        <w:rPr>
          <w:rFonts w:ascii="Times New Roman" w:hAnsi="Times New Roman" w:cs="Times New Roman"/>
          <w:sz w:val="24"/>
          <w:szCs w:val="24"/>
        </w:rPr>
        <w:t>Verduin</w:t>
      </w:r>
      <w:proofErr w:type="spellEnd"/>
      <w:r w:rsidRPr="000E4FE6">
        <w:rPr>
          <w:rFonts w:ascii="Times New Roman" w:hAnsi="Times New Roman" w:cs="Times New Roman"/>
          <w:sz w:val="24"/>
          <w:szCs w:val="24"/>
        </w:rPr>
        <w:t>, M., and Janssen, J. D. (1994). Assessment of energy expenditure for physical activity using a triaxial accelerometer. </w:t>
      </w:r>
      <w:r w:rsidRPr="000E4FE6">
        <w:rPr>
          <w:rFonts w:ascii="Times New Roman" w:hAnsi="Times New Roman" w:cs="Times New Roman"/>
          <w:i/>
          <w:sz w:val="24"/>
          <w:szCs w:val="24"/>
        </w:rPr>
        <w:t>Medicine and Science in Sports and Exercise</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(12), 1516–1523. https://doi.org/10.1249/00005768-199412000-00016</w:t>
      </w:r>
    </w:p>
    <w:p w14:paraId="00000CA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Boutron</w:t>
      </w:r>
      <w:proofErr w:type="spellEnd"/>
      <w:r w:rsidRPr="000E4FE6">
        <w:rPr>
          <w:rFonts w:ascii="Times New Roman" w:hAnsi="Times New Roman" w:cs="Times New Roman"/>
          <w:sz w:val="24"/>
          <w:szCs w:val="24"/>
        </w:rPr>
        <w:t xml:space="preserve">, I., </w:t>
      </w:r>
      <w:proofErr w:type="spellStart"/>
      <w:r w:rsidRPr="000E4FE6">
        <w:rPr>
          <w:rFonts w:ascii="Times New Roman" w:hAnsi="Times New Roman" w:cs="Times New Roman"/>
          <w:sz w:val="24"/>
          <w:szCs w:val="24"/>
        </w:rPr>
        <w:t>Guittet</w:t>
      </w:r>
      <w:proofErr w:type="spellEnd"/>
      <w:r w:rsidRPr="000E4FE6">
        <w:rPr>
          <w:rFonts w:ascii="Times New Roman" w:hAnsi="Times New Roman" w:cs="Times New Roman"/>
          <w:sz w:val="24"/>
          <w:szCs w:val="24"/>
        </w:rPr>
        <w:t xml:space="preserve">, L., </w:t>
      </w:r>
      <w:proofErr w:type="spellStart"/>
      <w:r w:rsidRPr="000E4FE6">
        <w:rPr>
          <w:rFonts w:ascii="Times New Roman" w:hAnsi="Times New Roman" w:cs="Times New Roman"/>
          <w:sz w:val="24"/>
          <w:szCs w:val="24"/>
        </w:rPr>
        <w:t>Estellat</w:t>
      </w:r>
      <w:proofErr w:type="spellEnd"/>
      <w:r w:rsidRPr="000E4FE6">
        <w:rPr>
          <w:rFonts w:ascii="Times New Roman" w:hAnsi="Times New Roman" w:cs="Times New Roman"/>
          <w:sz w:val="24"/>
          <w:szCs w:val="24"/>
        </w:rPr>
        <w:t xml:space="preserve">, C., Moher, D., </w:t>
      </w:r>
      <w:proofErr w:type="spellStart"/>
      <w:r w:rsidRPr="000E4FE6">
        <w:rPr>
          <w:rFonts w:ascii="Times New Roman" w:hAnsi="Times New Roman" w:cs="Times New Roman"/>
          <w:sz w:val="24"/>
          <w:szCs w:val="24"/>
        </w:rPr>
        <w:t>Hróbjartsson</w:t>
      </w:r>
      <w:proofErr w:type="spellEnd"/>
      <w:r w:rsidRPr="000E4FE6">
        <w:rPr>
          <w:rFonts w:ascii="Times New Roman" w:hAnsi="Times New Roman" w:cs="Times New Roman"/>
          <w:sz w:val="24"/>
          <w:szCs w:val="24"/>
        </w:rPr>
        <w:t xml:space="preserve">, A., and </w:t>
      </w:r>
      <w:proofErr w:type="spellStart"/>
      <w:r w:rsidRPr="000E4FE6">
        <w:rPr>
          <w:rFonts w:ascii="Times New Roman" w:hAnsi="Times New Roman" w:cs="Times New Roman"/>
          <w:sz w:val="24"/>
          <w:szCs w:val="24"/>
        </w:rPr>
        <w:t>Ravaud</w:t>
      </w:r>
      <w:proofErr w:type="spellEnd"/>
      <w:r w:rsidRPr="000E4FE6">
        <w:rPr>
          <w:rFonts w:ascii="Times New Roman" w:hAnsi="Times New Roman" w:cs="Times New Roman"/>
          <w:sz w:val="24"/>
          <w:szCs w:val="24"/>
        </w:rPr>
        <w:t>, P. (2007). Reporting methods of blinding in randomized trials assessing nonpharmacological treatments. </w:t>
      </w:r>
      <w:proofErr w:type="spellStart"/>
      <w:r w:rsidRPr="000E4FE6">
        <w:rPr>
          <w:rFonts w:ascii="Times New Roman" w:hAnsi="Times New Roman" w:cs="Times New Roman"/>
          <w:i/>
          <w:sz w:val="24"/>
          <w:szCs w:val="24"/>
        </w:rPr>
        <w:t>PLoS</w:t>
      </w:r>
      <w:proofErr w:type="spellEnd"/>
      <w:r w:rsidRPr="000E4FE6">
        <w:rPr>
          <w:rFonts w:ascii="Times New Roman" w:hAnsi="Times New Roman" w:cs="Times New Roman"/>
          <w:i/>
          <w:sz w:val="24"/>
          <w:szCs w:val="24"/>
        </w:rPr>
        <w:t xml:space="preser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(2), e61. https://doi.org/10.1371/journal.pmed.0040061</w:t>
      </w:r>
    </w:p>
    <w:p w14:paraId="00000CA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Braden, A., Rhee, K., Peterson, C. B., Rydell, S. A., Zucker, N., and </w:t>
      </w:r>
      <w:proofErr w:type="spellStart"/>
      <w:r w:rsidRPr="000E4FE6">
        <w:rPr>
          <w:rFonts w:ascii="Times New Roman" w:hAnsi="Times New Roman" w:cs="Times New Roman"/>
          <w:sz w:val="24"/>
          <w:szCs w:val="24"/>
        </w:rPr>
        <w:t>Boutelle</w:t>
      </w:r>
      <w:proofErr w:type="spellEnd"/>
      <w:r w:rsidRPr="000E4FE6">
        <w:rPr>
          <w:rFonts w:ascii="Times New Roman" w:hAnsi="Times New Roman" w:cs="Times New Roman"/>
          <w:sz w:val="24"/>
          <w:szCs w:val="24"/>
        </w:rPr>
        <w:t>, K. (2014). Associations between child emotional eating and general parenting style, feeding practices, and parent psychopathology.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80</w:t>
      </w:r>
      <w:r w:rsidRPr="000E4FE6">
        <w:rPr>
          <w:rFonts w:ascii="Times New Roman" w:hAnsi="Times New Roman" w:cs="Times New Roman"/>
          <w:sz w:val="24"/>
          <w:szCs w:val="24"/>
        </w:rPr>
        <w:t>, 35–40. https://doi.org/10.1016/j.appet.2014.04.017</w:t>
      </w:r>
    </w:p>
    <w:p w14:paraId="00000CA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Braun, V., and Clarke, V. (2006). Using thematic analysis in psychology. </w:t>
      </w:r>
      <w:r w:rsidRPr="000E4FE6">
        <w:rPr>
          <w:rFonts w:ascii="Times New Roman" w:hAnsi="Times New Roman" w:cs="Times New Roman"/>
          <w:i/>
          <w:sz w:val="24"/>
          <w:szCs w:val="24"/>
        </w:rPr>
        <w:t>Qualitative Research in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(2), 77–101. https://doi.org/10.1191/1478088706qp063oa</w:t>
      </w:r>
    </w:p>
    <w:p w14:paraId="00000CA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Bray, G. A., </w:t>
      </w:r>
      <w:proofErr w:type="spellStart"/>
      <w:r w:rsidRPr="000E4FE6">
        <w:rPr>
          <w:rFonts w:ascii="Times New Roman" w:hAnsi="Times New Roman" w:cs="Times New Roman"/>
          <w:sz w:val="24"/>
          <w:szCs w:val="24"/>
        </w:rPr>
        <w:t>Frühbeck</w:t>
      </w:r>
      <w:proofErr w:type="spellEnd"/>
      <w:r w:rsidRPr="000E4FE6">
        <w:rPr>
          <w:rFonts w:ascii="Times New Roman" w:hAnsi="Times New Roman" w:cs="Times New Roman"/>
          <w:sz w:val="24"/>
          <w:szCs w:val="24"/>
        </w:rPr>
        <w:t>, G., Ryan, D. H., and Wilding, J. P. H. (2016). Management of obesity. </w:t>
      </w:r>
      <w:r w:rsidRPr="000E4FE6">
        <w:rPr>
          <w:rFonts w:ascii="Times New Roman" w:hAnsi="Times New Roman" w:cs="Times New Roman"/>
          <w:i/>
          <w:sz w:val="24"/>
          <w:szCs w:val="24"/>
        </w:rPr>
        <w:t>The Lancet</w:t>
      </w:r>
      <w:r w:rsidRPr="000E4FE6">
        <w:rPr>
          <w:rFonts w:ascii="Times New Roman" w:hAnsi="Times New Roman" w:cs="Times New Roman"/>
          <w:sz w:val="24"/>
          <w:szCs w:val="24"/>
        </w:rPr>
        <w:t>, </w:t>
      </w:r>
      <w:r w:rsidRPr="000E4FE6">
        <w:rPr>
          <w:rFonts w:ascii="Times New Roman" w:hAnsi="Times New Roman" w:cs="Times New Roman"/>
          <w:i/>
          <w:sz w:val="24"/>
          <w:szCs w:val="24"/>
        </w:rPr>
        <w:t>387</w:t>
      </w:r>
      <w:r w:rsidRPr="000E4FE6">
        <w:rPr>
          <w:rFonts w:ascii="Times New Roman" w:hAnsi="Times New Roman" w:cs="Times New Roman"/>
          <w:sz w:val="24"/>
          <w:szCs w:val="24"/>
        </w:rPr>
        <w:t>(10031), 1947–1956. https://doi.org/10.1016/S0140-6736(16)00271-3</w:t>
      </w:r>
    </w:p>
    <w:p w14:paraId="00000CB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Brehm, B. J., and </w:t>
      </w:r>
      <w:proofErr w:type="spellStart"/>
      <w:r w:rsidRPr="000E4FE6">
        <w:rPr>
          <w:rFonts w:ascii="Times New Roman" w:hAnsi="Times New Roman" w:cs="Times New Roman"/>
          <w:sz w:val="24"/>
          <w:szCs w:val="24"/>
        </w:rPr>
        <w:t>D’Alessio</w:t>
      </w:r>
      <w:proofErr w:type="spellEnd"/>
      <w:r w:rsidRPr="000E4FE6">
        <w:rPr>
          <w:rFonts w:ascii="Times New Roman" w:hAnsi="Times New Roman" w:cs="Times New Roman"/>
          <w:sz w:val="24"/>
          <w:szCs w:val="24"/>
        </w:rPr>
        <w:t xml:space="preserve">, D. A. (2000). Environmental factors influencing obesity. In K. R. Feingold, B. </w:t>
      </w:r>
      <w:proofErr w:type="spellStart"/>
      <w:r w:rsidRPr="000E4FE6">
        <w:rPr>
          <w:rFonts w:ascii="Times New Roman" w:hAnsi="Times New Roman" w:cs="Times New Roman"/>
          <w:sz w:val="24"/>
          <w:szCs w:val="24"/>
        </w:rPr>
        <w:t>Anawalt</w:t>
      </w:r>
      <w:proofErr w:type="spellEnd"/>
      <w:r w:rsidRPr="000E4FE6">
        <w:rPr>
          <w:rFonts w:ascii="Times New Roman" w:hAnsi="Times New Roman" w:cs="Times New Roman"/>
          <w:sz w:val="24"/>
          <w:szCs w:val="24"/>
        </w:rPr>
        <w:t xml:space="preserve">, A. Boyce, G. </w:t>
      </w:r>
      <w:proofErr w:type="spellStart"/>
      <w:r w:rsidRPr="000E4FE6">
        <w:rPr>
          <w:rFonts w:ascii="Times New Roman" w:hAnsi="Times New Roman" w:cs="Times New Roman"/>
          <w:sz w:val="24"/>
          <w:szCs w:val="24"/>
        </w:rPr>
        <w:t>Chrousos</w:t>
      </w:r>
      <w:proofErr w:type="spellEnd"/>
      <w:r w:rsidRPr="000E4FE6">
        <w:rPr>
          <w:rFonts w:ascii="Times New Roman" w:hAnsi="Times New Roman" w:cs="Times New Roman"/>
          <w:sz w:val="24"/>
          <w:szCs w:val="24"/>
        </w:rPr>
        <w:t>, K. Dungan, A. Grossman, … D. P. Wilson (Eds.), </w:t>
      </w:r>
      <w:proofErr w:type="spellStart"/>
      <w:r w:rsidRPr="000E4FE6">
        <w:rPr>
          <w:rFonts w:ascii="Times New Roman" w:hAnsi="Times New Roman" w:cs="Times New Roman"/>
          <w:i/>
          <w:sz w:val="24"/>
          <w:szCs w:val="24"/>
        </w:rPr>
        <w:t>Endotext</w:t>
      </w:r>
      <w:proofErr w:type="spellEnd"/>
      <w:r w:rsidRPr="000E4FE6">
        <w:rPr>
          <w:rFonts w:ascii="Times New Roman" w:hAnsi="Times New Roman" w:cs="Times New Roman"/>
          <w:sz w:val="24"/>
          <w:szCs w:val="24"/>
        </w:rPr>
        <w:t>. South Dartmouth (MA): MDText.com, Inc.</w:t>
      </w:r>
    </w:p>
    <w:p w14:paraId="00000CB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Brennan, M. A., Derbyshire, E., Tiwari, B. K., and Brennan, C. S. (2013). Ready‐to‐eat snack products: the role of extrusion technology in developing consumer acceptable and nutritious snacks. </w:t>
      </w:r>
      <w:r w:rsidRPr="000E4FE6">
        <w:rPr>
          <w:rFonts w:ascii="Times New Roman" w:hAnsi="Times New Roman" w:cs="Times New Roman"/>
          <w:i/>
          <w:sz w:val="24"/>
          <w:szCs w:val="24"/>
        </w:rPr>
        <w:t>International Journal of Food Science &amp; Technology</w:t>
      </w:r>
      <w:r w:rsidRPr="000E4FE6">
        <w:rPr>
          <w:rFonts w:ascii="Times New Roman" w:hAnsi="Times New Roman" w:cs="Times New Roman"/>
          <w:sz w:val="24"/>
          <w:szCs w:val="24"/>
        </w:rPr>
        <w:t>, </w:t>
      </w:r>
      <w:r w:rsidRPr="000E4FE6">
        <w:rPr>
          <w:rFonts w:ascii="Times New Roman" w:hAnsi="Times New Roman" w:cs="Times New Roman"/>
          <w:i/>
          <w:sz w:val="24"/>
          <w:szCs w:val="24"/>
        </w:rPr>
        <w:t>48</w:t>
      </w:r>
      <w:r w:rsidRPr="000E4FE6">
        <w:rPr>
          <w:rFonts w:ascii="Times New Roman" w:hAnsi="Times New Roman" w:cs="Times New Roman"/>
          <w:sz w:val="24"/>
          <w:szCs w:val="24"/>
        </w:rPr>
        <w:t>(5), 893–902. https://doi.org/10.1111/ijfs.12055</w:t>
      </w:r>
    </w:p>
    <w:p w14:paraId="00000CB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Broussard, J. L., and Van </w:t>
      </w:r>
      <w:proofErr w:type="spellStart"/>
      <w:r w:rsidRPr="000E4FE6">
        <w:rPr>
          <w:rFonts w:ascii="Times New Roman" w:hAnsi="Times New Roman" w:cs="Times New Roman"/>
          <w:sz w:val="24"/>
          <w:szCs w:val="24"/>
        </w:rPr>
        <w:t>Cauter</w:t>
      </w:r>
      <w:proofErr w:type="spellEnd"/>
      <w:r w:rsidRPr="000E4FE6">
        <w:rPr>
          <w:rFonts w:ascii="Times New Roman" w:hAnsi="Times New Roman" w:cs="Times New Roman"/>
          <w:sz w:val="24"/>
          <w:szCs w:val="24"/>
        </w:rPr>
        <w:t>, E. (2016). Disturbances of sleep and circadian rhythms: novel risk factors for obesity. </w:t>
      </w:r>
      <w:r w:rsidRPr="000E4FE6">
        <w:rPr>
          <w:rFonts w:ascii="Times New Roman" w:hAnsi="Times New Roman" w:cs="Times New Roman"/>
          <w:i/>
          <w:sz w:val="24"/>
          <w:szCs w:val="24"/>
        </w:rPr>
        <w:t>Current Opinion in Endocrinology, Diabetes, and Obesity</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(5), 353–359. https://doi.org/10.1097/MED.0000000000000276</w:t>
      </w:r>
    </w:p>
    <w:p w14:paraId="00000CB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Brown, J. E., Mosley, M., and </w:t>
      </w:r>
      <w:proofErr w:type="spellStart"/>
      <w:r w:rsidRPr="000E4FE6">
        <w:rPr>
          <w:rFonts w:ascii="Times New Roman" w:hAnsi="Times New Roman" w:cs="Times New Roman"/>
          <w:sz w:val="24"/>
          <w:szCs w:val="24"/>
        </w:rPr>
        <w:t>Aldred</w:t>
      </w:r>
      <w:proofErr w:type="spellEnd"/>
      <w:r w:rsidRPr="000E4FE6">
        <w:rPr>
          <w:rFonts w:ascii="Times New Roman" w:hAnsi="Times New Roman" w:cs="Times New Roman"/>
          <w:sz w:val="24"/>
          <w:szCs w:val="24"/>
        </w:rPr>
        <w:t>, S. (2013). Intermittent fasting: a dietary intervention for prevention of diabetes and cardiovascular disease? </w:t>
      </w:r>
      <w:r w:rsidRPr="000E4FE6">
        <w:rPr>
          <w:rFonts w:ascii="Times New Roman" w:hAnsi="Times New Roman" w:cs="Times New Roman"/>
          <w:i/>
          <w:sz w:val="24"/>
          <w:szCs w:val="24"/>
        </w:rPr>
        <w:t>The British Journal of Diabetes &amp; Vascular Disease</w:t>
      </w:r>
      <w:r w:rsidRPr="000E4FE6">
        <w:rPr>
          <w:rFonts w:ascii="Times New Roman" w:hAnsi="Times New Roman" w:cs="Times New Roman"/>
          <w:sz w:val="24"/>
          <w:szCs w:val="24"/>
        </w:rPr>
        <w:t>, </w:t>
      </w:r>
      <w:r w:rsidRPr="000E4FE6">
        <w:rPr>
          <w:rFonts w:ascii="Times New Roman" w:hAnsi="Times New Roman" w:cs="Times New Roman"/>
          <w:i/>
          <w:sz w:val="24"/>
          <w:szCs w:val="24"/>
        </w:rPr>
        <w:t>13</w:t>
      </w:r>
      <w:r w:rsidRPr="000E4FE6">
        <w:rPr>
          <w:rFonts w:ascii="Times New Roman" w:hAnsi="Times New Roman" w:cs="Times New Roman"/>
          <w:sz w:val="24"/>
          <w:szCs w:val="24"/>
        </w:rPr>
        <w:t>(2), 68–72. https://doi.org/10.1177/1474651413486496</w:t>
      </w:r>
    </w:p>
    <w:p w14:paraId="00000CB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Browne, R. H. (1995). On the use of a pilot sample for sample size determination. </w:t>
      </w:r>
      <w:r w:rsidRPr="000E4FE6">
        <w:rPr>
          <w:rFonts w:ascii="Times New Roman" w:hAnsi="Times New Roman" w:cs="Times New Roman"/>
          <w:i/>
          <w:sz w:val="24"/>
          <w:szCs w:val="24"/>
        </w:rPr>
        <w:t>Statistics in Medicine</w:t>
      </w:r>
      <w:r w:rsidRPr="000E4FE6">
        <w:rPr>
          <w:rFonts w:ascii="Times New Roman" w:hAnsi="Times New Roman" w:cs="Times New Roman"/>
          <w:sz w:val="24"/>
          <w:szCs w:val="24"/>
        </w:rPr>
        <w:t>, </w:t>
      </w:r>
      <w:r w:rsidRPr="000E4FE6">
        <w:rPr>
          <w:rFonts w:ascii="Times New Roman" w:hAnsi="Times New Roman" w:cs="Times New Roman"/>
          <w:i/>
          <w:sz w:val="24"/>
          <w:szCs w:val="24"/>
        </w:rPr>
        <w:t>14</w:t>
      </w:r>
      <w:r w:rsidRPr="000E4FE6">
        <w:rPr>
          <w:rFonts w:ascii="Times New Roman" w:hAnsi="Times New Roman" w:cs="Times New Roman"/>
          <w:sz w:val="24"/>
          <w:szCs w:val="24"/>
        </w:rPr>
        <w:t>(17), 1933–1940. https://doi.org/10.1002/sim.4780141709</w:t>
      </w:r>
    </w:p>
    <w:p w14:paraId="00000CB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Brownell, K. D. (2000). LEARN program for weight management 2000. </w:t>
      </w:r>
      <w:r w:rsidRPr="000E4FE6">
        <w:rPr>
          <w:rFonts w:ascii="Times New Roman" w:hAnsi="Times New Roman" w:cs="Times New Roman"/>
          <w:i/>
          <w:sz w:val="24"/>
          <w:szCs w:val="24"/>
        </w:rPr>
        <w:t>LEARN Program for Weight Management 2000</w:t>
      </w:r>
      <w:r w:rsidRPr="000E4FE6">
        <w:rPr>
          <w:rFonts w:ascii="Times New Roman" w:hAnsi="Times New Roman" w:cs="Times New Roman"/>
          <w:sz w:val="24"/>
          <w:szCs w:val="24"/>
        </w:rPr>
        <w:t>.</w:t>
      </w:r>
    </w:p>
    <w:p w14:paraId="00000CB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Brownson, R. C., Boehmer, T. K., and Luke, D. A. (2005). Declining rates of physical activity in the United States: what are the contributors? </w:t>
      </w:r>
      <w:r w:rsidRPr="000E4FE6">
        <w:rPr>
          <w:rFonts w:ascii="Times New Roman" w:hAnsi="Times New Roman" w:cs="Times New Roman"/>
          <w:i/>
          <w:sz w:val="24"/>
          <w:szCs w:val="24"/>
        </w:rPr>
        <w:t>Annual Review of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 421–443. https://doi.org/10.1146/annurev.publhealth.26.021304.144437</w:t>
      </w:r>
    </w:p>
    <w:p w14:paraId="00000CB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Bruch, H. (1955). Role of the emotions in hunger and appetite. </w:t>
      </w:r>
      <w:r w:rsidRPr="000E4FE6">
        <w:rPr>
          <w:rFonts w:ascii="Times New Roman" w:hAnsi="Times New Roman" w:cs="Times New Roman"/>
          <w:i/>
          <w:sz w:val="24"/>
          <w:szCs w:val="24"/>
        </w:rPr>
        <w:t>Annals of the New York Academy of Sciences</w:t>
      </w:r>
      <w:r w:rsidRPr="000E4FE6">
        <w:rPr>
          <w:rFonts w:ascii="Times New Roman" w:hAnsi="Times New Roman" w:cs="Times New Roman"/>
          <w:sz w:val="24"/>
          <w:szCs w:val="24"/>
        </w:rPr>
        <w:t>, </w:t>
      </w:r>
      <w:r w:rsidRPr="000E4FE6">
        <w:rPr>
          <w:rFonts w:ascii="Times New Roman" w:hAnsi="Times New Roman" w:cs="Times New Roman"/>
          <w:i/>
          <w:sz w:val="24"/>
          <w:szCs w:val="24"/>
        </w:rPr>
        <w:t>63</w:t>
      </w:r>
      <w:r w:rsidRPr="000E4FE6">
        <w:rPr>
          <w:rFonts w:ascii="Times New Roman" w:hAnsi="Times New Roman" w:cs="Times New Roman"/>
          <w:sz w:val="24"/>
          <w:szCs w:val="24"/>
        </w:rPr>
        <w:t>(1), 68–75. https://doi.org/10.1111/j.1749-6632.1955.tb36546.x</w:t>
      </w:r>
    </w:p>
    <w:p w14:paraId="00000CB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Brunner, E. J., </w:t>
      </w:r>
      <w:proofErr w:type="spellStart"/>
      <w:r w:rsidRPr="000E4FE6">
        <w:rPr>
          <w:rFonts w:ascii="Times New Roman" w:hAnsi="Times New Roman" w:cs="Times New Roman"/>
          <w:sz w:val="24"/>
          <w:szCs w:val="24"/>
        </w:rPr>
        <w:t>Chandola</w:t>
      </w:r>
      <w:proofErr w:type="spellEnd"/>
      <w:r w:rsidRPr="000E4FE6">
        <w:rPr>
          <w:rFonts w:ascii="Times New Roman" w:hAnsi="Times New Roman" w:cs="Times New Roman"/>
          <w:sz w:val="24"/>
          <w:szCs w:val="24"/>
        </w:rPr>
        <w:t>, T., and Marmot, M. G. (2007). Prospective effect of job strain on general and central obesity in the Whitehall II Study. </w:t>
      </w:r>
      <w:r w:rsidRPr="000E4FE6">
        <w:rPr>
          <w:rFonts w:ascii="Times New Roman" w:hAnsi="Times New Roman" w:cs="Times New Roman"/>
          <w:i/>
          <w:sz w:val="24"/>
          <w:szCs w:val="24"/>
        </w:rPr>
        <w:t>American Journal of Epidemiology</w:t>
      </w:r>
      <w:r w:rsidRPr="000E4FE6">
        <w:rPr>
          <w:rFonts w:ascii="Times New Roman" w:hAnsi="Times New Roman" w:cs="Times New Roman"/>
          <w:sz w:val="24"/>
          <w:szCs w:val="24"/>
        </w:rPr>
        <w:t>, </w:t>
      </w:r>
      <w:r w:rsidRPr="000E4FE6">
        <w:rPr>
          <w:rFonts w:ascii="Times New Roman" w:hAnsi="Times New Roman" w:cs="Times New Roman"/>
          <w:i/>
          <w:sz w:val="24"/>
          <w:szCs w:val="24"/>
        </w:rPr>
        <w:t>165</w:t>
      </w:r>
      <w:r w:rsidRPr="000E4FE6">
        <w:rPr>
          <w:rFonts w:ascii="Times New Roman" w:hAnsi="Times New Roman" w:cs="Times New Roman"/>
          <w:sz w:val="24"/>
          <w:szCs w:val="24"/>
        </w:rPr>
        <w:t>(7), 828–837. https://doi.org/10.1093/aje/kwk058</w:t>
      </w:r>
    </w:p>
    <w:p w14:paraId="00000CB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J. M., Collingwood, J., and Rogers, P. J. (2010). Perceived volume, expected satiation, and the energy content of self-selected meals.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55</w:t>
      </w:r>
      <w:r w:rsidRPr="000E4FE6">
        <w:rPr>
          <w:rFonts w:ascii="Times New Roman" w:hAnsi="Times New Roman" w:cs="Times New Roman"/>
          <w:sz w:val="24"/>
          <w:szCs w:val="24"/>
        </w:rPr>
        <w:t>(1), 25–29. https://doi.org/10.1016/j.appet.2010.03.005</w:t>
      </w:r>
    </w:p>
    <w:p w14:paraId="00000CB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xml:space="preserve">, J. M., </w:t>
      </w:r>
      <w:proofErr w:type="spellStart"/>
      <w:r w:rsidRPr="000E4FE6">
        <w:rPr>
          <w:rFonts w:ascii="Times New Roman" w:hAnsi="Times New Roman" w:cs="Times New Roman"/>
          <w:sz w:val="24"/>
          <w:szCs w:val="24"/>
        </w:rPr>
        <w:t>Jarvstad</w:t>
      </w:r>
      <w:proofErr w:type="spellEnd"/>
      <w:r w:rsidRPr="000E4FE6">
        <w:rPr>
          <w:rFonts w:ascii="Times New Roman" w:hAnsi="Times New Roman" w:cs="Times New Roman"/>
          <w:sz w:val="24"/>
          <w:szCs w:val="24"/>
        </w:rPr>
        <w:t>, A., Griggs, R. L., Potter, C., Evans, N. R., Martin, A. A., … Rogers, P. J. (2016). Large portions encourage the selection of palatable rather than filling foods. </w:t>
      </w:r>
      <w:r w:rsidRPr="000E4FE6">
        <w:rPr>
          <w:rFonts w:ascii="Times New Roman" w:hAnsi="Times New Roman" w:cs="Times New Roman"/>
          <w:i/>
          <w:sz w:val="24"/>
          <w:szCs w:val="24"/>
        </w:rPr>
        <w:t>The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146</w:t>
      </w:r>
      <w:r w:rsidRPr="000E4FE6">
        <w:rPr>
          <w:rFonts w:ascii="Times New Roman" w:hAnsi="Times New Roman" w:cs="Times New Roman"/>
          <w:sz w:val="24"/>
          <w:szCs w:val="24"/>
        </w:rPr>
        <w:t>(10), 2117–2123. https://doi.org/10.3945/jn.116.235184</w:t>
      </w:r>
    </w:p>
    <w:p w14:paraId="00000CB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J. M., and Rogers, P. J. (2009). How many calories are on our plate? Expected fullness, not liking, determines meal-size selection.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17</w:t>
      </w:r>
      <w:r w:rsidRPr="000E4FE6">
        <w:rPr>
          <w:rFonts w:ascii="Times New Roman" w:hAnsi="Times New Roman" w:cs="Times New Roman"/>
          <w:sz w:val="24"/>
          <w:szCs w:val="24"/>
        </w:rPr>
        <w:t>(10), 1884–1890. https://doi.org/10.1038/oby.2009.201</w:t>
      </w:r>
    </w:p>
    <w:p w14:paraId="00000CB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xml:space="preserve">, J. M., and </w:t>
      </w:r>
      <w:proofErr w:type="spellStart"/>
      <w:r w:rsidRPr="000E4FE6">
        <w:rPr>
          <w:rFonts w:ascii="Times New Roman" w:hAnsi="Times New Roman" w:cs="Times New Roman"/>
          <w:sz w:val="24"/>
          <w:szCs w:val="24"/>
        </w:rPr>
        <w:t>Shakeshaft</w:t>
      </w:r>
      <w:proofErr w:type="spellEnd"/>
      <w:r w:rsidRPr="000E4FE6">
        <w:rPr>
          <w:rFonts w:ascii="Times New Roman" w:hAnsi="Times New Roman" w:cs="Times New Roman"/>
          <w:sz w:val="24"/>
          <w:szCs w:val="24"/>
        </w:rPr>
        <w:t>, N. G. (2009). Measuring affective (liking) and non-affective (expected satiety) determinants of portion size and food reward.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52</w:t>
      </w:r>
      <w:r w:rsidRPr="000E4FE6">
        <w:rPr>
          <w:rFonts w:ascii="Times New Roman" w:hAnsi="Times New Roman" w:cs="Times New Roman"/>
          <w:sz w:val="24"/>
          <w:szCs w:val="24"/>
        </w:rPr>
        <w:t>(1), 108–114. https://doi.org/10.1016/j.appet.2008.09.002</w:t>
      </w:r>
    </w:p>
    <w:p w14:paraId="00000CB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Bryant, E J, Caudwell, P., Hopkins, M. E., King, N. A., and Blundell, J. E. (2012). Psycho-markers of weight loss. The roles of TFEQ Disinhibition and Restraint in exercise-induced weight management.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58</w:t>
      </w:r>
      <w:r w:rsidRPr="000E4FE6">
        <w:rPr>
          <w:rFonts w:ascii="Times New Roman" w:hAnsi="Times New Roman" w:cs="Times New Roman"/>
          <w:sz w:val="24"/>
          <w:szCs w:val="24"/>
        </w:rPr>
        <w:t>(1), 234–241. https://doi.org/10.1016/j.appet.2011.09.006</w:t>
      </w:r>
    </w:p>
    <w:p w14:paraId="00000CB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Bryant, E J, King, N. A., and Blundell, J. E. (2008). Disinhibition: its effects on appetite and weight regulation.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(5), 409–419. https://doi.org/10.1111/j.1467-789X.2007.00426.x</w:t>
      </w:r>
    </w:p>
    <w:p w14:paraId="00000CB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Bryant, Eleanor J, Rehman, J., Pepper, L. B., and Walters, E. R. (2019). Obesity and eating disturbance: the role of TFEQ restraint and disinhibition. </w:t>
      </w:r>
      <w:r w:rsidRPr="000E4FE6">
        <w:rPr>
          <w:rFonts w:ascii="Times New Roman" w:hAnsi="Times New Roman" w:cs="Times New Roman"/>
          <w:i/>
          <w:sz w:val="24"/>
          <w:szCs w:val="24"/>
        </w:rPr>
        <w:t>Current Obesity Reports</w:t>
      </w:r>
      <w:r w:rsidRPr="000E4FE6">
        <w:rPr>
          <w:rFonts w:ascii="Times New Roman" w:hAnsi="Times New Roman" w:cs="Times New Roman"/>
          <w:sz w:val="24"/>
          <w:szCs w:val="24"/>
        </w:rPr>
        <w:t>, </w:t>
      </w:r>
      <w:r w:rsidRPr="000E4FE6">
        <w:rPr>
          <w:rFonts w:ascii="Times New Roman" w:hAnsi="Times New Roman" w:cs="Times New Roman"/>
          <w:i/>
          <w:sz w:val="24"/>
          <w:szCs w:val="24"/>
        </w:rPr>
        <w:t>8</w:t>
      </w:r>
      <w:r w:rsidRPr="000E4FE6">
        <w:rPr>
          <w:rFonts w:ascii="Times New Roman" w:hAnsi="Times New Roman" w:cs="Times New Roman"/>
          <w:sz w:val="24"/>
          <w:szCs w:val="24"/>
        </w:rPr>
        <w:t>(4), 363–372. https://doi.org/10.1007/s13679-019-00365-x</w:t>
      </w:r>
    </w:p>
    <w:p w14:paraId="00000CC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Bryant, Eleanor J, </w:t>
      </w:r>
      <w:proofErr w:type="spellStart"/>
      <w:r w:rsidRPr="000E4FE6">
        <w:rPr>
          <w:rFonts w:ascii="Times New Roman" w:hAnsi="Times New Roman" w:cs="Times New Roman"/>
          <w:sz w:val="24"/>
          <w:szCs w:val="24"/>
        </w:rPr>
        <w:t>Thivel</w:t>
      </w:r>
      <w:proofErr w:type="spellEnd"/>
      <w:r w:rsidRPr="000E4FE6">
        <w:rPr>
          <w:rFonts w:ascii="Times New Roman" w:hAnsi="Times New Roman" w:cs="Times New Roman"/>
          <w:sz w:val="24"/>
          <w:szCs w:val="24"/>
        </w:rPr>
        <w:t xml:space="preserve">, D., </w:t>
      </w:r>
      <w:proofErr w:type="spellStart"/>
      <w:r w:rsidRPr="000E4FE6">
        <w:rPr>
          <w:rFonts w:ascii="Times New Roman" w:hAnsi="Times New Roman" w:cs="Times New Roman"/>
          <w:sz w:val="24"/>
          <w:szCs w:val="24"/>
        </w:rPr>
        <w:t>Chaput</w:t>
      </w:r>
      <w:proofErr w:type="spellEnd"/>
      <w:r w:rsidRPr="000E4FE6">
        <w:rPr>
          <w:rFonts w:ascii="Times New Roman" w:hAnsi="Times New Roman" w:cs="Times New Roman"/>
          <w:sz w:val="24"/>
          <w:szCs w:val="24"/>
        </w:rPr>
        <w:t>, J.-P., Drapeau, V., Blundell, J. E., and King, N. A. (2018). Development and validation of the Child Three-Factor Eating Questionnaire (CTFEQr17).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(14), 2558–2567. https://doi.org/10.1017/S1368980018001210</w:t>
      </w:r>
    </w:p>
    <w:p w14:paraId="00000CC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Brytek</w:t>
      </w:r>
      <w:proofErr w:type="spellEnd"/>
      <w:r w:rsidRPr="000E4FE6">
        <w:rPr>
          <w:rFonts w:ascii="Times New Roman" w:hAnsi="Times New Roman" w:cs="Times New Roman"/>
          <w:sz w:val="24"/>
          <w:szCs w:val="24"/>
        </w:rPr>
        <w:t xml:space="preserve">-Matera, A., </w:t>
      </w:r>
      <w:proofErr w:type="spellStart"/>
      <w:r w:rsidRPr="000E4FE6">
        <w:rPr>
          <w:rFonts w:ascii="Times New Roman" w:hAnsi="Times New Roman" w:cs="Times New Roman"/>
          <w:sz w:val="24"/>
          <w:szCs w:val="24"/>
        </w:rPr>
        <w:t>Rogoza</w:t>
      </w:r>
      <w:proofErr w:type="spellEnd"/>
      <w:r w:rsidRPr="000E4FE6">
        <w:rPr>
          <w:rFonts w:ascii="Times New Roman" w:hAnsi="Times New Roman" w:cs="Times New Roman"/>
          <w:sz w:val="24"/>
          <w:szCs w:val="24"/>
        </w:rPr>
        <w:t xml:space="preserve">, R., and </w:t>
      </w:r>
      <w:proofErr w:type="spellStart"/>
      <w:r w:rsidRPr="000E4FE6">
        <w:rPr>
          <w:rFonts w:ascii="Times New Roman" w:hAnsi="Times New Roman" w:cs="Times New Roman"/>
          <w:sz w:val="24"/>
          <w:szCs w:val="24"/>
        </w:rPr>
        <w:t>Czepczor-Bernat</w:t>
      </w:r>
      <w:proofErr w:type="spellEnd"/>
      <w:r w:rsidRPr="000E4FE6">
        <w:rPr>
          <w:rFonts w:ascii="Times New Roman" w:hAnsi="Times New Roman" w:cs="Times New Roman"/>
          <w:sz w:val="24"/>
          <w:szCs w:val="24"/>
        </w:rPr>
        <w:t>, K. (2017). The Three-Factor Eating Questionnaire-R18 Polish version: factor structure analysis among normal weight and obese adult women. </w:t>
      </w:r>
      <w:r w:rsidRPr="000E4FE6">
        <w:rPr>
          <w:rFonts w:ascii="Times New Roman" w:hAnsi="Times New Roman" w:cs="Times New Roman"/>
          <w:i/>
          <w:sz w:val="24"/>
          <w:szCs w:val="24"/>
        </w:rPr>
        <w:t>Archives of Psychiatry and Psychotherapy</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(3), 81–90. https://doi.org/10.12740/APP/76342</w:t>
      </w:r>
    </w:p>
    <w:p w14:paraId="00000CC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Buchanan, E. A., and </w:t>
      </w:r>
      <w:proofErr w:type="spellStart"/>
      <w:r w:rsidRPr="000E4FE6">
        <w:rPr>
          <w:rFonts w:ascii="Times New Roman" w:hAnsi="Times New Roman" w:cs="Times New Roman"/>
          <w:sz w:val="24"/>
          <w:szCs w:val="24"/>
        </w:rPr>
        <w:t>Hvizdak</w:t>
      </w:r>
      <w:proofErr w:type="spellEnd"/>
      <w:r w:rsidRPr="000E4FE6">
        <w:rPr>
          <w:rFonts w:ascii="Times New Roman" w:hAnsi="Times New Roman" w:cs="Times New Roman"/>
          <w:sz w:val="24"/>
          <w:szCs w:val="24"/>
        </w:rPr>
        <w:t>, E. E. (2009). Online survey tools: ethical and methodological concerns of human research ethics committees. </w:t>
      </w:r>
      <w:r w:rsidRPr="000E4FE6">
        <w:rPr>
          <w:rFonts w:ascii="Times New Roman" w:hAnsi="Times New Roman" w:cs="Times New Roman"/>
          <w:i/>
          <w:sz w:val="24"/>
          <w:szCs w:val="24"/>
        </w:rPr>
        <w:t xml:space="preserve">Journal of Empirical Research on Human Research </w:t>
      </w:r>
      <w:proofErr w:type="gramStart"/>
      <w:r w:rsidRPr="000E4FE6">
        <w:rPr>
          <w:rFonts w:ascii="Times New Roman" w:hAnsi="Times New Roman" w:cs="Times New Roman"/>
          <w:i/>
          <w:sz w:val="24"/>
          <w:szCs w:val="24"/>
        </w:rPr>
        <w:t>Ethics :</w:t>
      </w:r>
      <w:proofErr w:type="gramEnd"/>
      <w:r w:rsidRPr="000E4FE6">
        <w:rPr>
          <w:rFonts w:ascii="Times New Roman" w:hAnsi="Times New Roman" w:cs="Times New Roman"/>
          <w:i/>
          <w:sz w:val="24"/>
          <w:szCs w:val="24"/>
        </w:rPr>
        <w:t xml:space="preserve"> JERHRE</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(2), 37–48. https://doi.org/10.1525/jer.2009.4.2.37</w:t>
      </w:r>
    </w:p>
    <w:p w14:paraId="00000CC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Buckland, N. J., </w:t>
      </w:r>
      <w:proofErr w:type="spellStart"/>
      <w:r w:rsidRPr="000E4FE6">
        <w:rPr>
          <w:rFonts w:ascii="Times New Roman" w:hAnsi="Times New Roman" w:cs="Times New Roman"/>
          <w:sz w:val="24"/>
          <w:szCs w:val="24"/>
        </w:rPr>
        <w:t>Camidge</w:t>
      </w:r>
      <w:proofErr w:type="spellEnd"/>
      <w:r w:rsidRPr="000E4FE6">
        <w:rPr>
          <w:rFonts w:ascii="Times New Roman" w:hAnsi="Times New Roman" w:cs="Times New Roman"/>
          <w:sz w:val="24"/>
          <w:szCs w:val="24"/>
        </w:rPr>
        <w:t xml:space="preserve">, D., </w:t>
      </w:r>
      <w:proofErr w:type="spellStart"/>
      <w:r w:rsidRPr="000E4FE6">
        <w:rPr>
          <w:rFonts w:ascii="Times New Roman" w:hAnsi="Times New Roman" w:cs="Times New Roman"/>
          <w:sz w:val="24"/>
          <w:szCs w:val="24"/>
        </w:rPr>
        <w:t>Croden</w:t>
      </w:r>
      <w:proofErr w:type="spellEnd"/>
      <w:r w:rsidRPr="000E4FE6">
        <w:rPr>
          <w:rFonts w:ascii="Times New Roman" w:hAnsi="Times New Roman" w:cs="Times New Roman"/>
          <w:sz w:val="24"/>
          <w:szCs w:val="24"/>
        </w:rPr>
        <w:t>, F., Lavin, J. H., Stubbs, R. J., Hetherington, M. M., … Finlayson, G. (2018). A Low Energy-Dense Diet in the Context of a Weight-Management Program Affects Appetite Control in Overweight and Obese Women. </w:t>
      </w:r>
      <w:r w:rsidRPr="000E4FE6">
        <w:rPr>
          <w:rFonts w:ascii="Times New Roman" w:hAnsi="Times New Roman" w:cs="Times New Roman"/>
          <w:i/>
          <w:sz w:val="24"/>
          <w:szCs w:val="24"/>
        </w:rPr>
        <w:t>The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148</w:t>
      </w:r>
      <w:r w:rsidRPr="000E4FE6">
        <w:rPr>
          <w:rFonts w:ascii="Times New Roman" w:hAnsi="Times New Roman" w:cs="Times New Roman"/>
          <w:sz w:val="24"/>
          <w:szCs w:val="24"/>
        </w:rPr>
        <w:t>(5), 798–806. https://doi.org/10.1093/jn/nxy041</w:t>
      </w:r>
    </w:p>
    <w:p w14:paraId="00000CC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Buckland, N. J., Er, V., Redpath, I., and Beaulieu, K. (2018). Priming food intake with weight control cues: systematic review with a meta-analysis. </w:t>
      </w:r>
      <w:r w:rsidRPr="000E4FE6">
        <w:rPr>
          <w:rFonts w:ascii="Times New Roman" w:hAnsi="Times New Roman" w:cs="Times New Roman"/>
          <w:i/>
          <w:sz w:val="24"/>
          <w:szCs w:val="24"/>
        </w:rPr>
        <w:t xml:space="preserve">The International Journal of </w:t>
      </w:r>
      <w:proofErr w:type="spellStart"/>
      <w:r w:rsidRPr="000E4FE6">
        <w:rPr>
          <w:rFonts w:ascii="Times New Roman" w:hAnsi="Times New Roman" w:cs="Times New Roman"/>
          <w:i/>
          <w:sz w:val="24"/>
          <w:szCs w:val="24"/>
        </w:rPr>
        <w:lastRenderedPageBreak/>
        <w:t>Behavioral</w:t>
      </w:r>
      <w:proofErr w:type="spellEnd"/>
      <w:r w:rsidRPr="000E4FE6">
        <w:rPr>
          <w:rFonts w:ascii="Times New Roman" w:hAnsi="Times New Roman" w:cs="Times New Roman"/>
          <w:i/>
          <w:sz w:val="24"/>
          <w:szCs w:val="24"/>
        </w:rPr>
        <w:t xml:space="preserve"> Nutrition and Physical Activity</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(1), 66. https://doi.org/10.1186/s12966-018-0698-9</w:t>
      </w:r>
    </w:p>
    <w:p w14:paraId="00000CC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Buckland, N. J., and Kemps, E. (2021). Low craving control predicts increased high energy density food intake during the COVID-19 lockdown: Result replicated in an Australian sample.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166</w:t>
      </w:r>
      <w:r w:rsidRPr="000E4FE6">
        <w:rPr>
          <w:rFonts w:ascii="Times New Roman" w:hAnsi="Times New Roman" w:cs="Times New Roman"/>
          <w:sz w:val="24"/>
          <w:szCs w:val="24"/>
        </w:rPr>
        <w:t>, 105317. https://doi.org/10.1016/j.appet.2021.105317</w:t>
      </w:r>
    </w:p>
    <w:p w14:paraId="00000CC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Buscemi, J., Rybak, T. M., Berlin, K. S., Murphy, J. G., and Raynor, H. A. (2017). Impact of food craving and calorie intake on body mass index (BMI) changes during an 18-month </w:t>
      </w:r>
      <w:proofErr w:type="spellStart"/>
      <w:r w:rsidRPr="000E4FE6">
        <w:rPr>
          <w:rFonts w:ascii="Times New Roman" w:hAnsi="Times New Roman" w:cs="Times New Roman"/>
          <w:sz w:val="24"/>
          <w:szCs w:val="24"/>
        </w:rPr>
        <w:t>behavioral</w:t>
      </w:r>
      <w:proofErr w:type="spellEnd"/>
      <w:r w:rsidRPr="000E4FE6">
        <w:rPr>
          <w:rFonts w:ascii="Times New Roman" w:hAnsi="Times New Roman" w:cs="Times New Roman"/>
          <w:sz w:val="24"/>
          <w:szCs w:val="24"/>
        </w:rPr>
        <w:t xml:space="preserve"> weight loss trial. </w:t>
      </w:r>
      <w:r w:rsidRPr="000E4FE6">
        <w:rPr>
          <w:rFonts w:ascii="Times New Roman" w:hAnsi="Times New Roman" w:cs="Times New Roman"/>
          <w:i/>
          <w:sz w:val="24"/>
          <w:szCs w:val="24"/>
        </w:rPr>
        <w:t xml:space="preserve">Journal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40</w:t>
      </w:r>
      <w:r w:rsidRPr="000E4FE6">
        <w:rPr>
          <w:rFonts w:ascii="Times New Roman" w:hAnsi="Times New Roman" w:cs="Times New Roman"/>
          <w:sz w:val="24"/>
          <w:szCs w:val="24"/>
        </w:rPr>
        <w:t>(4), 565–573. https://doi.org/10.1007/s10865-017-9824-4</w:t>
      </w:r>
    </w:p>
    <w:p w14:paraId="00000CC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Butland, B., </w:t>
      </w:r>
      <w:proofErr w:type="spellStart"/>
      <w:r w:rsidRPr="000E4FE6">
        <w:rPr>
          <w:rFonts w:ascii="Times New Roman" w:hAnsi="Times New Roman" w:cs="Times New Roman"/>
          <w:sz w:val="24"/>
          <w:szCs w:val="24"/>
        </w:rPr>
        <w:t>Jebb</w:t>
      </w:r>
      <w:proofErr w:type="spellEnd"/>
      <w:r w:rsidRPr="000E4FE6">
        <w:rPr>
          <w:rFonts w:ascii="Times New Roman" w:hAnsi="Times New Roman" w:cs="Times New Roman"/>
          <w:sz w:val="24"/>
          <w:szCs w:val="24"/>
        </w:rPr>
        <w:t>, S., Kopelman, P., McPherson, K., Thomas, S., Mardell, J., and Parry, V. (2007). Foresight. Tackling obesities: future choices. </w:t>
      </w:r>
      <w:r w:rsidRPr="000E4FE6">
        <w:rPr>
          <w:rFonts w:ascii="Times New Roman" w:hAnsi="Times New Roman" w:cs="Times New Roman"/>
          <w:i/>
          <w:sz w:val="24"/>
          <w:szCs w:val="24"/>
        </w:rPr>
        <w:t>Project Report</w:t>
      </w:r>
      <w:r w:rsidRPr="000E4FE6">
        <w:rPr>
          <w:rFonts w:ascii="Times New Roman" w:hAnsi="Times New Roman" w:cs="Times New Roman"/>
          <w:sz w:val="24"/>
          <w:szCs w:val="24"/>
        </w:rPr>
        <w:t>, </w:t>
      </w:r>
      <w:r w:rsidRPr="000E4FE6">
        <w:rPr>
          <w:rFonts w:ascii="Times New Roman" w:hAnsi="Times New Roman" w:cs="Times New Roman"/>
          <w:i/>
          <w:sz w:val="24"/>
          <w:szCs w:val="24"/>
        </w:rPr>
        <w:t>2</w:t>
      </w:r>
      <w:r w:rsidRPr="000E4FE6">
        <w:rPr>
          <w:rFonts w:ascii="Times New Roman" w:hAnsi="Times New Roman" w:cs="Times New Roman"/>
          <w:sz w:val="24"/>
          <w:szCs w:val="24"/>
        </w:rPr>
        <w:t>.</w:t>
      </w:r>
    </w:p>
    <w:p w14:paraId="00000CC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Buysse</w:t>
      </w:r>
      <w:proofErr w:type="spellEnd"/>
      <w:r w:rsidRPr="000E4FE6">
        <w:rPr>
          <w:rFonts w:ascii="Times New Roman" w:hAnsi="Times New Roman" w:cs="Times New Roman"/>
          <w:sz w:val="24"/>
          <w:szCs w:val="24"/>
        </w:rPr>
        <w:t>, D. J., Reynolds, C. F., Monk, T. H., Berman, S. R., and Kupfer, D. J. (1989). The Pittsburgh Sleep Quality Index: A new instrument for psychiatric practice and research. </w:t>
      </w:r>
      <w:r w:rsidRPr="000E4FE6">
        <w:rPr>
          <w:rFonts w:ascii="Times New Roman" w:hAnsi="Times New Roman" w:cs="Times New Roman"/>
          <w:i/>
          <w:sz w:val="24"/>
          <w:szCs w:val="24"/>
        </w:rPr>
        <w:t>Psychiatry Research</w:t>
      </w:r>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(2), 193–213. https://doi.org/10.1016/0165-1781(89)90047-4</w:t>
      </w:r>
    </w:p>
    <w:p w14:paraId="00000CC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Byrne, J. E. M., and Murray, G. (2017). Diurnal rhythms in psychological reward functioning in healthy young men: “Wanting”, liking, and learning. </w:t>
      </w:r>
      <w:r w:rsidRPr="000E4FE6">
        <w:rPr>
          <w:rFonts w:ascii="Times New Roman" w:hAnsi="Times New Roman" w:cs="Times New Roman"/>
          <w:i/>
          <w:sz w:val="24"/>
          <w:szCs w:val="24"/>
        </w:rPr>
        <w:t>Chronobiology International</w:t>
      </w:r>
      <w:r w:rsidRPr="000E4FE6">
        <w:rPr>
          <w:rFonts w:ascii="Times New Roman" w:hAnsi="Times New Roman" w:cs="Times New Roman"/>
          <w:sz w:val="24"/>
          <w:szCs w:val="24"/>
        </w:rPr>
        <w:t>, </w:t>
      </w:r>
      <w:r w:rsidRPr="000E4FE6">
        <w:rPr>
          <w:rFonts w:ascii="Times New Roman" w:hAnsi="Times New Roman" w:cs="Times New Roman"/>
          <w:i/>
          <w:sz w:val="24"/>
          <w:szCs w:val="24"/>
        </w:rPr>
        <w:t>34</w:t>
      </w:r>
      <w:r w:rsidRPr="000E4FE6">
        <w:rPr>
          <w:rFonts w:ascii="Times New Roman" w:hAnsi="Times New Roman" w:cs="Times New Roman"/>
          <w:sz w:val="24"/>
          <w:szCs w:val="24"/>
        </w:rPr>
        <w:t>(2), 287–295. https://doi.org/10.1080/07420528.2016.1272607</w:t>
      </w:r>
    </w:p>
    <w:p w14:paraId="00000CC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Callahan, H. S., Cummings, D. E., Pepe, M. S., Breen, P. A., Matthys, C. C., and </w:t>
      </w:r>
      <w:proofErr w:type="spellStart"/>
      <w:r w:rsidRPr="000E4FE6">
        <w:rPr>
          <w:rFonts w:ascii="Times New Roman" w:hAnsi="Times New Roman" w:cs="Times New Roman"/>
          <w:sz w:val="24"/>
          <w:szCs w:val="24"/>
        </w:rPr>
        <w:t>Weigle</w:t>
      </w:r>
      <w:proofErr w:type="spellEnd"/>
      <w:r w:rsidRPr="000E4FE6">
        <w:rPr>
          <w:rFonts w:ascii="Times New Roman" w:hAnsi="Times New Roman" w:cs="Times New Roman"/>
          <w:sz w:val="24"/>
          <w:szCs w:val="24"/>
        </w:rPr>
        <w:t xml:space="preserve">, D. S. (2004). Postprandial suppression of plasma ghrelin level is proportional to ingested caloric load but does not predict </w:t>
      </w:r>
      <w:proofErr w:type="spellStart"/>
      <w:r w:rsidRPr="000E4FE6">
        <w:rPr>
          <w:rFonts w:ascii="Times New Roman" w:hAnsi="Times New Roman" w:cs="Times New Roman"/>
          <w:sz w:val="24"/>
          <w:szCs w:val="24"/>
        </w:rPr>
        <w:t>intermeal</w:t>
      </w:r>
      <w:proofErr w:type="spellEnd"/>
      <w:r w:rsidRPr="000E4FE6">
        <w:rPr>
          <w:rFonts w:ascii="Times New Roman" w:hAnsi="Times New Roman" w:cs="Times New Roman"/>
          <w:sz w:val="24"/>
          <w:szCs w:val="24"/>
        </w:rPr>
        <w:t xml:space="preserve"> interval in humans. </w:t>
      </w:r>
      <w:r w:rsidRPr="000E4FE6">
        <w:rPr>
          <w:rFonts w:ascii="Times New Roman" w:hAnsi="Times New Roman" w:cs="Times New Roman"/>
          <w:i/>
          <w:sz w:val="24"/>
          <w:szCs w:val="24"/>
        </w:rPr>
        <w:t>The Journal of Clinical Endocrinology and Metabolism</w:t>
      </w:r>
      <w:r w:rsidRPr="000E4FE6">
        <w:rPr>
          <w:rFonts w:ascii="Times New Roman" w:hAnsi="Times New Roman" w:cs="Times New Roman"/>
          <w:sz w:val="24"/>
          <w:szCs w:val="24"/>
        </w:rPr>
        <w:t>, </w:t>
      </w:r>
      <w:r w:rsidRPr="000E4FE6">
        <w:rPr>
          <w:rFonts w:ascii="Times New Roman" w:hAnsi="Times New Roman" w:cs="Times New Roman"/>
          <w:i/>
          <w:sz w:val="24"/>
          <w:szCs w:val="24"/>
        </w:rPr>
        <w:t>89</w:t>
      </w:r>
      <w:r w:rsidRPr="000E4FE6">
        <w:rPr>
          <w:rFonts w:ascii="Times New Roman" w:hAnsi="Times New Roman" w:cs="Times New Roman"/>
          <w:sz w:val="24"/>
          <w:szCs w:val="24"/>
        </w:rPr>
        <w:t>(3), 1319–1324. https://doi.org/10.1210/jc.2003-031267</w:t>
      </w:r>
    </w:p>
    <w:p w14:paraId="00000CC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Calle, E. E., Rodriguez, C., Walker-Thurmond, K., and Thun, M. J. (2003). Overweight, obesity, and mortality from cancer in a prospectively studied cohort of U.S. adults. </w:t>
      </w:r>
      <w:r w:rsidRPr="000E4FE6">
        <w:rPr>
          <w:rFonts w:ascii="Times New Roman" w:hAnsi="Times New Roman" w:cs="Times New Roman"/>
          <w:i/>
          <w:sz w:val="24"/>
          <w:szCs w:val="24"/>
        </w:rPr>
        <w:t xml:space="preserve">The </w:t>
      </w:r>
      <w:r w:rsidRPr="000E4FE6">
        <w:rPr>
          <w:rFonts w:ascii="Times New Roman" w:hAnsi="Times New Roman" w:cs="Times New Roman"/>
          <w:i/>
          <w:sz w:val="24"/>
          <w:szCs w:val="24"/>
        </w:rPr>
        <w:lastRenderedPageBreak/>
        <w:t>New England Journal of Medicine</w:t>
      </w:r>
      <w:r w:rsidRPr="000E4FE6">
        <w:rPr>
          <w:rFonts w:ascii="Times New Roman" w:hAnsi="Times New Roman" w:cs="Times New Roman"/>
          <w:sz w:val="24"/>
          <w:szCs w:val="24"/>
        </w:rPr>
        <w:t>, </w:t>
      </w:r>
      <w:r w:rsidRPr="000E4FE6">
        <w:rPr>
          <w:rFonts w:ascii="Times New Roman" w:hAnsi="Times New Roman" w:cs="Times New Roman"/>
          <w:i/>
          <w:sz w:val="24"/>
          <w:szCs w:val="24"/>
        </w:rPr>
        <w:t>348</w:t>
      </w:r>
      <w:r w:rsidRPr="000E4FE6">
        <w:rPr>
          <w:rFonts w:ascii="Times New Roman" w:hAnsi="Times New Roman" w:cs="Times New Roman"/>
          <w:sz w:val="24"/>
          <w:szCs w:val="24"/>
        </w:rPr>
        <w:t>(17), 1625–1638. https://doi.org/10.1056/NEJMoa021423</w:t>
      </w:r>
    </w:p>
    <w:p w14:paraId="00000CC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Camilleri, E. (2016). </w:t>
      </w:r>
      <w:r w:rsidRPr="000E4FE6">
        <w:rPr>
          <w:rFonts w:ascii="Times New Roman" w:hAnsi="Times New Roman" w:cs="Times New Roman"/>
          <w:i/>
          <w:sz w:val="24"/>
          <w:szCs w:val="24"/>
        </w:rPr>
        <w:t>Project Success</w:t>
      </w:r>
      <w:r w:rsidRPr="000E4FE6">
        <w:rPr>
          <w:rFonts w:ascii="Times New Roman" w:hAnsi="Times New Roman" w:cs="Times New Roman"/>
          <w:sz w:val="24"/>
          <w:szCs w:val="24"/>
        </w:rPr>
        <w:t>. Routledge. https://doi.org/10.4324/9781315602493</w:t>
      </w:r>
    </w:p>
    <w:p w14:paraId="00000CC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Canetti, L., </w:t>
      </w:r>
      <w:proofErr w:type="spellStart"/>
      <w:r w:rsidRPr="000E4FE6">
        <w:rPr>
          <w:rFonts w:ascii="Times New Roman" w:hAnsi="Times New Roman" w:cs="Times New Roman"/>
          <w:sz w:val="24"/>
          <w:szCs w:val="24"/>
        </w:rPr>
        <w:t>Bachar</w:t>
      </w:r>
      <w:proofErr w:type="spellEnd"/>
      <w:r w:rsidRPr="000E4FE6">
        <w:rPr>
          <w:rFonts w:ascii="Times New Roman" w:hAnsi="Times New Roman" w:cs="Times New Roman"/>
          <w:sz w:val="24"/>
          <w:szCs w:val="24"/>
        </w:rPr>
        <w:t>, E., and Berry, E. M. (2002). Food and emotion. </w:t>
      </w:r>
      <w:r w:rsidRPr="000E4FE6">
        <w:rPr>
          <w:rFonts w:ascii="Times New Roman" w:hAnsi="Times New Roman" w:cs="Times New Roman"/>
          <w:i/>
          <w:sz w:val="24"/>
          <w:szCs w:val="24"/>
        </w:rPr>
        <w:t>Behavioural Processes</w:t>
      </w:r>
      <w:r w:rsidRPr="000E4FE6">
        <w:rPr>
          <w:rFonts w:ascii="Times New Roman" w:hAnsi="Times New Roman" w:cs="Times New Roman"/>
          <w:sz w:val="24"/>
          <w:szCs w:val="24"/>
        </w:rPr>
        <w:t>, </w:t>
      </w:r>
      <w:r w:rsidRPr="000E4FE6">
        <w:rPr>
          <w:rFonts w:ascii="Times New Roman" w:hAnsi="Times New Roman" w:cs="Times New Roman"/>
          <w:i/>
          <w:sz w:val="24"/>
          <w:szCs w:val="24"/>
        </w:rPr>
        <w:t>60</w:t>
      </w:r>
      <w:r w:rsidRPr="000E4FE6">
        <w:rPr>
          <w:rFonts w:ascii="Times New Roman" w:hAnsi="Times New Roman" w:cs="Times New Roman"/>
          <w:sz w:val="24"/>
          <w:szCs w:val="24"/>
        </w:rPr>
        <w:t>(2), 157–164. https://doi.org/10.1016/s0376-6357(02)00082-7</w:t>
      </w:r>
    </w:p>
    <w:p w14:paraId="00000CC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Cappelleri</w:t>
      </w:r>
      <w:proofErr w:type="spellEnd"/>
      <w:r w:rsidRPr="000E4FE6">
        <w:rPr>
          <w:rFonts w:ascii="Times New Roman" w:hAnsi="Times New Roman" w:cs="Times New Roman"/>
          <w:sz w:val="24"/>
          <w:szCs w:val="24"/>
        </w:rPr>
        <w:t xml:space="preserve">, J. C., </w:t>
      </w:r>
      <w:proofErr w:type="spellStart"/>
      <w:r w:rsidRPr="000E4FE6">
        <w:rPr>
          <w:rFonts w:ascii="Times New Roman" w:hAnsi="Times New Roman" w:cs="Times New Roman"/>
          <w:sz w:val="24"/>
          <w:szCs w:val="24"/>
        </w:rPr>
        <w:t>Bushmakin</w:t>
      </w:r>
      <w:proofErr w:type="spellEnd"/>
      <w:r w:rsidRPr="000E4FE6">
        <w:rPr>
          <w:rFonts w:ascii="Times New Roman" w:hAnsi="Times New Roman" w:cs="Times New Roman"/>
          <w:sz w:val="24"/>
          <w:szCs w:val="24"/>
        </w:rPr>
        <w:t>, A. G., Gerber, R. A., Leidy, N. K., Sexton, C. C., Lowe, M. R., and Karlsson, J. (2009). Psychometric analysis of the Three-Factor Eating Questionnaire-R21: results from a large diverse sample of obese and non-obese participants.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33</w:t>
      </w:r>
      <w:r w:rsidRPr="000E4FE6">
        <w:rPr>
          <w:rFonts w:ascii="Times New Roman" w:hAnsi="Times New Roman" w:cs="Times New Roman"/>
          <w:sz w:val="24"/>
          <w:szCs w:val="24"/>
        </w:rPr>
        <w:t>(6), 611–620. https://doi.org/10.1038/ijo.2009.74</w:t>
      </w:r>
    </w:p>
    <w:p w14:paraId="00000CC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Carnell, S., </w:t>
      </w:r>
      <w:proofErr w:type="spellStart"/>
      <w:r w:rsidRPr="000E4FE6">
        <w:rPr>
          <w:rFonts w:ascii="Times New Roman" w:hAnsi="Times New Roman" w:cs="Times New Roman"/>
          <w:sz w:val="24"/>
          <w:szCs w:val="24"/>
        </w:rPr>
        <w:t>Grillot</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Ungredda</w:t>
      </w:r>
      <w:proofErr w:type="spellEnd"/>
      <w:r w:rsidRPr="000E4FE6">
        <w:rPr>
          <w:rFonts w:ascii="Times New Roman" w:hAnsi="Times New Roman" w:cs="Times New Roman"/>
          <w:sz w:val="24"/>
          <w:szCs w:val="24"/>
        </w:rPr>
        <w:t xml:space="preserve">, T., Ellis, S., Mehta, N., Holst, J., and </w:t>
      </w:r>
      <w:proofErr w:type="spellStart"/>
      <w:r w:rsidRPr="000E4FE6">
        <w:rPr>
          <w:rFonts w:ascii="Times New Roman" w:hAnsi="Times New Roman" w:cs="Times New Roman"/>
          <w:sz w:val="24"/>
          <w:szCs w:val="24"/>
        </w:rPr>
        <w:t>Geliebter</w:t>
      </w:r>
      <w:proofErr w:type="spellEnd"/>
      <w:r w:rsidRPr="000E4FE6">
        <w:rPr>
          <w:rFonts w:ascii="Times New Roman" w:hAnsi="Times New Roman" w:cs="Times New Roman"/>
          <w:sz w:val="24"/>
          <w:szCs w:val="24"/>
        </w:rPr>
        <w:t>, A. (2018). Morning and afternoon appetite and gut hormone responses to meal and stress challenges in obese individuals with and without binge eating disorder.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42</w:t>
      </w:r>
      <w:r w:rsidRPr="000E4FE6">
        <w:rPr>
          <w:rFonts w:ascii="Times New Roman" w:hAnsi="Times New Roman" w:cs="Times New Roman"/>
          <w:sz w:val="24"/>
          <w:szCs w:val="24"/>
        </w:rPr>
        <w:t>(4), 841–849. https://doi.org/10.1038/ijo.2017.307</w:t>
      </w:r>
    </w:p>
    <w:p w14:paraId="00000CD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Carpenter, K. M., </w:t>
      </w:r>
      <w:proofErr w:type="spellStart"/>
      <w:r w:rsidRPr="000E4FE6">
        <w:rPr>
          <w:rFonts w:ascii="Times New Roman" w:hAnsi="Times New Roman" w:cs="Times New Roman"/>
          <w:sz w:val="24"/>
          <w:szCs w:val="24"/>
        </w:rPr>
        <w:t>Hasin</w:t>
      </w:r>
      <w:proofErr w:type="spellEnd"/>
      <w:r w:rsidRPr="000E4FE6">
        <w:rPr>
          <w:rFonts w:ascii="Times New Roman" w:hAnsi="Times New Roman" w:cs="Times New Roman"/>
          <w:sz w:val="24"/>
          <w:szCs w:val="24"/>
        </w:rPr>
        <w:t>, D. S., Allison, D. B., and Faith, M. S. (2000). Relationships between obesity and DSM-IV major depressive disorder, suicide ideation, and suicide attempts: results from a general population study. </w:t>
      </w:r>
      <w:r w:rsidRPr="000E4FE6">
        <w:rPr>
          <w:rFonts w:ascii="Times New Roman" w:hAnsi="Times New Roman" w:cs="Times New Roman"/>
          <w:i/>
          <w:sz w:val="24"/>
          <w:szCs w:val="24"/>
        </w:rPr>
        <w:t>American Journal of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90</w:t>
      </w:r>
      <w:r w:rsidRPr="000E4FE6">
        <w:rPr>
          <w:rFonts w:ascii="Times New Roman" w:hAnsi="Times New Roman" w:cs="Times New Roman"/>
          <w:sz w:val="24"/>
          <w:szCs w:val="24"/>
        </w:rPr>
        <w:t>(2), 251–257. https://doi.org/10.2105/ajph.90.2.251</w:t>
      </w:r>
    </w:p>
    <w:p w14:paraId="00000CD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Carroll, A. (2013). Three squares: The invention of the American meal. </w:t>
      </w:r>
      <w:r w:rsidRPr="000E4FE6">
        <w:rPr>
          <w:rFonts w:ascii="Times New Roman" w:hAnsi="Times New Roman" w:cs="Times New Roman"/>
          <w:i/>
          <w:sz w:val="24"/>
          <w:szCs w:val="24"/>
        </w:rPr>
        <w:t>Three Squares: The Invention of the American Meal</w:t>
      </w:r>
      <w:r w:rsidRPr="000E4FE6">
        <w:rPr>
          <w:rFonts w:ascii="Times New Roman" w:hAnsi="Times New Roman" w:cs="Times New Roman"/>
          <w:sz w:val="24"/>
          <w:szCs w:val="24"/>
        </w:rPr>
        <w:t>.</w:t>
      </w:r>
    </w:p>
    <w:p w14:paraId="00000CD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Carter, P., </w:t>
      </w:r>
      <w:proofErr w:type="spellStart"/>
      <w:r w:rsidRPr="000E4FE6">
        <w:rPr>
          <w:rFonts w:ascii="Times New Roman" w:hAnsi="Times New Roman" w:cs="Times New Roman"/>
          <w:sz w:val="24"/>
          <w:szCs w:val="24"/>
        </w:rPr>
        <w:t>Bignardi</w:t>
      </w:r>
      <w:proofErr w:type="spellEnd"/>
      <w:r w:rsidRPr="000E4FE6">
        <w:rPr>
          <w:rFonts w:ascii="Times New Roman" w:hAnsi="Times New Roman" w:cs="Times New Roman"/>
          <w:sz w:val="24"/>
          <w:szCs w:val="24"/>
        </w:rPr>
        <w:t>, G., Hollands, G. J., and Marteau, T. M. (2018). Information-based cues at point of choice to change selection and consumption of food, alcohol and tobacco products: a systematic review. </w:t>
      </w:r>
      <w:r w:rsidRPr="000E4FE6">
        <w:rPr>
          <w:rFonts w:ascii="Times New Roman" w:hAnsi="Times New Roman" w:cs="Times New Roman"/>
          <w:i/>
          <w:sz w:val="24"/>
          <w:szCs w:val="24"/>
        </w:rPr>
        <w:t>BMC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(1), 418. https://doi.org/10.1186/s12889-018-5280-5</w:t>
      </w:r>
    </w:p>
    <w:p w14:paraId="00000CD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Cason, A. M., Smith, R. J., </w:t>
      </w:r>
      <w:proofErr w:type="spellStart"/>
      <w:r w:rsidRPr="000E4FE6">
        <w:rPr>
          <w:rFonts w:ascii="Times New Roman" w:hAnsi="Times New Roman" w:cs="Times New Roman"/>
          <w:sz w:val="24"/>
          <w:szCs w:val="24"/>
        </w:rPr>
        <w:t>Tahsili-Fahadan</w:t>
      </w:r>
      <w:proofErr w:type="spellEnd"/>
      <w:r w:rsidRPr="000E4FE6">
        <w:rPr>
          <w:rFonts w:ascii="Times New Roman" w:hAnsi="Times New Roman" w:cs="Times New Roman"/>
          <w:sz w:val="24"/>
          <w:szCs w:val="24"/>
        </w:rPr>
        <w:t>, P., Moorman, D. E., Sartor, G. C., and Aston-Jones, G. (2010). Role of orexin/hypocretin in reward-seeking and addiction: implications for obesity.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100</w:t>
      </w:r>
      <w:r w:rsidRPr="000E4FE6">
        <w:rPr>
          <w:rFonts w:ascii="Times New Roman" w:hAnsi="Times New Roman" w:cs="Times New Roman"/>
          <w:sz w:val="24"/>
          <w:szCs w:val="24"/>
        </w:rPr>
        <w:t>(5), 419–428. https://doi.org/10.1016/j.physbeh.2010.03.009</w:t>
      </w:r>
    </w:p>
    <w:p w14:paraId="00000CD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Chaaya</w:t>
      </w:r>
      <w:proofErr w:type="spellEnd"/>
      <w:r w:rsidRPr="000E4FE6">
        <w:rPr>
          <w:rFonts w:ascii="Times New Roman" w:hAnsi="Times New Roman" w:cs="Times New Roman"/>
          <w:sz w:val="24"/>
          <w:szCs w:val="24"/>
        </w:rPr>
        <w:t xml:space="preserve">, M., Osman, H., </w:t>
      </w:r>
      <w:proofErr w:type="spellStart"/>
      <w:r w:rsidRPr="000E4FE6">
        <w:rPr>
          <w:rFonts w:ascii="Times New Roman" w:hAnsi="Times New Roman" w:cs="Times New Roman"/>
          <w:sz w:val="24"/>
          <w:szCs w:val="24"/>
        </w:rPr>
        <w:t>Naassan</w:t>
      </w:r>
      <w:proofErr w:type="spellEnd"/>
      <w:r w:rsidRPr="000E4FE6">
        <w:rPr>
          <w:rFonts w:ascii="Times New Roman" w:hAnsi="Times New Roman" w:cs="Times New Roman"/>
          <w:sz w:val="24"/>
          <w:szCs w:val="24"/>
        </w:rPr>
        <w:t xml:space="preserve">, G., and </w:t>
      </w:r>
      <w:proofErr w:type="spellStart"/>
      <w:r w:rsidRPr="000E4FE6">
        <w:rPr>
          <w:rFonts w:ascii="Times New Roman" w:hAnsi="Times New Roman" w:cs="Times New Roman"/>
          <w:sz w:val="24"/>
          <w:szCs w:val="24"/>
        </w:rPr>
        <w:t>Mahfoud</w:t>
      </w:r>
      <w:proofErr w:type="spellEnd"/>
      <w:r w:rsidRPr="000E4FE6">
        <w:rPr>
          <w:rFonts w:ascii="Times New Roman" w:hAnsi="Times New Roman" w:cs="Times New Roman"/>
          <w:sz w:val="24"/>
          <w:szCs w:val="24"/>
        </w:rPr>
        <w:t>, Z. (2010). Validation of the Arabic version of the Cohen Perceived Stress Scale (PSS-10) among pregnant and postpartum women. </w:t>
      </w:r>
      <w:r w:rsidRPr="000E4FE6">
        <w:rPr>
          <w:rFonts w:ascii="Times New Roman" w:hAnsi="Times New Roman" w:cs="Times New Roman"/>
          <w:i/>
          <w:sz w:val="24"/>
          <w:szCs w:val="24"/>
        </w:rPr>
        <w:t>BMC Psychiatry</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 111. https://doi.org/10.1186/1471-244X-10-111</w:t>
      </w:r>
    </w:p>
    <w:p w14:paraId="00000CD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Chaix</w:t>
      </w:r>
      <w:proofErr w:type="spellEnd"/>
      <w:r w:rsidRPr="000E4FE6">
        <w:rPr>
          <w:rFonts w:ascii="Times New Roman" w:hAnsi="Times New Roman" w:cs="Times New Roman"/>
          <w:sz w:val="24"/>
          <w:szCs w:val="24"/>
        </w:rPr>
        <w:t xml:space="preserve">, A., Manoogian, E. N. C., </w:t>
      </w:r>
      <w:proofErr w:type="spellStart"/>
      <w:r w:rsidRPr="000E4FE6">
        <w:rPr>
          <w:rFonts w:ascii="Times New Roman" w:hAnsi="Times New Roman" w:cs="Times New Roman"/>
          <w:sz w:val="24"/>
          <w:szCs w:val="24"/>
        </w:rPr>
        <w:t>Melkani</w:t>
      </w:r>
      <w:proofErr w:type="spellEnd"/>
      <w:r w:rsidRPr="000E4FE6">
        <w:rPr>
          <w:rFonts w:ascii="Times New Roman" w:hAnsi="Times New Roman" w:cs="Times New Roman"/>
          <w:sz w:val="24"/>
          <w:szCs w:val="24"/>
        </w:rPr>
        <w:t>, G. C., and Panda, S. (2019). Time-Restricted Eating to Prevent and Manage Chronic Metabolic Diseases. </w:t>
      </w:r>
      <w:r w:rsidRPr="000E4FE6">
        <w:rPr>
          <w:rFonts w:ascii="Times New Roman" w:hAnsi="Times New Roman" w:cs="Times New Roman"/>
          <w:i/>
          <w:sz w:val="24"/>
          <w:szCs w:val="24"/>
        </w:rPr>
        <w:t>Annual Review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39</w:t>
      </w:r>
      <w:r w:rsidRPr="000E4FE6">
        <w:rPr>
          <w:rFonts w:ascii="Times New Roman" w:hAnsi="Times New Roman" w:cs="Times New Roman"/>
          <w:sz w:val="24"/>
          <w:szCs w:val="24"/>
        </w:rPr>
        <w:t>, 291–315. https://doi.org/10.1146/annurev-nutr-082018-124320</w:t>
      </w:r>
    </w:p>
    <w:p w14:paraId="00000CD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Chamorro, R., </w:t>
      </w:r>
      <w:proofErr w:type="spellStart"/>
      <w:r w:rsidRPr="000E4FE6">
        <w:rPr>
          <w:rFonts w:ascii="Times New Roman" w:hAnsi="Times New Roman" w:cs="Times New Roman"/>
          <w:sz w:val="24"/>
          <w:szCs w:val="24"/>
        </w:rPr>
        <w:t>Jouffe</w:t>
      </w:r>
      <w:proofErr w:type="spellEnd"/>
      <w:r w:rsidRPr="000E4FE6">
        <w:rPr>
          <w:rFonts w:ascii="Times New Roman" w:hAnsi="Times New Roman" w:cs="Times New Roman"/>
          <w:sz w:val="24"/>
          <w:szCs w:val="24"/>
        </w:rPr>
        <w:t xml:space="preserve">, C., Oster, H., </w:t>
      </w:r>
      <w:proofErr w:type="spellStart"/>
      <w:r w:rsidRPr="000E4FE6">
        <w:rPr>
          <w:rFonts w:ascii="Times New Roman" w:hAnsi="Times New Roman" w:cs="Times New Roman"/>
          <w:sz w:val="24"/>
          <w:szCs w:val="24"/>
        </w:rPr>
        <w:t>Uhlenhaut</w:t>
      </w:r>
      <w:proofErr w:type="spellEnd"/>
      <w:r w:rsidRPr="000E4FE6">
        <w:rPr>
          <w:rFonts w:ascii="Times New Roman" w:hAnsi="Times New Roman" w:cs="Times New Roman"/>
          <w:sz w:val="24"/>
          <w:szCs w:val="24"/>
        </w:rPr>
        <w:t xml:space="preserve">, N. H., and </w:t>
      </w:r>
      <w:proofErr w:type="spellStart"/>
      <w:r w:rsidRPr="000E4FE6">
        <w:rPr>
          <w:rFonts w:ascii="Times New Roman" w:hAnsi="Times New Roman" w:cs="Times New Roman"/>
          <w:sz w:val="24"/>
          <w:szCs w:val="24"/>
        </w:rPr>
        <w:t>Meyhöfer</w:t>
      </w:r>
      <w:proofErr w:type="spellEnd"/>
      <w:r w:rsidRPr="000E4FE6">
        <w:rPr>
          <w:rFonts w:ascii="Times New Roman" w:hAnsi="Times New Roman" w:cs="Times New Roman"/>
          <w:sz w:val="24"/>
          <w:szCs w:val="24"/>
        </w:rPr>
        <w:t xml:space="preserve">, S. M. (2023). When should I eat: A circadian view on food intake and metabolic </w:t>
      </w:r>
      <w:proofErr w:type="gramStart"/>
      <w:r w:rsidRPr="000E4FE6">
        <w:rPr>
          <w:rFonts w:ascii="Times New Roman" w:hAnsi="Times New Roman" w:cs="Times New Roman"/>
          <w:sz w:val="24"/>
          <w:szCs w:val="24"/>
        </w:rPr>
        <w:t>regulation.</w:t>
      </w:r>
      <w:proofErr w:type="gramEnd"/>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Acta </w:t>
      </w:r>
      <w:proofErr w:type="spellStart"/>
      <w:r w:rsidRPr="000E4FE6">
        <w:rPr>
          <w:rFonts w:ascii="Times New Roman" w:hAnsi="Times New Roman" w:cs="Times New Roman"/>
          <w:i/>
          <w:sz w:val="24"/>
          <w:szCs w:val="24"/>
        </w:rPr>
        <w:t>Physiologica</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237</w:t>
      </w:r>
      <w:r w:rsidRPr="000E4FE6">
        <w:rPr>
          <w:rFonts w:ascii="Times New Roman" w:hAnsi="Times New Roman" w:cs="Times New Roman"/>
          <w:sz w:val="24"/>
          <w:szCs w:val="24"/>
        </w:rPr>
        <w:t>(3), e13936. https://doi.org/10.1111/apha.13936</w:t>
      </w:r>
    </w:p>
    <w:p w14:paraId="00000CD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Chao, A., </w:t>
      </w:r>
      <w:proofErr w:type="spellStart"/>
      <w:r w:rsidRPr="000E4FE6">
        <w:rPr>
          <w:rFonts w:ascii="Times New Roman" w:hAnsi="Times New Roman" w:cs="Times New Roman"/>
          <w:sz w:val="24"/>
          <w:szCs w:val="24"/>
        </w:rPr>
        <w:t>Grilo</w:t>
      </w:r>
      <w:proofErr w:type="spellEnd"/>
      <w:r w:rsidRPr="000E4FE6">
        <w:rPr>
          <w:rFonts w:ascii="Times New Roman" w:hAnsi="Times New Roman" w:cs="Times New Roman"/>
          <w:sz w:val="24"/>
          <w:szCs w:val="24"/>
        </w:rPr>
        <w:t>, C. M., White, M. A., and Sinha, R. (2014). Food cravings, food intake, and weight status in a community-based sample.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(3), 478–482. https://doi.org/10.1016/j.eatbeh.2014.06.003</w:t>
      </w:r>
    </w:p>
    <w:p w14:paraId="00000CD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Chapelot</w:t>
      </w:r>
      <w:proofErr w:type="spellEnd"/>
      <w:r w:rsidRPr="000E4FE6">
        <w:rPr>
          <w:rFonts w:ascii="Times New Roman" w:hAnsi="Times New Roman" w:cs="Times New Roman"/>
          <w:sz w:val="24"/>
          <w:szCs w:val="24"/>
        </w:rPr>
        <w:t xml:space="preserve">, D. (2011). The role of snacking in energy balance: a </w:t>
      </w:r>
      <w:proofErr w:type="spellStart"/>
      <w:r w:rsidRPr="000E4FE6">
        <w:rPr>
          <w:rFonts w:ascii="Times New Roman" w:hAnsi="Times New Roman" w:cs="Times New Roman"/>
          <w:sz w:val="24"/>
          <w:szCs w:val="24"/>
        </w:rPr>
        <w:t>biobehavioral</w:t>
      </w:r>
      <w:proofErr w:type="spellEnd"/>
      <w:r w:rsidRPr="000E4FE6">
        <w:rPr>
          <w:rFonts w:ascii="Times New Roman" w:hAnsi="Times New Roman" w:cs="Times New Roman"/>
          <w:sz w:val="24"/>
          <w:szCs w:val="24"/>
        </w:rPr>
        <w:t xml:space="preserve"> approach. </w:t>
      </w:r>
      <w:r w:rsidRPr="000E4FE6">
        <w:rPr>
          <w:rFonts w:ascii="Times New Roman" w:hAnsi="Times New Roman" w:cs="Times New Roman"/>
          <w:i/>
          <w:sz w:val="24"/>
          <w:szCs w:val="24"/>
        </w:rPr>
        <w:t>The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141</w:t>
      </w:r>
      <w:r w:rsidRPr="000E4FE6">
        <w:rPr>
          <w:rFonts w:ascii="Times New Roman" w:hAnsi="Times New Roman" w:cs="Times New Roman"/>
          <w:sz w:val="24"/>
          <w:szCs w:val="24"/>
        </w:rPr>
        <w:t>(1), 158–162. https://doi.org/10.3945/jn.109.114330</w:t>
      </w:r>
    </w:p>
    <w:p w14:paraId="00000CD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Chaplin, K., and Smith, A. (2006). Definitions and perceptions of snacking.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47</w:t>
      </w:r>
      <w:r w:rsidRPr="000E4FE6">
        <w:rPr>
          <w:rFonts w:ascii="Times New Roman" w:hAnsi="Times New Roman" w:cs="Times New Roman"/>
          <w:sz w:val="24"/>
          <w:szCs w:val="24"/>
        </w:rPr>
        <w:t>(2), 260. https://doi.org/10.1016/j.appet.2006.07.014</w:t>
      </w:r>
    </w:p>
    <w:p w14:paraId="00000CD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Chellappa</w:t>
      </w:r>
      <w:proofErr w:type="spellEnd"/>
      <w:r w:rsidRPr="000E4FE6">
        <w:rPr>
          <w:rFonts w:ascii="Times New Roman" w:hAnsi="Times New Roman" w:cs="Times New Roman"/>
          <w:sz w:val="24"/>
          <w:szCs w:val="24"/>
        </w:rPr>
        <w:t xml:space="preserve">, S. L., Qian, J., </w:t>
      </w:r>
      <w:proofErr w:type="spellStart"/>
      <w:r w:rsidRPr="000E4FE6">
        <w:rPr>
          <w:rFonts w:ascii="Times New Roman" w:hAnsi="Times New Roman" w:cs="Times New Roman"/>
          <w:sz w:val="24"/>
          <w:szCs w:val="24"/>
        </w:rPr>
        <w:t>Vujovic</w:t>
      </w:r>
      <w:proofErr w:type="spellEnd"/>
      <w:r w:rsidRPr="000E4FE6">
        <w:rPr>
          <w:rFonts w:ascii="Times New Roman" w:hAnsi="Times New Roman" w:cs="Times New Roman"/>
          <w:sz w:val="24"/>
          <w:szCs w:val="24"/>
        </w:rPr>
        <w:t xml:space="preserve">, N., Morris, C. J., </w:t>
      </w:r>
      <w:proofErr w:type="spellStart"/>
      <w:r w:rsidRPr="000E4FE6">
        <w:rPr>
          <w:rFonts w:ascii="Times New Roman" w:hAnsi="Times New Roman" w:cs="Times New Roman"/>
          <w:sz w:val="24"/>
          <w:szCs w:val="24"/>
        </w:rPr>
        <w:t>Nedeltcheva</w:t>
      </w:r>
      <w:proofErr w:type="spellEnd"/>
      <w:r w:rsidRPr="000E4FE6">
        <w:rPr>
          <w:rFonts w:ascii="Times New Roman" w:hAnsi="Times New Roman" w:cs="Times New Roman"/>
          <w:sz w:val="24"/>
          <w:szCs w:val="24"/>
        </w:rPr>
        <w:t>, A., Nguyen, H., … Scheer, F. A. J. L. (2021). Daytime eating prevents internal circadian misalignment and glucose intolerance in night work. </w:t>
      </w:r>
      <w:r w:rsidRPr="000E4FE6">
        <w:rPr>
          <w:rFonts w:ascii="Times New Roman" w:hAnsi="Times New Roman" w:cs="Times New Roman"/>
          <w:i/>
          <w:sz w:val="24"/>
          <w:szCs w:val="24"/>
        </w:rPr>
        <w:t>Science Advances</w:t>
      </w:r>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(49), eabg9910. https://doi.org/10.1126/sciadv.abg9910</w:t>
      </w:r>
    </w:p>
    <w:p w14:paraId="00000CD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Chellappa</w:t>
      </w:r>
      <w:proofErr w:type="spellEnd"/>
      <w:r w:rsidRPr="000E4FE6">
        <w:rPr>
          <w:rFonts w:ascii="Times New Roman" w:hAnsi="Times New Roman" w:cs="Times New Roman"/>
          <w:sz w:val="24"/>
          <w:szCs w:val="24"/>
        </w:rPr>
        <w:t xml:space="preserve">, S. L., </w:t>
      </w:r>
      <w:proofErr w:type="spellStart"/>
      <w:r w:rsidRPr="000E4FE6">
        <w:rPr>
          <w:rFonts w:ascii="Times New Roman" w:hAnsi="Times New Roman" w:cs="Times New Roman"/>
          <w:sz w:val="24"/>
          <w:szCs w:val="24"/>
        </w:rPr>
        <w:t>Vujovic</w:t>
      </w:r>
      <w:proofErr w:type="spellEnd"/>
      <w:r w:rsidRPr="000E4FE6">
        <w:rPr>
          <w:rFonts w:ascii="Times New Roman" w:hAnsi="Times New Roman" w:cs="Times New Roman"/>
          <w:sz w:val="24"/>
          <w:szCs w:val="24"/>
        </w:rPr>
        <w:t>, N., Williams, J. S., and Scheer, F. A. J. L. (2019). Impact of circadian disruption on cardiovascular function and disease. </w:t>
      </w:r>
      <w:r w:rsidRPr="000E4FE6">
        <w:rPr>
          <w:rFonts w:ascii="Times New Roman" w:hAnsi="Times New Roman" w:cs="Times New Roman"/>
          <w:i/>
          <w:sz w:val="24"/>
          <w:szCs w:val="24"/>
        </w:rPr>
        <w:t>Trends in Endocrinology and Metabolism</w:t>
      </w:r>
      <w:r w:rsidRPr="000E4FE6">
        <w:rPr>
          <w:rFonts w:ascii="Times New Roman" w:hAnsi="Times New Roman" w:cs="Times New Roman"/>
          <w:sz w:val="24"/>
          <w:szCs w:val="24"/>
        </w:rPr>
        <w:t>, </w:t>
      </w:r>
      <w:r w:rsidRPr="000E4FE6">
        <w:rPr>
          <w:rFonts w:ascii="Times New Roman" w:hAnsi="Times New Roman" w:cs="Times New Roman"/>
          <w:i/>
          <w:sz w:val="24"/>
          <w:szCs w:val="24"/>
        </w:rPr>
        <w:t>30</w:t>
      </w:r>
      <w:r w:rsidRPr="000E4FE6">
        <w:rPr>
          <w:rFonts w:ascii="Times New Roman" w:hAnsi="Times New Roman" w:cs="Times New Roman"/>
          <w:sz w:val="24"/>
          <w:szCs w:val="24"/>
        </w:rPr>
        <w:t>(10), 767–779. https://doi.org/10.1016/j.tem.2019.07.008</w:t>
      </w:r>
    </w:p>
    <w:p w14:paraId="00000CD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Chen, M., Sun, Q., </w:t>
      </w:r>
      <w:proofErr w:type="spellStart"/>
      <w:r w:rsidRPr="000E4FE6">
        <w:rPr>
          <w:rFonts w:ascii="Times New Roman" w:hAnsi="Times New Roman" w:cs="Times New Roman"/>
          <w:sz w:val="24"/>
          <w:szCs w:val="24"/>
        </w:rPr>
        <w:t>Giovannucci</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Mozaffarian</w:t>
      </w:r>
      <w:proofErr w:type="spellEnd"/>
      <w:r w:rsidRPr="000E4FE6">
        <w:rPr>
          <w:rFonts w:ascii="Times New Roman" w:hAnsi="Times New Roman" w:cs="Times New Roman"/>
          <w:sz w:val="24"/>
          <w:szCs w:val="24"/>
        </w:rPr>
        <w:t>, D., Manson, J. E., Willett, W. C., and Hu, F. B. (2014). Dairy consumption and risk of type 2 diabetes: 3 cohorts of US adults and an updated meta-analysis. </w:t>
      </w:r>
      <w:r w:rsidRPr="000E4FE6">
        <w:rPr>
          <w:rFonts w:ascii="Times New Roman" w:hAnsi="Times New Roman" w:cs="Times New Roman"/>
          <w:i/>
          <w:sz w:val="24"/>
          <w:szCs w:val="24"/>
        </w:rPr>
        <w:t>BMC Medicine</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 215. https://doi.org/10.1186/s12916-014-0215-1</w:t>
      </w:r>
    </w:p>
    <w:p w14:paraId="00000CD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Chong, M. F.-F., </w:t>
      </w:r>
      <w:proofErr w:type="spellStart"/>
      <w:r w:rsidRPr="000E4FE6">
        <w:rPr>
          <w:rFonts w:ascii="Times New Roman" w:hAnsi="Times New Roman" w:cs="Times New Roman"/>
          <w:sz w:val="24"/>
          <w:szCs w:val="24"/>
        </w:rPr>
        <w:t>Ayob</w:t>
      </w:r>
      <w:proofErr w:type="spellEnd"/>
      <w:r w:rsidRPr="000E4FE6">
        <w:rPr>
          <w:rFonts w:ascii="Times New Roman" w:hAnsi="Times New Roman" w:cs="Times New Roman"/>
          <w:sz w:val="24"/>
          <w:szCs w:val="24"/>
        </w:rPr>
        <w:t xml:space="preserve">, M. N. M., Chong, K. J., Tai, E.-S., Khoo, C. M., </w:t>
      </w:r>
      <w:proofErr w:type="spellStart"/>
      <w:r w:rsidRPr="000E4FE6">
        <w:rPr>
          <w:rFonts w:ascii="Times New Roman" w:hAnsi="Times New Roman" w:cs="Times New Roman"/>
          <w:sz w:val="24"/>
          <w:szCs w:val="24"/>
        </w:rPr>
        <w:t>Leow</w:t>
      </w:r>
      <w:proofErr w:type="spellEnd"/>
      <w:r w:rsidRPr="000E4FE6">
        <w:rPr>
          <w:rFonts w:ascii="Times New Roman" w:hAnsi="Times New Roman" w:cs="Times New Roman"/>
          <w:sz w:val="24"/>
          <w:szCs w:val="24"/>
        </w:rPr>
        <w:t>, M. K.-S., … Khoo, E. Y.-H. (2016). Psychometric analysis of an eating behaviour questionnaire for an overweight and obese Chinese population in Singapore.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101</w:t>
      </w:r>
      <w:r w:rsidRPr="000E4FE6">
        <w:rPr>
          <w:rFonts w:ascii="Times New Roman" w:hAnsi="Times New Roman" w:cs="Times New Roman"/>
          <w:sz w:val="24"/>
          <w:szCs w:val="24"/>
        </w:rPr>
        <w:t>, 119–124. https://doi.org/10.1016/j.appet.2016.03.005</w:t>
      </w:r>
    </w:p>
    <w:p w14:paraId="00000CD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Christian, T. J. (2012). Trade-offs between commuting time and health-related activities. </w:t>
      </w:r>
      <w:r w:rsidRPr="000E4FE6">
        <w:rPr>
          <w:rFonts w:ascii="Times New Roman" w:hAnsi="Times New Roman" w:cs="Times New Roman"/>
          <w:i/>
          <w:sz w:val="24"/>
          <w:szCs w:val="24"/>
        </w:rPr>
        <w:t>Journal of Urban Health</w:t>
      </w:r>
      <w:r w:rsidRPr="000E4FE6">
        <w:rPr>
          <w:rFonts w:ascii="Times New Roman" w:hAnsi="Times New Roman" w:cs="Times New Roman"/>
          <w:sz w:val="24"/>
          <w:szCs w:val="24"/>
        </w:rPr>
        <w:t>, </w:t>
      </w:r>
      <w:r w:rsidRPr="000E4FE6">
        <w:rPr>
          <w:rFonts w:ascii="Times New Roman" w:hAnsi="Times New Roman" w:cs="Times New Roman"/>
          <w:i/>
          <w:sz w:val="24"/>
          <w:szCs w:val="24"/>
        </w:rPr>
        <w:t>89</w:t>
      </w:r>
      <w:r w:rsidRPr="000E4FE6">
        <w:rPr>
          <w:rFonts w:ascii="Times New Roman" w:hAnsi="Times New Roman" w:cs="Times New Roman"/>
          <w:sz w:val="24"/>
          <w:szCs w:val="24"/>
        </w:rPr>
        <w:t>(5), 746–757. https://doi.org/10.1007/s11524-012-9678-6</w:t>
      </w:r>
    </w:p>
    <w:p w14:paraId="00000CD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Cinotto</w:t>
      </w:r>
      <w:proofErr w:type="spellEnd"/>
      <w:r w:rsidRPr="000E4FE6">
        <w:rPr>
          <w:rFonts w:ascii="Times New Roman" w:hAnsi="Times New Roman" w:cs="Times New Roman"/>
          <w:sz w:val="24"/>
          <w:szCs w:val="24"/>
        </w:rPr>
        <w:t>, S. (2006). “Everyone would be around the table”: American family mealtimes in historical perspective, 1850–1960. </w:t>
      </w:r>
      <w:r w:rsidRPr="000E4FE6">
        <w:rPr>
          <w:rFonts w:ascii="Times New Roman" w:hAnsi="Times New Roman" w:cs="Times New Roman"/>
          <w:i/>
          <w:sz w:val="24"/>
          <w:szCs w:val="24"/>
        </w:rPr>
        <w:t>New Directions for Child and Adolescent Development</w:t>
      </w:r>
      <w:r w:rsidRPr="000E4FE6">
        <w:rPr>
          <w:rFonts w:ascii="Times New Roman" w:hAnsi="Times New Roman" w:cs="Times New Roman"/>
          <w:sz w:val="24"/>
          <w:szCs w:val="24"/>
        </w:rPr>
        <w:t>, </w:t>
      </w:r>
      <w:r w:rsidRPr="000E4FE6">
        <w:rPr>
          <w:rFonts w:ascii="Times New Roman" w:hAnsi="Times New Roman" w:cs="Times New Roman"/>
          <w:i/>
          <w:sz w:val="24"/>
          <w:szCs w:val="24"/>
        </w:rPr>
        <w:t>2006</w:t>
      </w:r>
      <w:r w:rsidRPr="000E4FE6">
        <w:rPr>
          <w:rFonts w:ascii="Times New Roman" w:hAnsi="Times New Roman" w:cs="Times New Roman"/>
          <w:sz w:val="24"/>
          <w:szCs w:val="24"/>
        </w:rPr>
        <w:t>(111), 17–33. https://doi.org/10.1002/cd.153</w:t>
      </w:r>
    </w:p>
    <w:p w14:paraId="00000CE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Clayton, D. J., and James, L. J. (2016). The effect of breakfast on appetite regulation, energy balance and exercise performance. </w:t>
      </w:r>
      <w:r w:rsidRPr="000E4FE6">
        <w:rPr>
          <w:rFonts w:ascii="Times New Roman" w:hAnsi="Times New Roman" w:cs="Times New Roman"/>
          <w:i/>
          <w:sz w:val="24"/>
          <w:szCs w:val="24"/>
        </w:rPr>
        <w:t>The Proceedings of the Nutrition Society</w:t>
      </w:r>
      <w:r w:rsidRPr="000E4FE6">
        <w:rPr>
          <w:rFonts w:ascii="Times New Roman" w:hAnsi="Times New Roman" w:cs="Times New Roman"/>
          <w:sz w:val="24"/>
          <w:szCs w:val="24"/>
        </w:rPr>
        <w:t>, </w:t>
      </w:r>
      <w:r w:rsidRPr="000E4FE6">
        <w:rPr>
          <w:rFonts w:ascii="Times New Roman" w:hAnsi="Times New Roman" w:cs="Times New Roman"/>
          <w:i/>
          <w:sz w:val="24"/>
          <w:szCs w:val="24"/>
        </w:rPr>
        <w:t>75</w:t>
      </w:r>
      <w:r w:rsidRPr="000E4FE6">
        <w:rPr>
          <w:rFonts w:ascii="Times New Roman" w:hAnsi="Times New Roman" w:cs="Times New Roman"/>
          <w:sz w:val="24"/>
          <w:szCs w:val="24"/>
        </w:rPr>
        <w:t>(3), 319–327. https://doi.org/10.1017/S0029665115004243</w:t>
      </w:r>
    </w:p>
    <w:p w14:paraId="00000CE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Cleghorn, C. L., Harrison, R. A., </w:t>
      </w:r>
      <w:proofErr w:type="spellStart"/>
      <w:r w:rsidRPr="000E4FE6">
        <w:rPr>
          <w:rFonts w:ascii="Times New Roman" w:hAnsi="Times New Roman" w:cs="Times New Roman"/>
          <w:sz w:val="24"/>
          <w:szCs w:val="24"/>
        </w:rPr>
        <w:t>Ransley</w:t>
      </w:r>
      <w:proofErr w:type="spellEnd"/>
      <w:r w:rsidRPr="000E4FE6">
        <w:rPr>
          <w:rFonts w:ascii="Times New Roman" w:hAnsi="Times New Roman" w:cs="Times New Roman"/>
          <w:sz w:val="24"/>
          <w:szCs w:val="24"/>
        </w:rPr>
        <w:t>, J. K., Wilkinson, S., Thomas, J., and Cade, J. E. (2016). Can a dietary quality score derived from a short-form FFQ assess dietary quality in UK adult population surveys?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(16), 2915–2923. https://doi.org/10.1017/S1368980016001099</w:t>
      </w:r>
    </w:p>
    <w:p w14:paraId="00000CE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Clifton, P. (2012). Effects of a high protein diet on body weight and comorbidities associated with obesity.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108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2</w:t>
      </w:r>
      <w:r w:rsidRPr="000E4FE6">
        <w:rPr>
          <w:rFonts w:ascii="Times New Roman" w:hAnsi="Times New Roman" w:cs="Times New Roman"/>
          <w:sz w:val="24"/>
          <w:szCs w:val="24"/>
        </w:rPr>
        <w:t>, S122-9. https://doi.org/10.1017/S0007114512002322</w:t>
      </w:r>
    </w:p>
    <w:p w14:paraId="00000CE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Cohen, D. A., and </w:t>
      </w:r>
      <w:proofErr w:type="spellStart"/>
      <w:r w:rsidRPr="000E4FE6">
        <w:rPr>
          <w:rFonts w:ascii="Times New Roman" w:hAnsi="Times New Roman" w:cs="Times New Roman"/>
          <w:sz w:val="24"/>
          <w:szCs w:val="24"/>
        </w:rPr>
        <w:t>Babey</w:t>
      </w:r>
      <w:proofErr w:type="spellEnd"/>
      <w:r w:rsidRPr="000E4FE6">
        <w:rPr>
          <w:rFonts w:ascii="Times New Roman" w:hAnsi="Times New Roman" w:cs="Times New Roman"/>
          <w:sz w:val="24"/>
          <w:szCs w:val="24"/>
        </w:rPr>
        <w:t>, S. H. (2012). Contextual influences on eating behaviours: heuristic processing and dietary choices.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13</w:t>
      </w:r>
      <w:r w:rsidRPr="000E4FE6">
        <w:rPr>
          <w:rFonts w:ascii="Times New Roman" w:hAnsi="Times New Roman" w:cs="Times New Roman"/>
          <w:sz w:val="24"/>
          <w:szCs w:val="24"/>
        </w:rPr>
        <w:t>(9), 766–779. https://doi.org/10.1111/j.1467-789X.2012.01001.x</w:t>
      </w:r>
    </w:p>
    <w:p w14:paraId="00000CE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Cohen, J. (1992). Statistical Power Analysis. </w:t>
      </w:r>
      <w:r w:rsidRPr="000E4FE6">
        <w:rPr>
          <w:rFonts w:ascii="Times New Roman" w:hAnsi="Times New Roman" w:cs="Times New Roman"/>
          <w:i/>
          <w:sz w:val="24"/>
          <w:szCs w:val="24"/>
        </w:rPr>
        <w:t>Current Directions in Psychological Science</w:t>
      </w:r>
      <w:r w:rsidRPr="000E4FE6">
        <w:rPr>
          <w:rFonts w:ascii="Times New Roman" w:hAnsi="Times New Roman" w:cs="Times New Roman"/>
          <w:sz w:val="24"/>
          <w:szCs w:val="24"/>
        </w:rPr>
        <w:t>, </w:t>
      </w:r>
      <w:r w:rsidRPr="000E4FE6">
        <w:rPr>
          <w:rFonts w:ascii="Times New Roman" w:hAnsi="Times New Roman" w:cs="Times New Roman"/>
          <w:i/>
          <w:sz w:val="24"/>
          <w:szCs w:val="24"/>
        </w:rPr>
        <w:t>1</w:t>
      </w:r>
      <w:r w:rsidRPr="000E4FE6">
        <w:rPr>
          <w:rFonts w:ascii="Times New Roman" w:hAnsi="Times New Roman" w:cs="Times New Roman"/>
          <w:sz w:val="24"/>
          <w:szCs w:val="24"/>
        </w:rPr>
        <w:t>(3), 98–101. https://doi.org/10.1111/1467-8721.ep10768783</w:t>
      </w:r>
    </w:p>
    <w:p w14:paraId="00000CE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Cohen, S., </w:t>
      </w:r>
      <w:proofErr w:type="spellStart"/>
      <w:r w:rsidRPr="000E4FE6">
        <w:rPr>
          <w:rFonts w:ascii="Times New Roman" w:hAnsi="Times New Roman" w:cs="Times New Roman"/>
          <w:sz w:val="24"/>
          <w:szCs w:val="24"/>
        </w:rPr>
        <w:t>Kamarck</w:t>
      </w:r>
      <w:proofErr w:type="spellEnd"/>
      <w:r w:rsidRPr="000E4FE6">
        <w:rPr>
          <w:rFonts w:ascii="Times New Roman" w:hAnsi="Times New Roman" w:cs="Times New Roman"/>
          <w:sz w:val="24"/>
          <w:szCs w:val="24"/>
        </w:rPr>
        <w:t xml:space="preserve">, T., and </w:t>
      </w:r>
      <w:proofErr w:type="spellStart"/>
      <w:r w:rsidRPr="000E4FE6">
        <w:rPr>
          <w:rFonts w:ascii="Times New Roman" w:hAnsi="Times New Roman" w:cs="Times New Roman"/>
          <w:sz w:val="24"/>
          <w:szCs w:val="24"/>
        </w:rPr>
        <w:t>Mermelstein</w:t>
      </w:r>
      <w:proofErr w:type="spellEnd"/>
      <w:r w:rsidRPr="000E4FE6">
        <w:rPr>
          <w:rFonts w:ascii="Times New Roman" w:hAnsi="Times New Roman" w:cs="Times New Roman"/>
          <w:sz w:val="24"/>
          <w:szCs w:val="24"/>
        </w:rPr>
        <w:t>, R. (1994). Perceived stress scale. </w:t>
      </w:r>
      <w:r w:rsidRPr="000E4FE6">
        <w:rPr>
          <w:rFonts w:ascii="Times New Roman" w:hAnsi="Times New Roman" w:cs="Times New Roman"/>
          <w:i/>
          <w:sz w:val="24"/>
          <w:szCs w:val="24"/>
        </w:rPr>
        <w:t>Measuring Stress: A Guide for Health and Social Scientists</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(2), 1–2.</w:t>
      </w:r>
    </w:p>
    <w:p w14:paraId="00000CE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Coll, A. P., Farooqi, I. S., and </w:t>
      </w:r>
      <w:proofErr w:type="spellStart"/>
      <w:r w:rsidRPr="000E4FE6">
        <w:rPr>
          <w:rFonts w:ascii="Times New Roman" w:hAnsi="Times New Roman" w:cs="Times New Roman"/>
          <w:sz w:val="24"/>
          <w:szCs w:val="24"/>
        </w:rPr>
        <w:t>O’Rahilly</w:t>
      </w:r>
      <w:proofErr w:type="spellEnd"/>
      <w:r w:rsidRPr="000E4FE6">
        <w:rPr>
          <w:rFonts w:ascii="Times New Roman" w:hAnsi="Times New Roman" w:cs="Times New Roman"/>
          <w:sz w:val="24"/>
          <w:szCs w:val="24"/>
        </w:rPr>
        <w:t>, S. (2007). The hormonal control of food intake. </w:t>
      </w:r>
      <w:r w:rsidRPr="000E4FE6">
        <w:rPr>
          <w:rFonts w:ascii="Times New Roman" w:hAnsi="Times New Roman" w:cs="Times New Roman"/>
          <w:i/>
          <w:sz w:val="24"/>
          <w:szCs w:val="24"/>
        </w:rPr>
        <w:t>Cell</w:t>
      </w:r>
      <w:r w:rsidRPr="000E4FE6">
        <w:rPr>
          <w:rFonts w:ascii="Times New Roman" w:hAnsi="Times New Roman" w:cs="Times New Roman"/>
          <w:sz w:val="24"/>
          <w:szCs w:val="24"/>
        </w:rPr>
        <w:t>, </w:t>
      </w:r>
      <w:r w:rsidRPr="000E4FE6">
        <w:rPr>
          <w:rFonts w:ascii="Times New Roman" w:hAnsi="Times New Roman" w:cs="Times New Roman"/>
          <w:i/>
          <w:sz w:val="24"/>
          <w:szCs w:val="24"/>
        </w:rPr>
        <w:t>129</w:t>
      </w:r>
      <w:r w:rsidRPr="000E4FE6">
        <w:rPr>
          <w:rFonts w:ascii="Times New Roman" w:hAnsi="Times New Roman" w:cs="Times New Roman"/>
          <w:sz w:val="24"/>
          <w:szCs w:val="24"/>
        </w:rPr>
        <w:t>(2), 251–262. https://doi.org/10.1016/j.cell.2007.04.001</w:t>
      </w:r>
    </w:p>
    <w:p w14:paraId="00000CE7" w14:textId="3741A736" w:rsidR="00CB4215"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Collins, J. A., and </w:t>
      </w:r>
      <w:proofErr w:type="spellStart"/>
      <w:r w:rsidRPr="000E4FE6">
        <w:rPr>
          <w:rFonts w:ascii="Times New Roman" w:hAnsi="Times New Roman" w:cs="Times New Roman"/>
          <w:sz w:val="24"/>
          <w:szCs w:val="24"/>
        </w:rPr>
        <w:t>Fauser</w:t>
      </w:r>
      <w:proofErr w:type="spellEnd"/>
      <w:r w:rsidRPr="000E4FE6">
        <w:rPr>
          <w:rFonts w:ascii="Times New Roman" w:hAnsi="Times New Roman" w:cs="Times New Roman"/>
          <w:sz w:val="24"/>
          <w:szCs w:val="24"/>
        </w:rPr>
        <w:t>, B. C. J. M. (2005). Balancing the strengths of systematic and narrative reviews. </w:t>
      </w:r>
      <w:r w:rsidRPr="000E4FE6">
        <w:rPr>
          <w:rFonts w:ascii="Times New Roman" w:hAnsi="Times New Roman" w:cs="Times New Roman"/>
          <w:i/>
          <w:sz w:val="24"/>
          <w:szCs w:val="24"/>
        </w:rPr>
        <w:t>Human Reproduction Update</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 xml:space="preserve">(2), 103–104. </w:t>
      </w:r>
      <w:hyperlink r:id="rId823" w:history="1">
        <w:r w:rsidR="00743AE7" w:rsidRPr="00CB0261">
          <w:rPr>
            <w:rStyle w:val="Hyperlink"/>
            <w:rFonts w:ascii="Times New Roman" w:hAnsi="Times New Roman" w:cs="Times New Roman"/>
            <w:sz w:val="24"/>
            <w:szCs w:val="24"/>
          </w:rPr>
          <w:t>https://doi.org/10.1093/humupd/dmh058</w:t>
        </w:r>
      </w:hyperlink>
    </w:p>
    <w:p w14:paraId="16762076" w14:textId="766CAC0B"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t xml:space="preserve">Colquhoun, H. L., </w:t>
      </w:r>
      <w:proofErr w:type="spellStart"/>
      <w:r w:rsidRPr="00743AE7">
        <w:rPr>
          <w:rFonts w:ascii="Times New Roman" w:hAnsi="Times New Roman" w:cs="Times New Roman"/>
          <w:sz w:val="24"/>
          <w:szCs w:val="24"/>
        </w:rPr>
        <w:t>Levac</w:t>
      </w:r>
      <w:proofErr w:type="spellEnd"/>
      <w:r w:rsidRPr="00743AE7">
        <w:rPr>
          <w:rFonts w:ascii="Times New Roman" w:hAnsi="Times New Roman" w:cs="Times New Roman"/>
          <w:sz w:val="24"/>
          <w:szCs w:val="24"/>
        </w:rPr>
        <w:t xml:space="preserve">, D., O’Brien, K. K., Straus, S., </w:t>
      </w:r>
      <w:proofErr w:type="spellStart"/>
      <w:r w:rsidRPr="00743AE7">
        <w:rPr>
          <w:rFonts w:ascii="Times New Roman" w:hAnsi="Times New Roman" w:cs="Times New Roman"/>
          <w:sz w:val="24"/>
          <w:szCs w:val="24"/>
        </w:rPr>
        <w:t>Tricco</w:t>
      </w:r>
      <w:proofErr w:type="spellEnd"/>
      <w:r w:rsidRPr="00743AE7">
        <w:rPr>
          <w:rFonts w:ascii="Times New Roman" w:hAnsi="Times New Roman" w:cs="Times New Roman"/>
          <w:sz w:val="24"/>
          <w:szCs w:val="24"/>
        </w:rPr>
        <w:t>, A. C., Perrier, L., … Moher, D. (2014). Scoping reviews: time for clarity in definition, methods, and reporting. Journal of Clinical Epidemiology, 67(12), 1291–1294. https://doi.org/10.1016/j.jclinepi.2014.03.013</w:t>
      </w:r>
    </w:p>
    <w:p w14:paraId="00000CE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Connor </w:t>
      </w:r>
      <w:proofErr w:type="spellStart"/>
      <w:r w:rsidRPr="000E4FE6">
        <w:rPr>
          <w:rFonts w:ascii="Times New Roman" w:hAnsi="Times New Roman" w:cs="Times New Roman"/>
          <w:sz w:val="24"/>
          <w:szCs w:val="24"/>
        </w:rPr>
        <w:t>Gorber</w:t>
      </w:r>
      <w:proofErr w:type="spellEnd"/>
      <w:r w:rsidRPr="000E4FE6">
        <w:rPr>
          <w:rFonts w:ascii="Times New Roman" w:hAnsi="Times New Roman" w:cs="Times New Roman"/>
          <w:sz w:val="24"/>
          <w:szCs w:val="24"/>
        </w:rPr>
        <w:t xml:space="preserve">, S., Tremblay, M., Moher, D., and </w:t>
      </w:r>
      <w:proofErr w:type="spellStart"/>
      <w:r w:rsidRPr="000E4FE6">
        <w:rPr>
          <w:rFonts w:ascii="Times New Roman" w:hAnsi="Times New Roman" w:cs="Times New Roman"/>
          <w:sz w:val="24"/>
          <w:szCs w:val="24"/>
        </w:rPr>
        <w:t>Gorber</w:t>
      </w:r>
      <w:proofErr w:type="spellEnd"/>
      <w:r w:rsidRPr="000E4FE6">
        <w:rPr>
          <w:rFonts w:ascii="Times New Roman" w:hAnsi="Times New Roman" w:cs="Times New Roman"/>
          <w:sz w:val="24"/>
          <w:szCs w:val="24"/>
        </w:rPr>
        <w:t>, B. (2007). A comparison of direct vs. self-report measures for assessing height, weight and body mass index: a systematic review.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8</w:t>
      </w:r>
      <w:r w:rsidRPr="000E4FE6">
        <w:rPr>
          <w:rFonts w:ascii="Times New Roman" w:hAnsi="Times New Roman" w:cs="Times New Roman"/>
          <w:sz w:val="24"/>
          <w:szCs w:val="24"/>
        </w:rPr>
        <w:t>(4), 307–326. https://doi.org/10.1111/j.1467-789X.2007.00347.x</w:t>
      </w:r>
    </w:p>
    <w:p w14:paraId="00000CE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Contento</w:t>
      </w:r>
      <w:proofErr w:type="spellEnd"/>
      <w:r w:rsidRPr="000E4FE6">
        <w:rPr>
          <w:rFonts w:ascii="Times New Roman" w:hAnsi="Times New Roman" w:cs="Times New Roman"/>
          <w:sz w:val="24"/>
          <w:szCs w:val="24"/>
        </w:rPr>
        <w:t xml:space="preserve">, I. R., </w:t>
      </w:r>
      <w:proofErr w:type="spellStart"/>
      <w:r w:rsidRPr="000E4FE6">
        <w:rPr>
          <w:rFonts w:ascii="Times New Roman" w:hAnsi="Times New Roman" w:cs="Times New Roman"/>
          <w:sz w:val="24"/>
          <w:szCs w:val="24"/>
        </w:rPr>
        <w:t>Zybert</w:t>
      </w:r>
      <w:proofErr w:type="spellEnd"/>
      <w:r w:rsidRPr="000E4FE6">
        <w:rPr>
          <w:rFonts w:ascii="Times New Roman" w:hAnsi="Times New Roman" w:cs="Times New Roman"/>
          <w:sz w:val="24"/>
          <w:szCs w:val="24"/>
        </w:rPr>
        <w:t xml:space="preserve">, P., and Williams, S. S. (2005). Relationship of cognitive restraint of eating and disinhibition to the quality of food choices of Latina women and their young </w:t>
      </w:r>
      <w:r w:rsidRPr="000E4FE6">
        <w:rPr>
          <w:rFonts w:ascii="Times New Roman" w:hAnsi="Times New Roman" w:cs="Times New Roman"/>
          <w:sz w:val="24"/>
          <w:szCs w:val="24"/>
        </w:rPr>
        <w:lastRenderedPageBreak/>
        <w:t>children. </w:t>
      </w:r>
      <w:r w:rsidRPr="000E4FE6">
        <w:rPr>
          <w:rFonts w:ascii="Times New Roman" w:hAnsi="Times New Roman" w:cs="Times New Roman"/>
          <w:i/>
          <w:sz w:val="24"/>
          <w:szCs w:val="24"/>
        </w:rPr>
        <w:t>Preventive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40</w:t>
      </w:r>
      <w:r w:rsidRPr="000E4FE6">
        <w:rPr>
          <w:rFonts w:ascii="Times New Roman" w:hAnsi="Times New Roman" w:cs="Times New Roman"/>
          <w:sz w:val="24"/>
          <w:szCs w:val="24"/>
        </w:rPr>
        <w:t>(3), 326–336. https://doi.org/10.1016/j.ypmed.2004.06.008</w:t>
      </w:r>
    </w:p>
    <w:p w14:paraId="00000CE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Cooper, Z, Fairburn, C. G., </w:t>
      </w:r>
      <w:proofErr w:type="spellStart"/>
      <w:r w:rsidRPr="000E4FE6">
        <w:rPr>
          <w:rFonts w:ascii="Times New Roman" w:hAnsi="Times New Roman" w:cs="Times New Roman"/>
          <w:sz w:val="24"/>
          <w:szCs w:val="24"/>
        </w:rPr>
        <w:t>Wadden</w:t>
      </w:r>
      <w:proofErr w:type="spellEnd"/>
      <w:r w:rsidRPr="000E4FE6">
        <w:rPr>
          <w:rFonts w:ascii="Times New Roman" w:hAnsi="Times New Roman" w:cs="Times New Roman"/>
          <w:sz w:val="24"/>
          <w:szCs w:val="24"/>
        </w:rPr>
        <w:t xml:space="preserve">, T. A., and </w:t>
      </w:r>
      <w:proofErr w:type="spellStart"/>
      <w:r w:rsidRPr="000E4FE6">
        <w:rPr>
          <w:rFonts w:ascii="Times New Roman" w:hAnsi="Times New Roman" w:cs="Times New Roman"/>
          <w:sz w:val="24"/>
          <w:szCs w:val="24"/>
        </w:rPr>
        <w:t>Stunkard</w:t>
      </w:r>
      <w:proofErr w:type="spellEnd"/>
      <w:r w:rsidRPr="000E4FE6">
        <w:rPr>
          <w:rFonts w:ascii="Times New Roman" w:hAnsi="Times New Roman" w:cs="Times New Roman"/>
          <w:sz w:val="24"/>
          <w:szCs w:val="24"/>
        </w:rPr>
        <w:t>, A. J. (2002). </w:t>
      </w:r>
      <w:r w:rsidRPr="000E4FE6">
        <w:rPr>
          <w:rFonts w:ascii="Times New Roman" w:hAnsi="Times New Roman" w:cs="Times New Roman"/>
          <w:i/>
          <w:sz w:val="24"/>
          <w:szCs w:val="24"/>
        </w:rPr>
        <w:t>Handbook of obesity treatment.</w:t>
      </w:r>
    </w:p>
    <w:p w14:paraId="00000CE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Cooper, </w:t>
      </w:r>
      <w:proofErr w:type="spellStart"/>
      <w:r w:rsidRPr="000E4FE6">
        <w:rPr>
          <w:rFonts w:ascii="Times New Roman" w:hAnsi="Times New Roman" w:cs="Times New Roman"/>
          <w:sz w:val="24"/>
          <w:szCs w:val="24"/>
        </w:rPr>
        <w:t>Zafra</w:t>
      </w:r>
      <w:proofErr w:type="spellEnd"/>
      <w:r w:rsidRPr="000E4FE6">
        <w:rPr>
          <w:rFonts w:ascii="Times New Roman" w:hAnsi="Times New Roman" w:cs="Times New Roman"/>
          <w:sz w:val="24"/>
          <w:szCs w:val="24"/>
        </w:rPr>
        <w:t xml:space="preserve">, Doll, H. A., Hawker, D. M., Byrne, S., Bonner, G., </w:t>
      </w:r>
      <w:proofErr w:type="spellStart"/>
      <w:r w:rsidRPr="000E4FE6">
        <w:rPr>
          <w:rFonts w:ascii="Times New Roman" w:hAnsi="Times New Roman" w:cs="Times New Roman"/>
          <w:sz w:val="24"/>
          <w:szCs w:val="24"/>
        </w:rPr>
        <w:t>Eeley</w:t>
      </w:r>
      <w:proofErr w:type="spellEnd"/>
      <w:r w:rsidRPr="000E4FE6">
        <w:rPr>
          <w:rFonts w:ascii="Times New Roman" w:hAnsi="Times New Roman" w:cs="Times New Roman"/>
          <w:sz w:val="24"/>
          <w:szCs w:val="24"/>
        </w:rPr>
        <w:t>, E., … Fairburn, C. G. (2010). Testing a new cognitive behavioural treatment for obesity: A randomized controlled trial with three-year follow-up. </w:t>
      </w:r>
      <w:r w:rsidRPr="000E4FE6">
        <w:rPr>
          <w:rFonts w:ascii="Times New Roman" w:hAnsi="Times New Roman" w:cs="Times New Roman"/>
          <w:i/>
          <w:sz w:val="24"/>
          <w:szCs w:val="24"/>
        </w:rPr>
        <w:t>Behaviour Research and Therapy</w:t>
      </w:r>
      <w:r w:rsidRPr="000E4FE6">
        <w:rPr>
          <w:rFonts w:ascii="Times New Roman" w:hAnsi="Times New Roman" w:cs="Times New Roman"/>
          <w:sz w:val="24"/>
          <w:szCs w:val="24"/>
        </w:rPr>
        <w:t>, </w:t>
      </w:r>
      <w:r w:rsidRPr="000E4FE6">
        <w:rPr>
          <w:rFonts w:ascii="Times New Roman" w:hAnsi="Times New Roman" w:cs="Times New Roman"/>
          <w:i/>
          <w:sz w:val="24"/>
          <w:szCs w:val="24"/>
        </w:rPr>
        <w:t>48</w:t>
      </w:r>
      <w:r w:rsidRPr="000E4FE6">
        <w:rPr>
          <w:rFonts w:ascii="Times New Roman" w:hAnsi="Times New Roman" w:cs="Times New Roman"/>
          <w:sz w:val="24"/>
          <w:szCs w:val="24"/>
        </w:rPr>
        <w:t>(8), 706–713. https://doi.org/10.1016/j.brat.2010.03.008</w:t>
      </w:r>
    </w:p>
    <w:p w14:paraId="00000CE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Corbalán-Tutau</w:t>
      </w:r>
      <w:proofErr w:type="spellEnd"/>
      <w:r w:rsidRPr="000E4FE6">
        <w:rPr>
          <w:rFonts w:ascii="Times New Roman" w:hAnsi="Times New Roman" w:cs="Times New Roman"/>
          <w:sz w:val="24"/>
          <w:szCs w:val="24"/>
        </w:rPr>
        <w:t xml:space="preserve">, D., Madrid, J. A., Nicolás, F., and </w:t>
      </w:r>
      <w:proofErr w:type="spellStart"/>
      <w:r w:rsidRPr="000E4FE6">
        <w:rPr>
          <w:rFonts w:ascii="Times New Roman" w:hAnsi="Times New Roman" w:cs="Times New Roman"/>
          <w:sz w:val="24"/>
          <w:szCs w:val="24"/>
        </w:rPr>
        <w:t>Garaulet</w:t>
      </w:r>
      <w:proofErr w:type="spellEnd"/>
      <w:r w:rsidRPr="000E4FE6">
        <w:rPr>
          <w:rFonts w:ascii="Times New Roman" w:hAnsi="Times New Roman" w:cs="Times New Roman"/>
          <w:sz w:val="24"/>
          <w:szCs w:val="24"/>
        </w:rPr>
        <w:t>, M. (2014). Daily profile in two circadian markers “melatonin and cortisol” and associations with metabolic syndrome components.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123</w:t>
      </w:r>
      <w:r w:rsidRPr="000E4FE6">
        <w:rPr>
          <w:rFonts w:ascii="Times New Roman" w:hAnsi="Times New Roman" w:cs="Times New Roman"/>
          <w:sz w:val="24"/>
          <w:szCs w:val="24"/>
        </w:rPr>
        <w:t>, 231–235. https://doi.org/10.1016/j.physbeh.2012.06.005</w:t>
      </w:r>
    </w:p>
    <w:p w14:paraId="00000CE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Cornell, C. E., Rodin, J., and Weingarten, H. (1989). Stimulus-induced eating when satiated.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45</w:t>
      </w:r>
      <w:r w:rsidRPr="000E4FE6">
        <w:rPr>
          <w:rFonts w:ascii="Times New Roman" w:hAnsi="Times New Roman" w:cs="Times New Roman"/>
          <w:sz w:val="24"/>
          <w:szCs w:val="24"/>
        </w:rPr>
        <w:t>(4), 695–704. https://doi.org/10.1016/0031-9384(89)90281-3</w:t>
      </w:r>
    </w:p>
    <w:p w14:paraId="00000CE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Cota, D., </w:t>
      </w:r>
      <w:proofErr w:type="spellStart"/>
      <w:r w:rsidRPr="000E4FE6">
        <w:rPr>
          <w:rFonts w:ascii="Times New Roman" w:hAnsi="Times New Roman" w:cs="Times New Roman"/>
          <w:sz w:val="24"/>
          <w:szCs w:val="24"/>
        </w:rPr>
        <w:t>Tschöp</w:t>
      </w:r>
      <w:proofErr w:type="spellEnd"/>
      <w:r w:rsidRPr="000E4FE6">
        <w:rPr>
          <w:rFonts w:ascii="Times New Roman" w:hAnsi="Times New Roman" w:cs="Times New Roman"/>
          <w:sz w:val="24"/>
          <w:szCs w:val="24"/>
        </w:rPr>
        <w:t xml:space="preserve">, M. H., Horvath, T. L., and Levine, A. S. (2006). Cannabinoids, opioids and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the molecular face of hedonism? </w:t>
      </w:r>
      <w:r w:rsidRPr="000E4FE6">
        <w:rPr>
          <w:rFonts w:ascii="Times New Roman" w:hAnsi="Times New Roman" w:cs="Times New Roman"/>
          <w:i/>
          <w:sz w:val="24"/>
          <w:szCs w:val="24"/>
        </w:rPr>
        <w:t>Brain Research Reviews</w:t>
      </w:r>
      <w:r w:rsidRPr="000E4FE6">
        <w:rPr>
          <w:rFonts w:ascii="Times New Roman" w:hAnsi="Times New Roman" w:cs="Times New Roman"/>
          <w:sz w:val="24"/>
          <w:szCs w:val="24"/>
        </w:rPr>
        <w:t>, </w:t>
      </w:r>
      <w:r w:rsidRPr="000E4FE6">
        <w:rPr>
          <w:rFonts w:ascii="Times New Roman" w:hAnsi="Times New Roman" w:cs="Times New Roman"/>
          <w:i/>
          <w:sz w:val="24"/>
          <w:szCs w:val="24"/>
        </w:rPr>
        <w:t>51</w:t>
      </w:r>
      <w:r w:rsidRPr="000E4FE6">
        <w:rPr>
          <w:rFonts w:ascii="Times New Roman" w:hAnsi="Times New Roman" w:cs="Times New Roman"/>
          <w:sz w:val="24"/>
          <w:szCs w:val="24"/>
        </w:rPr>
        <w:t>(1), 85–107. https://doi.org/10.1016/j.brainresrev.2005.10.004</w:t>
      </w:r>
    </w:p>
    <w:p w14:paraId="00000CE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Craighead</w:t>
      </w:r>
      <w:proofErr w:type="spellEnd"/>
      <w:r w:rsidRPr="000E4FE6">
        <w:rPr>
          <w:rFonts w:ascii="Times New Roman" w:hAnsi="Times New Roman" w:cs="Times New Roman"/>
          <w:sz w:val="24"/>
          <w:szCs w:val="24"/>
        </w:rPr>
        <w:t xml:space="preserve">, L. W., and Allen, H. N. (1995). Appetite awareness training: A cognitive </w:t>
      </w:r>
      <w:proofErr w:type="spellStart"/>
      <w:r w:rsidRPr="000E4FE6">
        <w:rPr>
          <w:rFonts w:ascii="Times New Roman" w:hAnsi="Times New Roman" w:cs="Times New Roman"/>
          <w:sz w:val="24"/>
          <w:szCs w:val="24"/>
        </w:rPr>
        <w:t>behavioral</w:t>
      </w:r>
      <w:proofErr w:type="spellEnd"/>
      <w:r w:rsidRPr="000E4FE6">
        <w:rPr>
          <w:rFonts w:ascii="Times New Roman" w:hAnsi="Times New Roman" w:cs="Times New Roman"/>
          <w:sz w:val="24"/>
          <w:szCs w:val="24"/>
        </w:rPr>
        <w:t xml:space="preserve"> intervention for binge eating. </w:t>
      </w:r>
      <w:r w:rsidRPr="000E4FE6">
        <w:rPr>
          <w:rFonts w:ascii="Times New Roman" w:hAnsi="Times New Roman" w:cs="Times New Roman"/>
          <w:i/>
          <w:sz w:val="24"/>
          <w:szCs w:val="24"/>
        </w:rPr>
        <w:t xml:space="preserve">Cognitive and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Practice</w:t>
      </w:r>
      <w:r w:rsidRPr="000E4FE6">
        <w:rPr>
          <w:rFonts w:ascii="Times New Roman" w:hAnsi="Times New Roman" w:cs="Times New Roman"/>
          <w:sz w:val="24"/>
          <w:szCs w:val="24"/>
        </w:rPr>
        <w:t>, </w:t>
      </w:r>
      <w:r w:rsidRPr="000E4FE6">
        <w:rPr>
          <w:rFonts w:ascii="Times New Roman" w:hAnsi="Times New Roman" w:cs="Times New Roman"/>
          <w:i/>
          <w:sz w:val="24"/>
          <w:szCs w:val="24"/>
        </w:rPr>
        <w:t>2</w:t>
      </w:r>
      <w:r w:rsidRPr="000E4FE6">
        <w:rPr>
          <w:rFonts w:ascii="Times New Roman" w:hAnsi="Times New Roman" w:cs="Times New Roman"/>
          <w:sz w:val="24"/>
          <w:szCs w:val="24"/>
        </w:rPr>
        <w:t>(2), 249–270. https://doi.org/10.1016/S1077-7229(95)80013-1</w:t>
      </w:r>
    </w:p>
    <w:p w14:paraId="00000CF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Crawford, D., Ball, K., Mishra, G., Salmon, J., and Timperio, A. (2007). Which food-related behaviours are associated with healthier intakes of fruits and vegetables among women?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(3), 256–265. https://doi.org/10.1017/S1368980007246798</w:t>
      </w:r>
    </w:p>
    <w:p w14:paraId="00000CF1" w14:textId="421113E3" w:rsidR="00CB4215"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Creswell, J. W., and Clark, V. L. (2017). Designing and conducting mixed methods research. </w:t>
      </w:r>
      <w:r w:rsidRPr="000E4FE6">
        <w:rPr>
          <w:rFonts w:ascii="Times New Roman" w:hAnsi="Times New Roman" w:cs="Times New Roman"/>
          <w:i/>
          <w:sz w:val="24"/>
          <w:szCs w:val="24"/>
        </w:rPr>
        <w:t>Designing and Conducting Mixed Methods Research</w:t>
      </w:r>
      <w:r w:rsidRPr="000E4FE6">
        <w:rPr>
          <w:rFonts w:ascii="Times New Roman" w:hAnsi="Times New Roman" w:cs="Times New Roman"/>
          <w:sz w:val="24"/>
          <w:szCs w:val="24"/>
        </w:rPr>
        <w:t>.</w:t>
      </w:r>
    </w:p>
    <w:p w14:paraId="2434C8E7" w14:textId="553DC0C6"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t>Cronin, P., Ryan, F., and Coughlan, M. (2008). Undertaking a literature review: A step-by-step approach. British Journal of Nursing, 17(1), 38–43. https://doi.org/10.12968/bjon.2008.17.1.28059</w:t>
      </w:r>
    </w:p>
    <w:p w14:paraId="00000CF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Crüwell</w:t>
      </w:r>
      <w:proofErr w:type="spellEnd"/>
      <w:r w:rsidRPr="000E4FE6">
        <w:rPr>
          <w:rFonts w:ascii="Times New Roman" w:hAnsi="Times New Roman" w:cs="Times New Roman"/>
          <w:sz w:val="24"/>
          <w:szCs w:val="24"/>
        </w:rPr>
        <w:t xml:space="preserve">, S., van </w:t>
      </w:r>
      <w:proofErr w:type="spellStart"/>
      <w:r w:rsidRPr="000E4FE6">
        <w:rPr>
          <w:rFonts w:ascii="Times New Roman" w:hAnsi="Times New Roman" w:cs="Times New Roman"/>
          <w:sz w:val="24"/>
          <w:szCs w:val="24"/>
        </w:rPr>
        <w:t>Doorn</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Etz</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Makel</w:t>
      </w:r>
      <w:proofErr w:type="spellEnd"/>
      <w:r w:rsidRPr="000E4FE6">
        <w:rPr>
          <w:rFonts w:ascii="Times New Roman" w:hAnsi="Times New Roman" w:cs="Times New Roman"/>
          <w:sz w:val="24"/>
          <w:szCs w:val="24"/>
        </w:rPr>
        <w:t xml:space="preserve">, M. C., </w:t>
      </w:r>
      <w:proofErr w:type="spellStart"/>
      <w:r w:rsidRPr="000E4FE6">
        <w:rPr>
          <w:rFonts w:ascii="Times New Roman" w:hAnsi="Times New Roman" w:cs="Times New Roman"/>
          <w:sz w:val="24"/>
          <w:szCs w:val="24"/>
        </w:rPr>
        <w:t>Moshontz</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Niebaum</w:t>
      </w:r>
      <w:proofErr w:type="spellEnd"/>
      <w:r w:rsidRPr="000E4FE6">
        <w:rPr>
          <w:rFonts w:ascii="Times New Roman" w:hAnsi="Times New Roman" w:cs="Times New Roman"/>
          <w:sz w:val="24"/>
          <w:szCs w:val="24"/>
        </w:rPr>
        <w:t>, J. C., … Schulte-</w:t>
      </w:r>
      <w:proofErr w:type="spellStart"/>
      <w:r w:rsidRPr="000E4FE6">
        <w:rPr>
          <w:rFonts w:ascii="Times New Roman" w:hAnsi="Times New Roman" w:cs="Times New Roman"/>
          <w:sz w:val="24"/>
          <w:szCs w:val="24"/>
        </w:rPr>
        <w:t>Mecklenbeck</w:t>
      </w:r>
      <w:proofErr w:type="spellEnd"/>
      <w:r w:rsidRPr="000E4FE6">
        <w:rPr>
          <w:rFonts w:ascii="Times New Roman" w:hAnsi="Times New Roman" w:cs="Times New Roman"/>
          <w:sz w:val="24"/>
          <w:szCs w:val="24"/>
        </w:rPr>
        <w:t>, M. (2019). Seven easy steps to open science. </w:t>
      </w:r>
      <w:proofErr w:type="spellStart"/>
      <w:r w:rsidRPr="000E4FE6">
        <w:rPr>
          <w:rFonts w:ascii="Times New Roman" w:hAnsi="Times New Roman" w:cs="Times New Roman"/>
          <w:i/>
          <w:sz w:val="24"/>
          <w:szCs w:val="24"/>
        </w:rPr>
        <w:t>Zeitschrift</w:t>
      </w:r>
      <w:proofErr w:type="spellEnd"/>
      <w:r w:rsidRPr="000E4FE6">
        <w:rPr>
          <w:rFonts w:ascii="Times New Roman" w:hAnsi="Times New Roman" w:cs="Times New Roman"/>
          <w:i/>
          <w:sz w:val="24"/>
          <w:szCs w:val="24"/>
        </w:rPr>
        <w:t xml:space="preserve"> </w:t>
      </w:r>
      <w:proofErr w:type="spellStart"/>
      <w:r w:rsidRPr="000E4FE6">
        <w:rPr>
          <w:rFonts w:ascii="Times New Roman" w:hAnsi="Times New Roman" w:cs="Times New Roman"/>
          <w:i/>
          <w:sz w:val="24"/>
          <w:szCs w:val="24"/>
        </w:rPr>
        <w:t>Für</w:t>
      </w:r>
      <w:proofErr w:type="spellEnd"/>
      <w:r w:rsidRPr="000E4FE6">
        <w:rPr>
          <w:rFonts w:ascii="Times New Roman" w:hAnsi="Times New Roman" w:cs="Times New Roman"/>
          <w:i/>
          <w:sz w:val="24"/>
          <w:szCs w:val="24"/>
        </w:rPr>
        <w:t xml:space="preserve"> </w:t>
      </w:r>
      <w:proofErr w:type="spellStart"/>
      <w:r w:rsidRPr="000E4FE6">
        <w:rPr>
          <w:rFonts w:ascii="Times New Roman" w:hAnsi="Times New Roman" w:cs="Times New Roman"/>
          <w:i/>
          <w:sz w:val="24"/>
          <w:szCs w:val="24"/>
        </w:rPr>
        <w:t>Psychologie</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227</w:t>
      </w:r>
      <w:r w:rsidRPr="000E4FE6">
        <w:rPr>
          <w:rFonts w:ascii="Times New Roman" w:hAnsi="Times New Roman" w:cs="Times New Roman"/>
          <w:sz w:val="24"/>
          <w:szCs w:val="24"/>
        </w:rPr>
        <w:t>(4), 237–248. https://doi.org/10.1027/2151-2604/a000387</w:t>
      </w:r>
    </w:p>
    <w:p w14:paraId="00000CF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Culnan</w:t>
      </w:r>
      <w:proofErr w:type="spellEnd"/>
      <w:r w:rsidRPr="000E4FE6">
        <w:rPr>
          <w:rFonts w:ascii="Times New Roman" w:hAnsi="Times New Roman" w:cs="Times New Roman"/>
          <w:sz w:val="24"/>
          <w:szCs w:val="24"/>
        </w:rPr>
        <w:t>, E., Reid, K. J., Zee, P. C., Crowley, S. J., and Baron, K. G. (2021). Meal timing relative to DLMO: Associations with BMI and body fat. </w:t>
      </w:r>
      <w:r w:rsidRPr="000E4FE6">
        <w:rPr>
          <w:rFonts w:ascii="Times New Roman" w:hAnsi="Times New Roman" w:cs="Times New Roman"/>
          <w:i/>
          <w:sz w:val="24"/>
          <w:szCs w:val="24"/>
        </w:rPr>
        <w:t>Sleep Health</w:t>
      </w:r>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(3), 339–344. https://doi.org/10.1016/j.sleh.2021.01.001</w:t>
      </w:r>
    </w:p>
    <w:p w14:paraId="00000CF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Curtis, K. E., </w:t>
      </w:r>
      <w:proofErr w:type="spellStart"/>
      <w:r w:rsidRPr="000E4FE6">
        <w:rPr>
          <w:rFonts w:ascii="Times New Roman" w:hAnsi="Times New Roman" w:cs="Times New Roman"/>
          <w:sz w:val="24"/>
          <w:szCs w:val="24"/>
        </w:rPr>
        <w:t>Lahiri</w:t>
      </w:r>
      <w:proofErr w:type="spellEnd"/>
      <w:r w:rsidRPr="000E4FE6">
        <w:rPr>
          <w:rFonts w:ascii="Times New Roman" w:hAnsi="Times New Roman" w:cs="Times New Roman"/>
          <w:sz w:val="24"/>
          <w:szCs w:val="24"/>
        </w:rPr>
        <w:t>, S., and Brown, K. E. (2015). Targeting Parents for Childhood Weight Management: Development of a Theory-Driven and User-</w:t>
      </w:r>
      <w:proofErr w:type="spellStart"/>
      <w:r w:rsidRPr="000E4FE6">
        <w:rPr>
          <w:rFonts w:ascii="Times New Roman" w:hAnsi="Times New Roman" w:cs="Times New Roman"/>
          <w:sz w:val="24"/>
          <w:szCs w:val="24"/>
        </w:rPr>
        <w:t>Centered</w:t>
      </w:r>
      <w:proofErr w:type="spellEnd"/>
      <w:r w:rsidRPr="000E4FE6">
        <w:rPr>
          <w:rFonts w:ascii="Times New Roman" w:hAnsi="Times New Roman" w:cs="Times New Roman"/>
          <w:sz w:val="24"/>
          <w:szCs w:val="24"/>
        </w:rPr>
        <w:t xml:space="preserve"> Healthy Eating App. </w:t>
      </w:r>
      <w:r w:rsidRPr="000E4FE6">
        <w:rPr>
          <w:rFonts w:ascii="Times New Roman" w:hAnsi="Times New Roman" w:cs="Times New Roman"/>
          <w:i/>
          <w:sz w:val="24"/>
          <w:szCs w:val="24"/>
        </w:rPr>
        <w:t xml:space="preserve">JMIR MHealth and </w:t>
      </w:r>
      <w:proofErr w:type="spellStart"/>
      <w:r w:rsidRPr="000E4FE6">
        <w:rPr>
          <w:rFonts w:ascii="Times New Roman" w:hAnsi="Times New Roman" w:cs="Times New Roman"/>
          <w:i/>
          <w:sz w:val="24"/>
          <w:szCs w:val="24"/>
        </w:rPr>
        <w:t>UHealth</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(2), e69. https://doi.org/10.2196/mhealth.3857</w:t>
      </w:r>
    </w:p>
    <w:p w14:paraId="00000CF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Dakanalis</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Mentzelou</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Papadopoulou</w:t>
      </w:r>
      <w:proofErr w:type="spellEnd"/>
      <w:r w:rsidRPr="000E4FE6">
        <w:rPr>
          <w:rFonts w:ascii="Times New Roman" w:hAnsi="Times New Roman" w:cs="Times New Roman"/>
          <w:sz w:val="24"/>
          <w:szCs w:val="24"/>
        </w:rPr>
        <w:t xml:space="preserve">, S. K., Papandreou, D., </w:t>
      </w:r>
      <w:proofErr w:type="spellStart"/>
      <w:r w:rsidRPr="000E4FE6">
        <w:rPr>
          <w:rFonts w:ascii="Times New Roman" w:hAnsi="Times New Roman" w:cs="Times New Roman"/>
          <w:sz w:val="24"/>
          <w:szCs w:val="24"/>
        </w:rPr>
        <w:t>Spanoudaki</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Vasios</w:t>
      </w:r>
      <w:proofErr w:type="spellEnd"/>
      <w:r w:rsidRPr="000E4FE6">
        <w:rPr>
          <w:rFonts w:ascii="Times New Roman" w:hAnsi="Times New Roman" w:cs="Times New Roman"/>
          <w:sz w:val="24"/>
          <w:szCs w:val="24"/>
        </w:rPr>
        <w:t xml:space="preserve">, G. K., … </w:t>
      </w:r>
      <w:proofErr w:type="spellStart"/>
      <w:r w:rsidRPr="000E4FE6">
        <w:rPr>
          <w:rFonts w:ascii="Times New Roman" w:hAnsi="Times New Roman" w:cs="Times New Roman"/>
          <w:sz w:val="24"/>
          <w:szCs w:val="24"/>
        </w:rPr>
        <w:t>Giaginis</w:t>
      </w:r>
      <w:proofErr w:type="spellEnd"/>
      <w:r w:rsidRPr="000E4FE6">
        <w:rPr>
          <w:rFonts w:ascii="Times New Roman" w:hAnsi="Times New Roman" w:cs="Times New Roman"/>
          <w:sz w:val="24"/>
          <w:szCs w:val="24"/>
        </w:rPr>
        <w:t>, C. (2023). The Association of Emotional Eating with Overweight/Obesity, Depression, Anxiety/Stress, and Dietary Patterns: A Review of the Current Clinical Evidence.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(5). https://doi.org/10.3390/nu15051173</w:t>
      </w:r>
    </w:p>
    <w:p w14:paraId="00000CF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Dakin, C., Beaulieu, K., Hopkins, M., Gibbons, C., Finlayson, G., and Stubbs, R. J. (2023). Do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traits predict energy intake and body mass index? A systematic review and meta-analysis.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24</w:t>
      </w:r>
      <w:r w:rsidRPr="000E4FE6">
        <w:rPr>
          <w:rFonts w:ascii="Times New Roman" w:hAnsi="Times New Roman" w:cs="Times New Roman"/>
          <w:sz w:val="24"/>
          <w:szCs w:val="24"/>
        </w:rPr>
        <w:t>(1), e13515. https://doi.org/10.1111/obr.13515</w:t>
      </w:r>
    </w:p>
    <w:p w14:paraId="00000CF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Dalton, M, Finlayson, G., Hill, A., and Blundell, J. (2015). Preliminary validation and principal components analysis of the Control of Eating Questionnaire (</w:t>
      </w:r>
      <w:proofErr w:type="spellStart"/>
      <w:r w:rsidRPr="000E4FE6">
        <w:rPr>
          <w:rFonts w:ascii="Times New Roman" w:hAnsi="Times New Roman" w:cs="Times New Roman"/>
          <w:sz w:val="24"/>
          <w:szCs w:val="24"/>
        </w:rPr>
        <w:t>CoEQ</w:t>
      </w:r>
      <w:proofErr w:type="spellEnd"/>
      <w:r w:rsidRPr="000E4FE6">
        <w:rPr>
          <w:rFonts w:ascii="Times New Roman" w:hAnsi="Times New Roman" w:cs="Times New Roman"/>
          <w:sz w:val="24"/>
          <w:szCs w:val="24"/>
        </w:rPr>
        <w:t>) for the experience of food craving. </w:t>
      </w:r>
      <w:r w:rsidRPr="000E4FE6">
        <w:rPr>
          <w:rFonts w:ascii="Times New Roman" w:hAnsi="Times New Roman" w:cs="Times New Roman"/>
          <w:i/>
          <w:sz w:val="24"/>
          <w:szCs w:val="24"/>
        </w:rPr>
        <w:t>European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69</w:t>
      </w:r>
      <w:r w:rsidRPr="000E4FE6">
        <w:rPr>
          <w:rFonts w:ascii="Times New Roman" w:hAnsi="Times New Roman" w:cs="Times New Roman"/>
          <w:sz w:val="24"/>
          <w:szCs w:val="24"/>
        </w:rPr>
        <w:t>(12), 1313–1317. https://doi.org/10.1038/ejcn.2015.57</w:t>
      </w:r>
    </w:p>
    <w:p w14:paraId="00000CF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Dalton, M, Finlayson, G., Walsh, B., </w:t>
      </w:r>
      <w:proofErr w:type="spellStart"/>
      <w:r w:rsidRPr="000E4FE6">
        <w:rPr>
          <w:rFonts w:ascii="Times New Roman" w:hAnsi="Times New Roman" w:cs="Times New Roman"/>
          <w:sz w:val="24"/>
          <w:szCs w:val="24"/>
        </w:rPr>
        <w:t>Halseth</w:t>
      </w:r>
      <w:proofErr w:type="spellEnd"/>
      <w:r w:rsidRPr="000E4FE6">
        <w:rPr>
          <w:rFonts w:ascii="Times New Roman" w:hAnsi="Times New Roman" w:cs="Times New Roman"/>
          <w:sz w:val="24"/>
          <w:szCs w:val="24"/>
        </w:rPr>
        <w:t xml:space="preserve">, A. E., Duarte, C., and Blundell, J. E. (2017). Early improvement in food cravings </w:t>
      </w:r>
      <w:proofErr w:type="gramStart"/>
      <w:r w:rsidRPr="000E4FE6">
        <w:rPr>
          <w:rFonts w:ascii="Times New Roman" w:hAnsi="Times New Roman" w:cs="Times New Roman"/>
          <w:sz w:val="24"/>
          <w:szCs w:val="24"/>
        </w:rPr>
        <w:t>are</w:t>
      </w:r>
      <w:proofErr w:type="gramEnd"/>
      <w:r w:rsidRPr="000E4FE6">
        <w:rPr>
          <w:rFonts w:ascii="Times New Roman" w:hAnsi="Times New Roman" w:cs="Times New Roman"/>
          <w:sz w:val="24"/>
          <w:szCs w:val="24"/>
        </w:rPr>
        <w:t xml:space="preserve"> associated with long-term weight loss success in a large clinical sample.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41</w:t>
      </w:r>
      <w:r w:rsidRPr="000E4FE6">
        <w:rPr>
          <w:rFonts w:ascii="Times New Roman" w:hAnsi="Times New Roman" w:cs="Times New Roman"/>
          <w:sz w:val="24"/>
          <w:szCs w:val="24"/>
        </w:rPr>
        <w:t>(8), 1232–1236. https://doi.org/10.1038/ijo.2017.89</w:t>
      </w:r>
    </w:p>
    <w:p w14:paraId="00000CF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Dalton, Michelle, Hollingworth, S., Blundell, J., and Finlayson, G. (2015). Weak Satiety Responsiveness Is a Reliable Trait Associated with Hedonic Risk Factors for Overeating among Women.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(9), 7421–7436. https://doi.org/10.3390/nu7095345</w:t>
      </w:r>
    </w:p>
    <w:p w14:paraId="00000CF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Dashti</w:t>
      </w:r>
      <w:proofErr w:type="spellEnd"/>
      <w:r w:rsidRPr="000E4FE6">
        <w:rPr>
          <w:rFonts w:ascii="Times New Roman" w:hAnsi="Times New Roman" w:cs="Times New Roman"/>
          <w:sz w:val="24"/>
          <w:szCs w:val="24"/>
        </w:rPr>
        <w:t>, H. S., Gómez-</w:t>
      </w:r>
      <w:proofErr w:type="spellStart"/>
      <w:r w:rsidRPr="000E4FE6">
        <w:rPr>
          <w:rFonts w:ascii="Times New Roman" w:hAnsi="Times New Roman" w:cs="Times New Roman"/>
          <w:sz w:val="24"/>
          <w:szCs w:val="24"/>
        </w:rPr>
        <w:t>Abellán</w:t>
      </w:r>
      <w:proofErr w:type="spellEnd"/>
      <w:r w:rsidRPr="000E4FE6">
        <w:rPr>
          <w:rFonts w:ascii="Times New Roman" w:hAnsi="Times New Roman" w:cs="Times New Roman"/>
          <w:sz w:val="24"/>
          <w:szCs w:val="24"/>
        </w:rPr>
        <w:t xml:space="preserve">, P., Qian, J., Esteban, A., Morales, E., Scheer, F. A. J. L., and </w:t>
      </w:r>
      <w:proofErr w:type="spellStart"/>
      <w:r w:rsidRPr="000E4FE6">
        <w:rPr>
          <w:rFonts w:ascii="Times New Roman" w:hAnsi="Times New Roman" w:cs="Times New Roman"/>
          <w:sz w:val="24"/>
          <w:szCs w:val="24"/>
        </w:rPr>
        <w:t>Garaulet</w:t>
      </w:r>
      <w:proofErr w:type="spellEnd"/>
      <w:r w:rsidRPr="000E4FE6">
        <w:rPr>
          <w:rFonts w:ascii="Times New Roman" w:hAnsi="Times New Roman" w:cs="Times New Roman"/>
          <w:sz w:val="24"/>
          <w:szCs w:val="24"/>
        </w:rPr>
        <w:t xml:space="preserve">, M. (2021). Late eating is associated with cardiometabolic risk traits, obesogenic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and impaired weight loss.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113</w:t>
      </w:r>
      <w:r w:rsidRPr="000E4FE6">
        <w:rPr>
          <w:rFonts w:ascii="Times New Roman" w:hAnsi="Times New Roman" w:cs="Times New Roman"/>
          <w:sz w:val="24"/>
          <w:szCs w:val="24"/>
        </w:rPr>
        <w:t>(1), 154–161. https://doi.org/10.1093/ajcn/nqaa264</w:t>
      </w:r>
    </w:p>
    <w:p w14:paraId="00000CF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Dashti</w:t>
      </w:r>
      <w:proofErr w:type="spellEnd"/>
      <w:r w:rsidRPr="000E4FE6">
        <w:rPr>
          <w:rFonts w:ascii="Times New Roman" w:hAnsi="Times New Roman" w:cs="Times New Roman"/>
          <w:sz w:val="24"/>
          <w:szCs w:val="24"/>
        </w:rPr>
        <w:t xml:space="preserve">, H. S., Scheer, F. A. J. L., Saxena, R., and </w:t>
      </w:r>
      <w:proofErr w:type="spellStart"/>
      <w:r w:rsidRPr="000E4FE6">
        <w:rPr>
          <w:rFonts w:ascii="Times New Roman" w:hAnsi="Times New Roman" w:cs="Times New Roman"/>
          <w:sz w:val="24"/>
          <w:szCs w:val="24"/>
        </w:rPr>
        <w:t>Garaulet</w:t>
      </w:r>
      <w:proofErr w:type="spellEnd"/>
      <w:r w:rsidRPr="000E4FE6">
        <w:rPr>
          <w:rFonts w:ascii="Times New Roman" w:hAnsi="Times New Roman" w:cs="Times New Roman"/>
          <w:sz w:val="24"/>
          <w:szCs w:val="24"/>
        </w:rPr>
        <w:t>, M. (2019). Timing of food intake: identifying contributing factors to design effective interventions. </w:t>
      </w:r>
      <w:r w:rsidRPr="000E4FE6">
        <w:rPr>
          <w:rFonts w:ascii="Times New Roman" w:hAnsi="Times New Roman" w:cs="Times New Roman"/>
          <w:i/>
          <w:sz w:val="24"/>
          <w:szCs w:val="24"/>
        </w:rPr>
        <w:t>Advances in Nutrition (Bethesda, Md.)</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(4), 606–620. https://doi.org/10.1093/advances/nmy131</w:t>
      </w:r>
    </w:p>
    <w:p w14:paraId="00000CFC" w14:textId="0F7043B0" w:rsidR="00CB4215"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Dashti</w:t>
      </w:r>
      <w:proofErr w:type="spellEnd"/>
      <w:r w:rsidRPr="000E4FE6">
        <w:rPr>
          <w:rFonts w:ascii="Times New Roman" w:hAnsi="Times New Roman" w:cs="Times New Roman"/>
          <w:sz w:val="24"/>
          <w:szCs w:val="24"/>
        </w:rPr>
        <w:t xml:space="preserve">, H. S., Scheer, F. A., Jacques, P. F., Lamon-Fava, S., and </w:t>
      </w:r>
      <w:proofErr w:type="spellStart"/>
      <w:r w:rsidRPr="000E4FE6">
        <w:rPr>
          <w:rFonts w:ascii="Times New Roman" w:hAnsi="Times New Roman" w:cs="Times New Roman"/>
          <w:sz w:val="24"/>
          <w:szCs w:val="24"/>
        </w:rPr>
        <w:t>Ordovás</w:t>
      </w:r>
      <w:proofErr w:type="spellEnd"/>
      <w:r w:rsidRPr="000E4FE6">
        <w:rPr>
          <w:rFonts w:ascii="Times New Roman" w:hAnsi="Times New Roman" w:cs="Times New Roman"/>
          <w:sz w:val="24"/>
          <w:szCs w:val="24"/>
        </w:rPr>
        <w:t>, J. M. (2015). Short sleep duration and dietary intake: epidemiologic evidence, mechanisms, and health implications. </w:t>
      </w:r>
      <w:r w:rsidRPr="000E4FE6">
        <w:rPr>
          <w:rFonts w:ascii="Times New Roman" w:hAnsi="Times New Roman" w:cs="Times New Roman"/>
          <w:i/>
          <w:sz w:val="24"/>
          <w:szCs w:val="24"/>
        </w:rPr>
        <w:t>Advances in Nutrition (Bethesda, Md.)</w:t>
      </w:r>
      <w:r w:rsidRPr="000E4FE6">
        <w:rPr>
          <w:rFonts w:ascii="Times New Roman" w:hAnsi="Times New Roman" w:cs="Times New Roman"/>
          <w:sz w:val="24"/>
          <w:szCs w:val="24"/>
        </w:rPr>
        <w:t>, </w:t>
      </w:r>
      <w:r w:rsidRPr="000E4FE6">
        <w:rPr>
          <w:rFonts w:ascii="Times New Roman" w:hAnsi="Times New Roman" w:cs="Times New Roman"/>
          <w:i/>
          <w:sz w:val="24"/>
          <w:szCs w:val="24"/>
        </w:rPr>
        <w:t>6</w:t>
      </w:r>
      <w:r w:rsidRPr="000E4FE6">
        <w:rPr>
          <w:rFonts w:ascii="Times New Roman" w:hAnsi="Times New Roman" w:cs="Times New Roman"/>
          <w:sz w:val="24"/>
          <w:szCs w:val="24"/>
        </w:rPr>
        <w:t xml:space="preserve">(6), 648–659. </w:t>
      </w:r>
      <w:hyperlink r:id="rId824" w:history="1">
        <w:r w:rsidR="00743AE7" w:rsidRPr="00CB0261">
          <w:rPr>
            <w:rStyle w:val="Hyperlink"/>
            <w:rFonts w:ascii="Times New Roman" w:hAnsi="Times New Roman" w:cs="Times New Roman"/>
            <w:sz w:val="24"/>
            <w:szCs w:val="24"/>
          </w:rPr>
          <w:t>https://doi.org/10.3945/an.115.008623</w:t>
        </w:r>
      </w:hyperlink>
    </w:p>
    <w:p w14:paraId="0F81F220" w14:textId="09E58FE3" w:rsidR="00743AE7" w:rsidRDefault="00743AE7">
      <w:pPr>
        <w:spacing w:line="480" w:lineRule="auto"/>
        <w:ind w:left="737" w:hanging="720"/>
        <w:jc w:val="both"/>
        <w:rPr>
          <w:rFonts w:ascii="Times New Roman" w:hAnsi="Times New Roman" w:cs="Times New Roman"/>
          <w:sz w:val="24"/>
          <w:szCs w:val="24"/>
        </w:rPr>
      </w:pPr>
      <w:proofErr w:type="spellStart"/>
      <w:r w:rsidRPr="00743AE7">
        <w:rPr>
          <w:rFonts w:ascii="Times New Roman" w:hAnsi="Times New Roman" w:cs="Times New Roman"/>
          <w:sz w:val="24"/>
          <w:szCs w:val="24"/>
        </w:rPr>
        <w:t>Daudt</w:t>
      </w:r>
      <w:proofErr w:type="spellEnd"/>
      <w:r w:rsidRPr="00743AE7">
        <w:rPr>
          <w:rFonts w:ascii="Times New Roman" w:hAnsi="Times New Roman" w:cs="Times New Roman"/>
          <w:sz w:val="24"/>
          <w:szCs w:val="24"/>
        </w:rPr>
        <w:t xml:space="preserve">, H. M. L., van Mossel, C., and Scott, S. J. (2013). Enhancing the scoping study methodology: a large, inter-professional team’s experience with Arksey and O’Malley’s framework. BMC Medical Research Methodology, 13, 48. </w:t>
      </w:r>
      <w:hyperlink r:id="rId825" w:history="1">
        <w:r w:rsidRPr="00CB0261">
          <w:rPr>
            <w:rStyle w:val="Hyperlink"/>
            <w:rFonts w:ascii="Times New Roman" w:hAnsi="Times New Roman" w:cs="Times New Roman"/>
            <w:sz w:val="24"/>
            <w:szCs w:val="24"/>
          </w:rPr>
          <w:t>https://doi.org/10.1186/1471-2288-13-48</w:t>
        </w:r>
      </w:hyperlink>
    </w:p>
    <w:p w14:paraId="0B30BA38" w14:textId="62DDD548"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t>Davies, P. (2000). The relevance of systematic reviews to educational policy and practice. Oxford Review of Education, 26(3–4), 365–378. https://doi.org/10.1080/713688543</w:t>
      </w:r>
    </w:p>
    <w:p w14:paraId="00000CF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de Cabo, R., and Mattson, M. P. (2019). Effects of intermittent fasting on health, aging, and disease. </w:t>
      </w:r>
      <w:r w:rsidRPr="000E4FE6">
        <w:rPr>
          <w:rFonts w:ascii="Times New Roman" w:hAnsi="Times New Roman" w:cs="Times New Roman"/>
          <w:i/>
          <w:sz w:val="24"/>
          <w:szCs w:val="24"/>
        </w:rPr>
        <w:t>The New England Journal of Medicine</w:t>
      </w:r>
      <w:r w:rsidRPr="000E4FE6">
        <w:rPr>
          <w:rFonts w:ascii="Times New Roman" w:hAnsi="Times New Roman" w:cs="Times New Roman"/>
          <w:sz w:val="24"/>
          <w:szCs w:val="24"/>
        </w:rPr>
        <w:t>, </w:t>
      </w:r>
      <w:r w:rsidRPr="000E4FE6">
        <w:rPr>
          <w:rFonts w:ascii="Times New Roman" w:hAnsi="Times New Roman" w:cs="Times New Roman"/>
          <w:i/>
          <w:sz w:val="24"/>
          <w:szCs w:val="24"/>
        </w:rPr>
        <w:t>381</w:t>
      </w:r>
      <w:r w:rsidRPr="000E4FE6">
        <w:rPr>
          <w:rFonts w:ascii="Times New Roman" w:hAnsi="Times New Roman" w:cs="Times New Roman"/>
          <w:sz w:val="24"/>
          <w:szCs w:val="24"/>
        </w:rPr>
        <w:t>(26), 2541–2551. https://doi.org/10.1056/NEJMra1905136</w:t>
      </w:r>
    </w:p>
    <w:p w14:paraId="00000CF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de Carvalho, K. M. B., </w:t>
      </w:r>
      <w:proofErr w:type="spellStart"/>
      <w:r w:rsidRPr="000E4FE6">
        <w:rPr>
          <w:rFonts w:ascii="Times New Roman" w:hAnsi="Times New Roman" w:cs="Times New Roman"/>
          <w:sz w:val="24"/>
          <w:szCs w:val="24"/>
        </w:rPr>
        <w:t>Pizato</w:t>
      </w:r>
      <w:proofErr w:type="spellEnd"/>
      <w:r w:rsidRPr="000E4FE6">
        <w:rPr>
          <w:rFonts w:ascii="Times New Roman" w:hAnsi="Times New Roman" w:cs="Times New Roman"/>
          <w:sz w:val="24"/>
          <w:szCs w:val="24"/>
        </w:rPr>
        <w:t>, N., Botelho, P. B., Dutra, E. S., and Gonçalves, V. S. S. (2020). Dietary protein and appetite sensations in individuals with overweight and obesity: a systematic review. </w:t>
      </w:r>
      <w:r w:rsidRPr="000E4FE6">
        <w:rPr>
          <w:rFonts w:ascii="Times New Roman" w:hAnsi="Times New Roman" w:cs="Times New Roman"/>
          <w:i/>
          <w:sz w:val="24"/>
          <w:szCs w:val="24"/>
        </w:rPr>
        <w:t>European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59</w:t>
      </w:r>
      <w:r w:rsidRPr="000E4FE6">
        <w:rPr>
          <w:rFonts w:ascii="Times New Roman" w:hAnsi="Times New Roman" w:cs="Times New Roman"/>
          <w:sz w:val="24"/>
          <w:szCs w:val="24"/>
        </w:rPr>
        <w:t>(6), 2317–2332. https://doi.org/10.1007/s00394-020-02321-1</w:t>
      </w:r>
    </w:p>
    <w:p w14:paraId="00000CF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de Castro, J M, </w:t>
      </w:r>
      <w:proofErr w:type="spellStart"/>
      <w:r w:rsidRPr="000E4FE6">
        <w:rPr>
          <w:rFonts w:ascii="Times New Roman" w:hAnsi="Times New Roman" w:cs="Times New Roman"/>
          <w:sz w:val="24"/>
          <w:szCs w:val="24"/>
        </w:rPr>
        <w:t>Bellisle</w:t>
      </w:r>
      <w:proofErr w:type="spellEnd"/>
      <w:r w:rsidRPr="000E4FE6">
        <w:rPr>
          <w:rFonts w:ascii="Times New Roman" w:hAnsi="Times New Roman" w:cs="Times New Roman"/>
          <w:sz w:val="24"/>
          <w:szCs w:val="24"/>
        </w:rPr>
        <w:t xml:space="preserve">, F., </w:t>
      </w:r>
      <w:proofErr w:type="spellStart"/>
      <w:r w:rsidRPr="000E4FE6">
        <w:rPr>
          <w:rFonts w:ascii="Times New Roman" w:hAnsi="Times New Roman" w:cs="Times New Roman"/>
          <w:sz w:val="24"/>
          <w:szCs w:val="24"/>
        </w:rPr>
        <w:t>Dalix</w:t>
      </w:r>
      <w:proofErr w:type="spellEnd"/>
      <w:r w:rsidRPr="000E4FE6">
        <w:rPr>
          <w:rFonts w:ascii="Times New Roman" w:hAnsi="Times New Roman" w:cs="Times New Roman"/>
          <w:sz w:val="24"/>
          <w:szCs w:val="24"/>
        </w:rPr>
        <w:t xml:space="preserve">, A. M., and </w:t>
      </w:r>
      <w:proofErr w:type="spellStart"/>
      <w:r w:rsidRPr="000E4FE6">
        <w:rPr>
          <w:rFonts w:ascii="Times New Roman" w:hAnsi="Times New Roman" w:cs="Times New Roman"/>
          <w:sz w:val="24"/>
          <w:szCs w:val="24"/>
        </w:rPr>
        <w:t>Pearcey</w:t>
      </w:r>
      <w:proofErr w:type="spellEnd"/>
      <w:r w:rsidRPr="000E4FE6">
        <w:rPr>
          <w:rFonts w:ascii="Times New Roman" w:hAnsi="Times New Roman" w:cs="Times New Roman"/>
          <w:sz w:val="24"/>
          <w:szCs w:val="24"/>
        </w:rPr>
        <w:t>, S. M. (2000). Palatability and intake relationships in free-living humans. characterization and independence of influence in North Americans.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70</w:t>
      </w:r>
      <w:r w:rsidRPr="000E4FE6">
        <w:rPr>
          <w:rFonts w:ascii="Times New Roman" w:hAnsi="Times New Roman" w:cs="Times New Roman"/>
          <w:sz w:val="24"/>
          <w:szCs w:val="24"/>
        </w:rPr>
        <w:t>(3–4), 343–350. https://doi.org/10.1016/s0031-9384(00)00264-x</w:t>
      </w:r>
    </w:p>
    <w:p w14:paraId="00000D0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de Castro, John M. (2004). The time of day of food intake influences overall intake in humans. </w:t>
      </w:r>
      <w:r w:rsidRPr="000E4FE6">
        <w:rPr>
          <w:rFonts w:ascii="Times New Roman" w:hAnsi="Times New Roman" w:cs="Times New Roman"/>
          <w:i/>
          <w:sz w:val="24"/>
          <w:szCs w:val="24"/>
        </w:rPr>
        <w:t>The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134</w:t>
      </w:r>
      <w:r w:rsidRPr="000E4FE6">
        <w:rPr>
          <w:rFonts w:ascii="Times New Roman" w:hAnsi="Times New Roman" w:cs="Times New Roman"/>
          <w:sz w:val="24"/>
          <w:szCs w:val="24"/>
        </w:rPr>
        <w:t>(1), 104–111. https://doi.org/10.1093/jn/134.1.104</w:t>
      </w:r>
    </w:p>
    <w:p w14:paraId="00000D0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De Castro-</w:t>
      </w:r>
      <w:proofErr w:type="spellStart"/>
      <w:r w:rsidRPr="000E4FE6">
        <w:rPr>
          <w:rFonts w:ascii="Times New Roman" w:hAnsi="Times New Roman" w:cs="Times New Roman"/>
          <w:sz w:val="24"/>
          <w:szCs w:val="24"/>
        </w:rPr>
        <w:t>Orós</w:t>
      </w:r>
      <w:proofErr w:type="spellEnd"/>
      <w:r w:rsidRPr="000E4FE6">
        <w:rPr>
          <w:rFonts w:ascii="Times New Roman" w:hAnsi="Times New Roman" w:cs="Times New Roman"/>
          <w:sz w:val="24"/>
          <w:szCs w:val="24"/>
        </w:rPr>
        <w:t xml:space="preserve">, I., </w:t>
      </w:r>
      <w:proofErr w:type="spellStart"/>
      <w:r w:rsidRPr="000E4FE6">
        <w:rPr>
          <w:rFonts w:ascii="Times New Roman" w:hAnsi="Times New Roman" w:cs="Times New Roman"/>
          <w:sz w:val="24"/>
          <w:szCs w:val="24"/>
        </w:rPr>
        <w:t>Pocoví</w:t>
      </w:r>
      <w:proofErr w:type="spellEnd"/>
      <w:r w:rsidRPr="000E4FE6">
        <w:rPr>
          <w:rFonts w:ascii="Times New Roman" w:hAnsi="Times New Roman" w:cs="Times New Roman"/>
          <w:sz w:val="24"/>
          <w:szCs w:val="24"/>
        </w:rPr>
        <w:t xml:space="preserve">, M., and </w:t>
      </w:r>
      <w:proofErr w:type="spellStart"/>
      <w:r w:rsidRPr="000E4FE6">
        <w:rPr>
          <w:rFonts w:ascii="Times New Roman" w:hAnsi="Times New Roman" w:cs="Times New Roman"/>
          <w:sz w:val="24"/>
          <w:szCs w:val="24"/>
        </w:rPr>
        <w:t>Civeira</w:t>
      </w:r>
      <w:proofErr w:type="spellEnd"/>
      <w:r w:rsidRPr="000E4FE6">
        <w:rPr>
          <w:rFonts w:ascii="Times New Roman" w:hAnsi="Times New Roman" w:cs="Times New Roman"/>
          <w:sz w:val="24"/>
          <w:szCs w:val="24"/>
        </w:rPr>
        <w:t>, F. (2010). The genetic basis of familial hypercholesterolemia: inheritance, linkage, and mutations. </w:t>
      </w:r>
      <w:r w:rsidRPr="000E4FE6">
        <w:rPr>
          <w:rFonts w:ascii="Times New Roman" w:hAnsi="Times New Roman" w:cs="Times New Roman"/>
          <w:i/>
          <w:sz w:val="24"/>
          <w:szCs w:val="24"/>
        </w:rPr>
        <w:t>The Application of Clinical Genetics</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 53–64.</w:t>
      </w:r>
    </w:p>
    <w:p w14:paraId="00000D0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de </w:t>
      </w:r>
      <w:proofErr w:type="spellStart"/>
      <w:r w:rsidRPr="000E4FE6">
        <w:rPr>
          <w:rFonts w:ascii="Times New Roman" w:hAnsi="Times New Roman" w:cs="Times New Roman"/>
          <w:sz w:val="24"/>
          <w:szCs w:val="24"/>
        </w:rPr>
        <w:t>Krom</w:t>
      </w:r>
      <w:proofErr w:type="spellEnd"/>
      <w:r w:rsidRPr="000E4FE6">
        <w:rPr>
          <w:rFonts w:ascii="Times New Roman" w:hAnsi="Times New Roman" w:cs="Times New Roman"/>
          <w:sz w:val="24"/>
          <w:szCs w:val="24"/>
        </w:rPr>
        <w:t xml:space="preserve">, M., van der Schouw, Y. T., Hendriks, J., </w:t>
      </w:r>
      <w:proofErr w:type="spellStart"/>
      <w:r w:rsidRPr="000E4FE6">
        <w:rPr>
          <w:rFonts w:ascii="Times New Roman" w:hAnsi="Times New Roman" w:cs="Times New Roman"/>
          <w:sz w:val="24"/>
          <w:szCs w:val="24"/>
        </w:rPr>
        <w:t>Ophoff</w:t>
      </w:r>
      <w:proofErr w:type="spellEnd"/>
      <w:r w:rsidRPr="000E4FE6">
        <w:rPr>
          <w:rFonts w:ascii="Times New Roman" w:hAnsi="Times New Roman" w:cs="Times New Roman"/>
          <w:sz w:val="24"/>
          <w:szCs w:val="24"/>
        </w:rPr>
        <w:t xml:space="preserve">, R. A., van Gils, C. H., </w:t>
      </w:r>
      <w:proofErr w:type="spellStart"/>
      <w:r w:rsidRPr="000E4FE6">
        <w:rPr>
          <w:rFonts w:ascii="Times New Roman" w:hAnsi="Times New Roman" w:cs="Times New Roman"/>
          <w:sz w:val="24"/>
          <w:szCs w:val="24"/>
        </w:rPr>
        <w:t>Stolk</w:t>
      </w:r>
      <w:proofErr w:type="spellEnd"/>
      <w:r w:rsidRPr="000E4FE6">
        <w:rPr>
          <w:rFonts w:ascii="Times New Roman" w:hAnsi="Times New Roman" w:cs="Times New Roman"/>
          <w:sz w:val="24"/>
          <w:szCs w:val="24"/>
        </w:rPr>
        <w:t>, R. P., … Adan, R. (2007). Common genetic variations in CCK, leptin, and leptin receptor genes are associated with specific human eating patterns. </w:t>
      </w:r>
      <w:r w:rsidRPr="000E4FE6">
        <w:rPr>
          <w:rFonts w:ascii="Times New Roman" w:hAnsi="Times New Roman" w:cs="Times New Roman"/>
          <w:i/>
          <w:sz w:val="24"/>
          <w:szCs w:val="24"/>
        </w:rPr>
        <w:t>Diabetes</w:t>
      </w:r>
      <w:r w:rsidRPr="000E4FE6">
        <w:rPr>
          <w:rFonts w:ascii="Times New Roman" w:hAnsi="Times New Roman" w:cs="Times New Roman"/>
          <w:sz w:val="24"/>
          <w:szCs w:val="24"/>
        </w:rPr>
        <w:t>, </w:t>
      </w:r>
      <w:r w:rsidRPr="000E4FE6">
        <w:rPr>
          <w:rFonts w:ascii="Times New Roman" w:hAnsi="Times New Roman" w:cs="Times New Roman"/>
          <w:i/>
          <w:sz w:val="24"/>
          <w:szCs w:val="24"/>
        </w:rPr>
        <w:t>56</w:t>
      </w:r>
      <w:r w:rsidRPr="000E4FE6">
        <w:rPr>
          <w:rFonts w:ascii="Times New Roman" w:hAnsi="Times New Roman" w:cs="Times New Roman"/>
          <w:sz w:val="24"/>
          <w:szCs w:val="24"/>
        </w:rPr>
        <w:t>(1), 276–280. https://doi.org/10.2337/db06-0473</w:t>
      </w:r>
    </w:p>
    <w:p w14:paraId="00000D0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de Lauzon-Guillain, B., </w:t>
      </w:r>
      <w:proofErr w:type="spellStart"/>
      <w:r w:rsidRPr="000E4FE6">
        <w:rPr>
          <w:rFonts w:ascii="Times New Roman" w:hAnsi="Times New Roman" w:cs="Times New Roman"/>
          <w:sz w:val="24"/>
          <w:szCs w:val="24"/>
        </w:rPr>
        <w:t>Basdevant</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Romon</w:t>
      </w:r>
      <w:proofErr w:type="spellEnd"/>
      <w:r w:rsidRPr="000E4FE6">
        <w:rPr>
          <w:rFonts w:ascii="Times New Roman" w:hAnsi="Times New Roman" w:cs="Times New Roman"/>
          <w:sz w:val="24"/>
          <w:szCs w:val="24"/>
        </w:rPr>
        <w:t xml:space="preserve">, M., Karlsson, J., </w:t>
      </w:r>
      <w:proofErr w:type="spellStart"/>
      <w:r w:rsidRPr="000E4FE6">
        <w:rPr>
          <w:rFonts w:ascii="Times New Roman" w:hAnsi="Times New Roman" w:cs="Times New Roman"/>
          <w:sz w:val="24"/>
          <w:szCs w:val="24"/>
        </w:rPr>
        <w:t>Borys</w:t>
      </w:r>
      <w:proofErr w:type="spellEnd"/>
      <w:r w:rsidRPr="000E4FE6">
        <w:rPr>
          <w:rFonts w:ascii="Times New Roman" w:hAnsi="Times New Roman" w:cs="Times New Roman"/>
          <w:sz w:val="24"/>
          <w:szCs w:val="24"/>
        </w:rPr>
        <w:t>, J.-M., Charles, M. A., and FLVS Study Group. (2006). Is restrained eating a risk factor for weight gain in a general population?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83</w:t>
      </w:r>
      <w:r w:rsidRPr="000E4FE6">
        <w:rPr>
          <w:rFonts w:ascii="Times New Roman" w:hAnsi="Times New Roman" w:cs="Times New Roman"/>
          <w:sz w:val="24"/>
          <w:szCs w:val="24"/>
        </w:rPr>
        <w:t>(1), 132–138. https://doi.org/10.1093/ajcn/83.1.132</w:t>
      </w:r>
    </w:p>
    <w:p w14:paraId="00000D0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de Lauzon-Guillain, B., Clifton, E. A., Day, F. R., Clément, K., Brage, S., </w:t>
      </w:r>
      <w:proofErr w:type="spellStart"/>
      <w:r w:rsidRPr="000E4FE6">
        <w:rPr>
          <w:rFonts w:ascii="Times New Roman" w:hAnsi="Times New Roman" w:cs="Times New Roman"/>
          <w:sz w:val="24"/>
          <w:szCs w:val="24"/>
        </w:rPr>
        <w:t>Forouhi</w:t>
      </w:r>
      <w:proofErr w:type="spellEnd"/>
      <w:r w:rsidRPr="000E4FE6">
        <w:rPr>
          <w:rFonts w:ascii="Times New Roman" w:hAnsi="Times New Roman" w:cs="Times New Roman"/>
          <w:sz w:val="24"/>
          <w:szCs w:val="24"/>
        </w:rPr>
        <w:t xml:space="preserve">, N. G., … Ong, K. K. (2017). Mediation and modification of genetic susceptibility to obesity by eating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106</w:t>
      </w:r>
      <w:r w:rsidRPr="000E4FE6">
        <w:rPr>
          <w:rFonts w:ascii="Times New Roman" w:hAnsi="Times New Roman" w:cs="Times New Roman"/>
          <w:sz w:val="24"/>
          <w:szCs w:val="24"/>
        </w:rPr>
        <w:t>(4), 996–1004. https://doi.org/10.3945/ajcn.117.157396</w:t>
      </w:r>
    </w:p>
    <w:p w14:paraId="00000D0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de Vos, P., </w:t>
      </w:r>
      <w:proofErr w:type="spellStart"/>
      <w:r w:rsidRPr="000E4FE6">
        <w:rPr>
          <w:rFonts w:ascii="Times New Roman" w:hAnsi="Times New Roman" w:cs="Times New Roman"/>
          <w:sz w:val="24"/>
          <w:szCs w:val="24"/>
        </w:rPr>
        <w:t>Hanck</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Neisingh</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Prak</w:t>
      </w:r>
      <w:proofErr w:type="spellEnd"/>
      <w:r w:rsidRPr="000E4FE6">
        <w:rPr>
          <w:rFonts w:ascii="Times New Roman" w:hAnsi="Times New Roman" w:cs="Times New Roman"/>
          <w:sz w:val="24"/>
          <w:szCs w:val="24"/>
        </w:rPr>
        <w:t xml:space="preserve">, D., Groen, H., and </w:t>
      </w:r>
      <w:proofErr w:type="spellStart"/>
      <w:r w:rsidRPr="000E4FE6">
        <w:rPr>
          <w:rFonts w:ascii="Times New Roman" w:hAnsi="Times New Roman" w:cs="Times New Roman"/>
          <w:sz w:val="24"/>
          <w:szCs w:val="24"/>
        </w:rPr>
        <w:t>Faas</w:t>
      </w:r>
      <w:proofErr w:type="spellEnd"/>
      <w:r w:rsidRPr="000E4FE6">
        <w:rPr>
          <w:rFonts w:ascii="Times New Roman" w:hAnsi="Times New Roman" w:cs="Times New Roman"/>
          <w:sz w:val="24"/>
          <w:szCs w:val="24"/>
        </w:rPr>
        <w:t>, M. M. (2015). Weight gain in freshman college students and perceived health. </w:t>
      </w:r>
      <w:r w:rsidRPr="000E4FE6">
        <w:rPr>
          <w:rFonts w:ascii="Times New Roman" w:hAnsi="Times New Roman" w:cs="Times New Roman"/>
          <w:i/>
          <w:sz w:val="24"/>
          <w:szCs w:val="24"/>
        </w:rPr>
        <w:t>Preventive Medicine Reports</w:t>
      </w:r>
      <w:r w:rsidRPr="000E4FE6">
        <w:rPr>
          <w:rFonts w:ascii="Times New Roman" w:hAnsi="Times New Roman" w:cs="Times New Roman"/>
          <w:sz w:val="24"/>
          <w:szCs w:val="24"/>
        </w:rPr>
        <w:t>, </w:t>
      </w:r>
      <w:r w:rsidRPr="000E4FE6">
        <w:rPr>
          <w:rFonts w:ascii="Times New Roman" w:hAnsi="Times New Roman" w:cs="Times New Roman"/>
          <w:i/>
          <w:sz w:val="24"/>
          <w:szCs w:val="24"/>
        </w:rPr>
        <w:t>2</w:t>
      </w:r>
      <w:r w:rsidRPr="000E4FE6">
        <w:rPr>
          <w:rFonts w:ascii="Times New Roman" w:hAnsi="Times New Roman" w:cs="Times New Roman"/>
          <w:sz w:val="24"/>
          <w:szCs w:val="24"/>
        </w:rPr>
        <w:t>, 229–234. https://doi.org/10.1016/j.pmedr.2015.03.008</w:t>
      </w:r>
    </w:p>
    <w:p w14:paraId="00000D0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Delahanty, L. M., Meigs, J. B., Hayden, D., Williamson, D. A., Nathan, D. M., and Diabetes </w:t>
      </w:r>
      <w:proofErr w:type="spellStart"/>
      <w:r w:rsidRPr="000E4FE6">
        <w:rPr>
          <w:rFonts w:ascii="Times New Roman" w:hAnsi="Times New Roman" w:cs="Times New Roman"/>
          <w:sz w:val="24"/>
          <w:szCs w:val="24"/>
        </w:rPr>
        <w:t>Prevenion</w:t>
      </w:r>
      <w:proofErr w:type="spellEnd"/>
      <w:r w:rsidRPr="000E4FE6">
        <w:rPr>
          <w:rFonts w:ascii="Times New Roman" w:hAnsi="Times New Roman" w:cs="Times New Roman"/>
          <w:sz w:val="24"/>
          <w:szCs w:val="24"/>
        </w:rPr>
        <w:t xml:space="preserve"> Program (DPP) Research Group. (2002). Psychological and </w:t>
      </w:r>
      <w:proofErr w:type="spellStart"/>
      <w:r w:rsidRPr="000E4FE6">
        <w:rPr>
          <w:rFonts w:ascii="Times New Roman" w:hAnsi="Times New Roman" w:cs="Times New Roman"/>
          <w:sz w:val="24"/>
          <w:szCs w:val="24"/>
        </w:rPr>
        <w:t>behavioral</w:t>
      </w:r>
      <w:proofErr w:type="spellEnd"/>
      <w:r w:rsidRPr="000E4FE6">
        <w:rPr>
          <w:rFonts w:ascii="Times New Roman" w:hAnsi="Times New Roman" w:cs="Times New Roman"/>
          <w:sz w:val="24"/>
          <w:szCs w:val="24"/>
        </w:rPr>
        <w:t xml:space="preserve"> correlates of baseline BMI in the diabetes prevention program (DPP). </w:t>
      </w:r>
      <w:r w:rsidRPr="000E4FE6">
        <w:rPr>
          <w:rFonts w:ascii="Times New Roman" w:hAnsi="Times New Roman" w:cs="Times New Roman"/>
          <w:i/>
          <w:sz w:val="24"/>
          <w:szCs w:val="24"/>
        </w:rPr>
        <w:t>Diabetes Care</w:t>
      </w:r>
      <w:r w:rsidRPr="000E4FE6">
        <w:rPr>
          <w:rFonts w:ascii="Times New Roman" w:hAnsi="Times New Roman" w:cs="Times New Roman"/>
          <w:sz w:val="24"/>
          <w:szCs w:val="24"/>
        </w:rPr>
        <w:t>, </w:t>
      </w:r>
      <w:r w:rsidRPr="000E4FE6">
        <w:rPr>
          <w:rFonts w:ascii="Times New Roman" w:hAnsi="Times New Roman" w:cs="Times New Roman"/>
          <w:i/>
          <w:sz w:val="24"/>
          <w:szCs w:val="24"/>
        </w:rPr>
        <w:t>25</w:t>
      </w:r>
      <w:r w:rsidRPr="000E4FE6">
        <w:rPr>
          <w:rFonts w:ascii="Times New Roman" w:hAnsi="Times New Roman" w:cs="Times New Roman"/>
          <w:sz w:val="24"/>
          <w:szCs w:val="24"/>
        </w:rPr>
        <w:t>(11), 1992–1998. https://doi.org/10.2337/diacare.25.11.1992</w:t>
      </w:r>
    </w:p>
    <w:p w14:paraId="00000D0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DelParigi</w:t>
      </w:r>
      <w:proofErr w:type="spellEnd"/>
      <w:r w:rsidRPr="000E4FE6">
        <w:rPr>
          <w:rFonts w:ascii="Times New Roman" w:hAnsi="Times New Roman" w:cs="Times New Roman"/>
          <w:sz w:val="24"/>
          <w:szCs w:val="24"/>
        </w:rPr>
        <w:t xml:space="preserve">, A., Chen, K., </w:t>
      </w:r>
      <w:proofErr w:type="spellStart"/>
      <w:r w:rsidRPr="000E4FE6">
        <w:rPr>
          <w:rFonts w:ascii="Times New Roman" w:hAnsi="Times New Roman" w:cs="Times New Roman"/>
          <w:sz w:val="24"/>
          <w:szCs w:val="24"/>
        </w:rPr>
        <w:t>Salbe</w:t>
      </w:r>
      <w:proofErr w:type="spellEnd"/>
      <w:r w:rsidRPr="000E4FE6">
        <w:rPr>
          <w:rFonts w:ascii="Times New Roman" w:hAnsi="Times New Roman" w:cs="Times New Roman"/>
          <w:sz w:val="24"/>
          <w:szCs w:val="24"/>
        </w:rPr>
        <w:t xml:space="preserve">, A. D., Reiman, E. M., and </w:t>
      </w:r>
      <w:proofErr w:type="spellStart"/>
      <w:r w:rsidRPr="000E4FE6">
        <w:rPr>
          <w:rFonts w:ascii="Times New Roman" w:hAnsi="Times New Roman" w:cs="Times New Roman"/>
          <w:sz w:val="24"/>
          <w:szCs w:val="24"/>
        </w:rPr>
        <w:t>Tataranni</w:t>
      </w:r>
      <w:proofErr w:type="spellEnd"/>
      <w:r w:rsidRPr="000E4FE6">
        <w:rPr>
          <w:rFonts w:ascii="Times New Roman" w:hAnsi="Times New Roman" w:cs="Times New Roman"/>
          <w:sz w:val="24"/>
          <w:szCs w:val="24"/>
        </w:rPr>
        <w:t>, P. A. (2005). Sensory experience of food and obesity: a positron emission tomography study of the brain regions affected by tasting a liquid meal after a prolonged fast. </w:t>
      </w:r>
      <w:r w:rsidRPr="000E4FE6">
        <w:rPr>
          <w:rFonts w:ascii="Times New Roman" w:hAnsi="Times New Roman" w:cs="Times New Roman"/>
          <w:i/>
          <w:sz w:val="24"/>
          <w:szCs w:val="24"/>
        </w:rPr>
        <w:t>Neuroimage</w:t>
      </w:r>
      <w:r w:rsidRPr="000E4FE6">
        <w:rPr>
          <w:rFonts w:ascii="Times New Roman" w:hAnsi="Times New Roman" w:cs="Times New Roman"/>
          <w:sz w:val="24"/>
          <w:szCs w:val="24"/>
        </w:rPr>
        <w:t>, </w:t>
      </w:r>
      <w:r w:rsidRPr="000E4FE6">
        <w:rPr>
          <w:rFonts w:ascii="Times New Roman" w:hAnsi="Times New Roman" w:cs="Times New Roman"/>
          <w:i/>
          <w:sz w:val="24"/>
          <w:szCs w:val="24"/>
        </w:rPr>
        <w:t>24</w:t>
      </w:r>
      <w:r w:rsidRPr="000E4FE6">
        <w:rPr>
          <w:rFonts w:ascii="Times New Roman" w:hAnsi="Times New Roman" w:cs="Times New Roman"/>
          <w:sz w:val="24"/>
          <w:szCs w:val="24"/>
        </w:rPr>
        <w:t>(2), 436–443. https://doi.org/10.1016/j.neuroimage.2004.08.035</w:t>
      </w:r>
    </w:p>
    <w:p w14:paraId="00000D0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Dencker</w:t>
      </w:r>
      <w:proofErr w:type="spellEnd"/>
      <w:r w:rsidRPr="000E4FE6">
        <w:rPr>
          <w:rFonts w:ascii="Times New Roman" w:hAnsi="Times New Roman" w:cs="Times New Roman"/>
          <w:sz w:val="24"/>
          <w:szCs w:val="24"/>
        </w:rPr>
        <w:t>, M., and Andersen, L. B. (2011). Accelerometer-measured daily physical activity related to aerobic fitness in children and adolescents. </w:t>
      </w:r>
      <w:r w:rsidRPr="000E4FE6">
        <w:rPr>
          <w:rFonts w:ascii="Times New Roman" w:hAnsi="Times New Roman" w:cs="Times New Roman"/>
          <w:i/>
          <w:sz w:val="24"/>
          <w:szCs w:val="24"/>
        </w:rPr>
        <w:t>Journal of Sports Sciences</w:t>
      </w:r>
      <w:r w:rsidRPr="000E4FE6">
        <w:rPr>
          <w:rFonts w:ascii="Times New Roman" w:hAnsi="Times New Roman" w:cs="Times New Roman"/>
          <w:sz w:val="24"/>
          <w:szCs w:val="24"/>
        </w:rPr>
        <w:t>, </w:t>
      </w:r>
      <w:r w:rsidRPr="000E4FE6">
        <w:rPr>
          <w:rFonts w:ascii="Times New Roman" w:hAnsi="Times New Roman" w:cs="Times New Roman"/>
          <w:i/>
          <w:sz w:val="24"/>
          <w:szCs w:val="24"/>
        </w:rPr>
        <w:t>29</w:t>
      </w:r>
      <w:r w:rsidRPr="000E4FE6">
        <w:rPr>
          <w:rFonts w:ascii="Times New Roman" w:hAnsi="Times New Roman" w:cs="Times New Roman"/>
          <w:sz w:val="24"/>
          <w:szCs w:val="24"/>
        </w:rPr>
        <w:t>(9), 887–895. https://doi.org/10.1080/02640414.2011.578148</w:t>
      </w:r>
    </w:p>
    <w:p w14:paraId="00000D0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Devine, C. M., Connors, M. M., </w:t>
      </w:r>
      <w:proofErr w:type="spellStart"/>
      <w:r w:rsidRPr="000E4FE6">
        <w:rPr>
          <w:rFonts w:ascii="Times New Roman" w:hAnsi="Times New Roman" w:cs="Times New Roman"/>
          <w:sz w:val="24"/>
          <w:szCs w:val="24"/>
        </w:rPr>
        <w:t>Sobal</w:t>
      </w:r>
      <w:proofErr w:type="spellEnd"/>
      <w:r w:rsidRPr="000E4FE6">
        <w:rPr>
          <w:rFonts w:ascii="Times New Roman" w:hAnsi="Times New Roman" w:cs="Times New Roman"/>
          <w:sz w:val="24"/>
          <w:szCs w:val="24"/>
        </w:rPr>
        <w:t xml:space="preserve">, J., and </w:t>
      </w:r>
      <w:proofErr w:type="spellStart"/>
      <w:r w:rsidRPr="000E4FE6">
        <w:rPr>
          <w:rFonts w:ascii="Times New Roman" w:hAnsi="Times New Roman" w:cs="Times New Roman"/>
          <w:sz w:val="24"/>
          <w:szCs w:val="24"/>
        </w:rPr>
        <w:t>Bisogni</w:t>
      </w:r>
      <w:proofErr w:type="spellEnd"/>
      <w:r w:rsidRPr="000E4FE6">
        <w:rPr>
          <w:rFonts w:ascii="Times New Roman" w:hAnsi="Times New Roman" w:cs="Times New Roman"/>
          <w:sz w:val="24"/>
          <w:szCs w:val="24"/>
        </w:rPr>
        <w:t xml:space="preserve">, C. A. (2003). Sandwiching it in: </w:t>
      </w:r>
      <w:proofErr w:type="spellStart"/>
      <w:r w:rsidRPr="000E4FE6">
        <w:rPr>
          <w:rFonts w:ascii="Times New Roman" w:hAnsi="Times New Roman" w:cs="Times New Roman"/>
          <w:sz w:val="24"/>
          <w:szCs w:val="24"/>
        </w:rPr>
        <w:t>spillover</w:t>
      </w:r>
      <w:proofErr w:type="spellEnd"/>
      <w:r w:rsidRPr="000E4FE6">
        <w:rPr>
          <w:rFonts w:ascii="Times New Roman" w:hAnsi="Times New Roman" w:cs="Times New Roman"/>
          <w:sz w:val="24"/>
          <w:szCs w:val="24"/>
        </w:rPr>
        <w:t xml:space="preserve"> of work onto food choices and family roles in low- and moderate-income urban households. </w:t>
      </w:r>
      <w:r w:rsidRPr="000E4FE6">
        <w:rPr>
          <w:rFonts w:ascii="Times New Roman" w:hAnsi="Times New Roman" w:cs="Times New Roman"/>
          <w:i/>
          <w:sz w:val="24"/>
          <w:szCs w:val="24"/>
        </w:rPr>
        <w:t>Social Science &amp; Medicine</w:t>
      </w:r>
      <w:r w:rsidRPr="000E4FE6">
        <w:rPr>
          <w:rFonts w:ascii="Times New Roman" w:hAnsi="Times New Roman" w:cs="Times New Roman"/>
          <w:sz w:val="24"/>
          <w:szCs w:val="24"/>
        </w:rPr>
        <w:t>, </w:t>
      </w:r>
      <w:r w:rsidRPr="000E4FE6">
        <w:rPr>
          <w:rFonts w:ascii="Times New Roman" w:hAnsi="Times New Roman" w:cs="Times New Roman"/>
          <w:i/>
          <w:sz w:val="24"/>
          <w:szCs w:val="24"/>
        </w:rPr>
        <w:t>56</w:t>
      </w:r>
      <w:r w:rsidRPr="000E4FE6">
        <w:rPr>
          <w:rFonts w:ascii="Times New Roman" w:hAnsi="Times New Roman" w:cs="Times New Roman"/>
          <w:sz w:val="24"/>
          <w:szCs w:val="24"/>
        </w:rPr>
        <w:t>(3), 617–630. https://doi.org/10.1016/s0277-9536(02)00058-8</w:t>
      </w:r>
    </w:p>
    <w:p w14:paraId="00000D0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Devine, C. M., Farrell, T. J., Blake, C. E., </w:t>
      </w:r>
      <w:proofErr w:type="spellStart"/>
      <w:r w:rsidRPr="000E4FE6">
        <w:rPr>
          <w:rFonts w:ascii="Times New Roman" w:hAnsi="Times New Roman" w:cs="Times New Roman"/>
          <w:sz w:val="24"/>
          <w:szCs w:val="24"/>
        </w:rPr>
        <w:t>Jastran</w:t>
      </w:r>
      <w:proofErr w:type="spellEnd"/>
      <w:r w:rsidRPr="000E4FE6">
        <w:rPr>
          <w:rFonts w:ascii="Times New Roman" w:hAnsi="Times New Roman" w:cs="Times New Roman"/>
          <w:sz w:val="24"/>
          <w:szCs w:val="24"/>
        </w:rPr>
        <w:t xml:space="preserve">, M., Wethington, E., and </w:t>
      </w:r>
      <w:proofErr w:type="spellStart"/>
      <w:r w:rsidRPr="000E4FE6">
        <w:rPr>
          <w:rFonts w:ascii="Times New Roman" w:hAnsi="Times New Roman" w:cs="Times New Roman"/>
          <w:sz w:val="24"/>
          <w:szCs w:val="24"/>
        </w:rPr>
        <w:t>Bisogni</w:t>
      </w:r>
      <w:proofErr w:type="spellEnd"/>
      <w:r w:rsidRPr="000E4FE6">
        <w:rPr>
          <w:rFonts w:ascii="Times New Roman" w:hAnsi="Times New Roman" w:cs="Times New Roman"/>
          <w:sz w:val="24"/>
          <w:szCs w:val="24"/>
        </w:rPr>
        <w:t xml:space="preserve">, C. A. (2009). Work conditions and the food choice coping strategies of employed </w:t>
      </w:r>
      <w:r w:rsidRPr="000E4FE6">
        <w:rPr>
          <w:rFonts w:ascii="Times New Roman" w:hAnsi="Times New Roman" w:cs="Times New Roman"/>
          <w:sz w:val="24"/>
          <w:szCs w:val="24"/>
        </w:rPr>
        <w:lastRenderedPageBreak/>
        <w:t>parents. </w:t>
      </w:r>
      <w:r w:rsidRPr="000E4FE6">
        <w:rPr>
          <w:rFonts w:ascii="Times New Roman" w:hAnsi="Times New Roman" w:cs="Times New Roman"/>
          <w:i/>
          <w:sz w:val="24"/>
          <w:szCs w:val="24"/>
        </w:rPr>
        <w:t xml:space="preserve">Journal of Nutrition Education and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41</w:t>
      </w:r>
      <w:r w:rsidRPr="000E4FE6">
        <w:rPr>
          <w:rFonts w:ascii="Times New Roman" w:hAnsi="Times New Roman" w:cs="Times New Roman"/>
          <w:sz w:val="24"/>
          <w:szCs w:val="24"/>
        </w:rPr>
        <w:t>(5), 365–370. https://doi.org/10.1016/j.jneb.2009.01.007</w:t>
      </w:r>
    </w:p>
    <w:p w14:paraId="00000D0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Devine, C. M., </w:t>
      </w:r>
      <w:proofErr w:type="spellStart"/>
      <w:r w:rsidRPr="000E4FE6">
        <w:rPr>
          <w:rFonts w:ascii="Times New Roman" w:hAnsi="Times New Roman" w:cs="Times New Roman"/>
          <w:sz w:val="24"/>
          <w:szCs w:val="24"/>
        </w:rPr>
        <w:t>Jastran</w:t>
      </w:r>
      <w:proofErr w:type="spellEnd"/>
      <w:r w:rsidRPr="000E4FE6">
        <w:rPr>
          <w:rFonts w:ascii="Times New Roman" w:hAnsi="Times New Roman" w:cs="Times New Roman"/>
          <w:sz w:val="24"/>
          <w:szCs w:val="24"/>
        </w:rPr>
        <w:t xml:space="preserve">, M., Jabs, J., Wethington, E., </w:t>
      </w:r>
      <w:proofErr w:type="spellStart"/>
      <w:r w:rsidRPr="000E4FE6">
        <w:rPr>
          <w:rFonts w:ascii="Times New Roman" w:hAnsi="Times New Roman" w:cs="Times New Roman"/>
          <w:sz w:val="24"/>
          <w:szCs w:val="24"/>
        </w:rPr>
        <w:t>Farell</w:t>
      </w:r>
      <w:proofErr w:type="spellEnd"/>
      <w:r w:rsidRPr="000E4FE6">
        <w:rPr>
          <w:rFonts w:ascii="Times New Roman" w:hAnsi="Times New Roman" w:cs="Times New Roman"/>
          <w:sz w:val="24"/>
          <w:szCs w:val="24"/>
        </w:rPr>
        <w:t xml:space="preserve">, T. J., and </w:t>
      </w:r>
      <w:proofErr w:type="spellStart"/>
      <w:r w:rsidRPr="000E4FE6">
        <w:rPr>
          <w:rFonts w:ascii="Times New Roman" w:hAnsi="Times New Roman" w:cs="Times New Roman"/>
          <w:sz w:val="24"/>
          <w:szCs w:val="24"/>
        </w:rPr>
        <w:t>Bisogni</w:t>
      </w:r>
      <w:proofErr w:type="spellEnd"/>
      <w:r w:rsidRPr="000E4FE6">
        <w:rPr>
          <w:rFonts w:ascii="Times New Roman" w:hAnsi="Times New Roman" w:cs="Times New Roman"/>
          <w:sz w:val="24"/>
          <w:szCs w:val="24"/>
        </w:rPr>
        <w:t xml:space="preserve">, C. A. (2006). “A lot of sacrifices:” work-family </w:t>
      </w:r>
      <w:proofErr w:type="spellStart"/>
      <w:r w:rsidRPr="000E4FE6">
        <w:rPr>
          <w:rFonts w:ascii="Times New Roman" w:hAnsi="Times New Roman" w:cs="Times New Roman"/>
          <w:sz w:val="24"/>
          <w:szCs w:val="24"/>
        </w:rPr>
        <w:t>spillover</w:t>
      </w:r>
      <w:proofErr w:type="spellEnd"/>
      <w:r w:rsidRPr="000E4FE6">
        <w:rPr>
          <w:rFonts w:ascii="Times New Roman" w:hAnsi="Times New Roman" w:cs="Times New Roman"/>
          <w:sz w:val="24"/>
          <w:szCs w:val="24"/>
        </w:rPr>
        <w:t xml:space="preserve"> and the food choice coping strategies of low-wage employed parents. </w:t>
      </w:r>
      <w:r w:rsidRPr="000E4FE6">
        <w:rPr>
          <w:rFonts w:ascii="Times New Roman" w:hAnsi="Times New Roman" w:cs="Times New Roman"/>
          <w:i/>
          <w:sz w:val="24"/>
          <w:szCs w:val="24"/>
        </w:rPr>
        <w:t>Social Science &amp; Medicine</w:t>
      </w:r>
      <w:r w:rsidRPr="000E4FE6">
        <w:rPr>
          <w:rFonts w:ascii="Times New Roman" w:hAnsi="Times New Roman" w:cs="Times New Roman"/>
          <w:sz w:val="24"/>
          <w:szCs w:val="24"/>
        </w:rPr>
        <w:t>, </w:t>
      </w:r>
      <w:r w:rsidRPr="000E4FE6">
        <w:rPr>
          <w:rFonts w:ascii="Times New Roman" w:hAnsi="Times New Roman" w:cs="Times New Roman"/>
          <w:i/>
          <w:sz w:val="24"/>
          <w:szCs w:val="24"/>
        </w:rPr>
        <w:t>63</w:t>
      </w:r>
      <w:r w:rsidRPr="000E4FE6">
        <w:rPr>
          <w:rFonts w:ascii="Times New Roman" w:hAnsi="Times New Roman" w:cs="Times New Roman"/>
          <w:sz w:val="24"/>
          <w:szCs w:val="24"/>
        </w:rPr>
        <w:t>(10), 2591–2603. https://doi.org/10.1016/j.socscimed.2006.06.029</w:t>
      </w:r>
    </w:p>
    <w:p w14:paraId="00000D0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Dewald-Kaufmann, J. F., Oort, F. J., and Meijer, A. M. (2014). The effects of sleep extension and sleep hygiene advice on sleep and depressive symptoms in adolescents: a randomized controlled trial. </w:t>
      </w:r>
      <w:r w:rsidRPr="000E4FE6">
        <w:rPr>
          <w:rFonts w:ascii="Times New Roman" w:hAnsi="Times New Roman" w:cs="Times New Roman"/>
          <w:i/>
          <w:sz w:val="24"/>
          <w:szCs w:val="24"/>
        </w:rPr>
        <w:t>Journal of Child Psychology and Psychiatry, and Allied Disciplines</w:t>
      </w:r>
      <w:r w:rsidRPr="000E4FE6">
        <w:rPr>
          <w:rFonts w:ascii="Times New Roman" w:hAnsi="Times New Roman" w:cs="Times New Roman"/>
          <w:sz w:val="24"/>
          <w:szCs w:val="24"/>
        </w:rPr>
        <w:t>, </w:t>
      </w:r>
      <w:r w:rsidRPr="000E4FE6">
        <w:rPr>
          <w:rFonts w:ascii="Times New Roman" w:hAnsi="Times New Roman" w:cs="Times New Roman"/>
          <w:i/>
          <w:sz w:val="24"/>
          <w:szCs w:val="24"/>
        </w:rPr>
        <w:t>55</w:t>
      </w:r>
      <w:r w:rsidRPr="000E4FE6">
        <w:rPr>
          <w:rFonts w:ascii="Times New Roman" w:hAnsi="Times New Roman" w:cs="Times New Roman"/>
          <w:sz w:val="24"/>
          <w:szCs w:val="24"/>
        </w:rPr>
        <w:t>(3), 273–283. https://doi.org/10.1111/jcpp.12157</w:t>
      </w:r>
    </w:p>
    <w:p w14:paraId="00000D0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Di Lorenzo, L., De </w:t>
      </w:r>
      <w:proofErr w:type="spellStart"/>
      <w:r w:rsidRPr="000E4FE6">
        <w:rPr>
          <w:rFonts w:ascii="Times New Roman" w:hAnsi="Times New Roman" w:cs="Times New Roman"/>
          <w:sz w:val="24"/>
          <w:szCs w:val="24"/>
          <w:lang w:val="es-ES_tradnl"/>
        </w:rPr>
        <w:t>Pergola</w:t>
      </w:r>
      <w:proofErr w:type="spellEnd"/>
      <w:r w:rsidRPr="000E4FE6">
        <w:rPr>
          <w:rFonts w:ascii="Times New Roman" w:hAnsi="Times New Roman" w:cs="Times New Roman"/>
          <w:sz w:val="24"/>
          <w:szCs w:val="24"/>
          <w:lang w:val="es-ES_tradnl"/>
        </w:rPr>
        <w:t xml:space="preserve">, G., </w:t>
      </w:r>
      <w:proofErr w:type="spellStart"/>
      <w:r w:rsidRPr="000E4FE6">
        <w:rPr>
          <w:rFonts w:ascii="Times New Roman" w:hAnsi="Times New Roman" w:cs="Times New Roman"/>
          <w:sz w:val="24"/>
          <w:szCs w:val="24"/>
          <w:lang w:val="es-ES_tradnl"/>
        </w:rPr>
        <w:t>Zocchetti</w:t>
      </w:r>
      <w:proofErr w:type="spellEnd"/>
      <w:r w:rsidRPr="000E4FE6">
        <w:rPr>
          <w:rFonts w:ascii="Times New Roman" w:hAnsi="Times New Roman" w:cs="Times New Roman"/>
          <w:sz w:val="24"/>
          <w:szCs w:val="24"/>
          <w:lang w:val="es-ES_tradnl"/>
        </w:rPr>
        <w:t xml:space="preserve">, C., </w:t>
      </w:r>
      <w:proofErr w:type="spellStart"/>
      <w:r w:rsidRPr="000E4FE6">
        <w:rPr>
          <w:rFonts w:ascii="Times New Roman" w:hAnsi="Times New Roman" w:cs="Times New Roman"/>
          <w:sz w:val="24"/>
          <w:szCs w:val="24"/>
          <w:lang w:val="es-ES_tradnl"/>
        </w:rPr>
        <w:t>L’Abbate</w:t>
      </w:r>
      <w:proofErr w:type="spellEnd"/>
      <w:r w:rsidRPr="000E4FE6">
        <w:rPr>
          <w:rFonts w:ascii="Times New Roman" w:hAnsi="Times New Roman" w:cs="Times New Roman"/>
          <w:sz w:val="24"/>
          <w:szCs w:val="24"/>
          <w:lang w:val="es-ES_tradnl"/>
        </w:rPr>
        <w:t xml:space="preserve">, N., Basso, A., </w:t>
      </w:r>
      <w:proofErr w:type="spellStart"/>
      <w:r w:rsidRPr="000E4FE6">
        <w:rPr>
          <w:rFonts w:ascii="Times New Roman" w:hAnsi="Times New Roman" w:cs="Times New Roman"/>
          <w:sz w:val="24"/>
          <w:szCs w:val="24"/>
          <w:lang w:val="es-ES_tradnl"/>
        </w:rPr>
        <w:t>Pannacciulli</w:t>
      </w:r>
      <w:proofErr w:type="spellEnd"/>
      <w:r w:rsidRPr="000E4FE6">
        <w:rPr>
          <w:rFonts w:ascii="Times New Roman" w:hAnsi="Times New Roman" w:cs="Times New Roman"/>
          <w:sz w:val="24"/>
          <w:szCs w:val="24"/>
          <w:lang w:val="es-ES_tradnl"/>
        </w:rPr>
        <w:t xml:space="preserve">, N., … </w:t>
      </w:r>
      <w:proofErr w:type="spellStart"/>
      <w:r w:rsidRPr="000E4FE6">
        <w:rPr>
          <w:rFonts w:ascii="Times New Roman" w:hAnsi="Times New Roman" w:cs="Times New Roman"/>
          <w:sz w:val="24"/>
          <w:szCs w:val="24"/>
        </w:rPr>
        <w:t>Soleo</w:t>
      </w:r>
      <w:proofErr w:type="spellEnd"/>
      <w:r w:rsidRPr="000E4FE6">
        <w:rPr>
          <w:rFonts w:ascii="Times New Roman" w:hAnsi="Times New Roman" w:cs="Times New Roman"/>
          <w:sz w:val="24"/>
          <w:szCs w:val="24"/>
        </w:rPr>
        <w:t>, L. (2003). Effect of shift work on body mass index: results of a study performed in 319 glucose-tolerant men working in a Southern Italian industry.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(11), 1353–1358. https://doi.org/10.1038/sj.ijo.0802419</w:t>
      </w:r>
    </w:p>
    <w:p w14:paraId="00000D0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DiLeone</w:t>
      </w:r>
      <w:proofErr w:type="spellEnd"/>
      <w:r w:rsidRPr="000E4FE6">
        <w:rPr>
          <w:rFonts w:ascii="Times New Roman" w:hAnsi="Times New Roman" w:cs="Times New Roman"/>
          <w:sz w:val="24"/>
          <w:szCs w:val="24"/>
        </w:rPr>
        <w:t xml:space="preserve">, R. J., Taylor, J. R., and </w:t>
      </w:r>
      <w:proofErr w:type="spellStart"/>
      <w:r w:rsidRPr="000E4FE6">
        <w:rPr>
          <w:rFonts w:ascii="Times New Roman" w:hAnsi="Times New Roman" w:cs="Times New Roman"/>
          <w:sz w:val="24"/>
          <w:szCs w:val="24"/>
        </w:rPr>
        <w:t>Picciotto</w:t>
      </w:r>
      <w:proofErr w:type="spellEnd"/>
      <w:r w:rsidRPr="000E4FE6">
        <w:rPr>
          <w:rFonts w:ascii="Times New Roman" w:hAnsi="Times New Roman" w:cs="Times New Roman"/>
          <w:sz w:val="24"/>
          <w:szCs w:val="24"/>
        </w:rPr>
        <w:t xml:space="preserve">, M. R. (2012). The drive to </w:t>
      </w:r>
      <w:proofErr w:type="gramStart"/>
      <w:r w:rsidRPr="000E4FE6">
        <w:rPr>
          <w:rFonts w:ascii="Times New Roman" w:hAnsi="Times New Roman" w:cs="Times New Roman"/>
          <w:sz w:val="24"/>
          <w:szCs w:val="24"/>
        </w:rPr>
        <w:t>eat:</w:t>
      </w:r>
      <w:proofErr w:type="gramEnd"/>
      <w:r w:rsidRPr="000E4FE6">
        <w:rPr>
          <w:rFonts w:ascii="Times New Roman" w:hAnsi="Times New Roman" w:cs="Times New Roman"/>
          <w:sz w:val="24"/>
          <w:szCs w:val="24"/>
        </w:rPr>
        <w:t xml:space="preserve"> comparisons and distinctions between mechanisms of food reward and drug addiction. </w:t>
      </w:r>
      <w:r w:rsidRPr="000E4FE6">
        <w:rPr>
          <w:rFonts w:ascii="Times New Roman" w:hAnsi="Times New Roman" w:cs="Times New Roman"/>
          <w:i/>
          <w:sz w:val="24"/>
          <w:szCs w:val="24"/>
        </w:rPr>
        <w:t>Nature Neuroscience</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(10), 1330–1335. https://doi.org/10.1038/nn.3202</w:t>
      </w:r>
    </w:p>
    <w:p w14:paraId="00000D0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DiMagno</w:t>
      </w:r>
      <w:proofErr w:type="spellEnd"/>
      <w:r w:rsidRPr="000E4FE6">
        <w:rPr>
          <w:rFonts w:ascii="Times New Roman" w:hAnsi="Times New Roman" w:cs="Times New Roman"/>
          <w:sz w:val="24"/>
          <w:szCs w:val="24"/>
        </w:rPr>
        <w:t xml:space="preserve">, E. P. (1997). Regulation of </w:t>
      </w:r>
      <w:proofErr w:type="spellStart"/>
      <w:r w:rsidRPr="000E4FE6">
        <w:rPr>
          <w:rFonts w:ascii="Times New Roman" w:hAnsi="Times New Roman" w:cs="Times New Roman"/>
          <w:sz w:val="24"/>
          <w:szCs w:val="24"/>
        </w:rPr>
        <w:t>interdigestive</w:t>
      </w:r>
      <w:proofErr w:type="spellEnd"/>
      <w:r w:rsidRPr="000E4FE6">
        <w:rPr>
          <w:rFonts w:ascii="Times New Roman" w:hAnsi="Times New Roman" w:cs="Times New Roman"/>
          <w:sz w:val="24"/>
          <w:szCs w:val="24"/>
        </w:rPr>
        <w:t xml:space="preserve"> gastrointestinal motility and secretion. </w:t>
      </w:r>
      <w:r w:rsidRPr="000E4FE6">
        <w:rPr>
          <w:rFonts w:ascii="Times New Roman" w:hAnsi="Times New Roman" w:cs="Times New Roman"/>
          <w:i/>
          <w:sz w:val="24"/>
          <w:szCs w:val="24"/>
        </w:rPr>
        <w:t>Digestion</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58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1</w:t>
      </w:r>
      <w:r w:rsidRPr="000E4FE6">
        <w:rPr>
          <w:rFonts w:ascii="Times New Roman" w:hAnsi="Times New Roman" w:cs="Times New Roman"/>
          <w:sz w:val="24"/>
          <w:szCs w:val="24"/>
        </w:rPr>
        <w:t>, 53–55. https://doi.org/10.1159/000201527</w:t>
      </w:r>
    </w:p>
    <w:p w14:paraId="00000D1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Dishman, R. K. (2001). The problem of exercise adherence: fighting sloth in nations with market economies. </w:t>
      </w:r>
      <w:r w:rsidRPr="000E4FE6">
        <w:rPr>
          <w:rFonts w:ascii="Times New Roman" w:hAnsi="Times New Roman" w:cs="Times New Roman"/>
          <w:i/>
          <w:sz w:val="24"/>
          <w:szCs w:val="24"/>
        </w:rPr>
        <w:t>Quest (Grand Rapids, Mich.)</w:t>
      </w:r>
      <w:r w:rsidRPr="000E4FE6">
        <w:rPr>
          <w:rFonts w:ascii="Times New Roman" w:hAnsi="Times New Roman" w:cs="Times New Roman"/>
          <w:sz w:val="24"/>
          <w:szCs w:val="24"/>
        </w:rPr>
        <w:t>, </w:t>
      </w:r>
      <w:r w:rsidRPr="000E4FE6">
        <w:rPr>
          <w:rFonts w:ascii="Times New Roman" w:hAnsi="Times New Roman" w:cs="Times New Roman"/>
          <w:i/>
          <w:sz w:val="24"/>
          <w:szCs w:val="24"/>
        </w:rPr>
        <w:t>53</w:t>
      </w:r>
      <w:r w:rsidRPr="000E4FE6">
        <w:rPr>
          <w:rFonts w:ascii="Times New Roman" w:hAnsi="Times New Roman" w:cs="Times New Roman"/>
          <w:sz w:val="24"/>
          <w:szCs w:val="24"/>
        </w:rPr>
        <w:t>(3), 279–294. https://doi.org/10.1080/00336297.2001.10491745</w:t>
      </w:r>
    </w:p>
    <w:p w14:paraId="00000D1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do </w:t>
      </w:r>
      <w:proofErr w:type="spellStart"/>
      <w:r w:rsidRPr="000E4FE6">
        <w:rPr>
          <w:rFonts w:ascii="Times New Roman" w:hAnsi="Times New Roman" w:cs="Times New Roman"/>
          <w:sz w:val="24"/>
          <w:szCs w:val="24"/>
        </w:rPr>
        <w:t>Carmo</w:t>
      </w:r>
      <w:proofErr w:type="spellEnd"/>
      <w:r w:rsidRPr="000E4FE6">
        <w:rPr>
          <w:rFonts w:ascii="Times New Roman" w:hAnsi="Times New Roman" w:cs="Times New Roman"/>
          <w:sz w:val="24"/>
          <w:szCs w:val="24"/>
        </w:rPr>
        <w:t xml:space="preserve">, J. M., da Silva, A. A., Wang, Z., Fang, T., </w:t>
      </w:r>
      <w:proofErr w:type="spellStart"/>
      <w:r w:rsidRPr="000E4FE6">
        <w:rPr>
          <w:rFonts w:ascii="Times New Roman" w:hAnsi="Times New Roman" w:cs="Times New Roman"/>
          <w:sz w:val="24"/>
          <w:szCs w:val="24"/>
        </w:rPr>
        <w:t>Aberdein</w:t>
      </w:r>
      <w:proofErr w:type="spellEnd"/>
      <w:r w:rsidRPr="000E4FE6">
        <w:rPr>
          <w:rFonts w:ascii="Times New Roman" w:hAnsi="Times New Roman" w:cs="Times New Roman"/>
          <w:sz w:val="24"/>
          <w:szCs w:val="24"/>
        </w:rPr>
        <w:t xml:space="preserve">, N., de Lara Rodriguez, C. E. P., and Hall, J. E. (2016). Obesity-Induced Hypertension: Brain </w:t>
      </w:r>
      <w:proofErr w:type="spellStart"/>
      <w:r w:rsidRPr="000E4FE6">
        <w:rPr>
          <w:rFonts w:ascii="Times New Roman" w:hAnsi="Times New Roman" w:cs="Times New Roman"/>
          <w:sz w:val="24"/>
          <w:szCs w:val="24"/>
        </w:rPr>
        <w:t>Signaling</w:t>
      </w:r>
      <w:proofErr w:type="spellEnd"/>
      <w:r w:rsidRPr="000E4FE6">
        <w:rPr>
          <w:rFonts w:ascii="Times New Roman" w:hAnsi="Times New Roman" w:cs="Times New Roman"/>
          <w:sz w:val="24"/>
          <w:szCs w:val="24"/>
        </w:rPr>
        <w:t xml:space="preserve"> </w:t>
      </w:r>
      <w:r w:rsidRPr="000E4FE6">
        <w:rPr>
          <w:rFonts w:ascii="Times New Roman" w:hAnsi="Times New Roman" w:cs="Times New Roman"/>
          <w:sz w:val="24"/>
          <w:szCs w:val="24"/>
        </w:rPr>
        <w:lastRenderedPageBreak/>
        <w:t>Pathways. </w:t>
      </w:r>
      <w:r w:rsidRPr="000E4FE6">
        <w:rPr>
          <w:rFonts w:ascii="Times New Roman" w:hAnsi="Times New Roman" w:cs="Times New Roman"/>
          <w:i/>
          <w:sz w:val="24"/>
          <w:szCs w:val="24"/>
        </w:rPr>
        <w:t>Current Hypertension Reports</w:t>
      </w:r>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(7), 58. https://doi.org/10.1007/s11906-016-0658-1</w:t>
      </w:r>
    </w:p>
    <w:p w14:paraId="00000D1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Dochat</w:t>
      </w:r>
      <w:proofErr w:type="spellEnd"/>
      <w:r w:rsidRPr="000E4FE6">
        <w:rPr>
          <w:rFonts w:ascii="Times New Roman" w:hAnsi="Times New Roman" w:cs="Times New Roman"/>
          <w:sz w:val="24"/>
          <w:szCs w:val="24"/>
        </w:rPr>
        <w:t xml:space="preserve">, C., Godfrey, K. M., Golshan, S., Cuneo, J. G., and </w:t>
      </w:r>
      <w:proofErr w:type="spellStart"/>
      <w:r w:rsidRPr="000E4FE6">
        <w:rPr>
          <w:rFonts w:ascii="Times New Roman" w:hAnsi="Times New Roman" w:cs="Times New Roman"/>
          <w:sz w:val="24"/>
          <w:szCs w:val="24"/>
        </w:rPr>
        <w:t>Afari</w:t>
      </w:r>
      <w:proofErr w:type="spellEnd"/>
      <w:r w:rsidRPr="000E4FE6">
        <w:rPr>
          <w:rFonts w:ascii="Times New Roman" w:hAnsi="Times New Roman" w:cs="Times New Roman"/>
          <w:sz w:val="24"/>
          <w:szCs w:val="24"/>
        </w:rPr>
        <w:t xml:space="preserve">, N. (2019). Dietary restraint and weight loss in relation to disinhibited eating in obese Veterans following a </w:t>
      </w:r>
      <w:proofErr w:type="spellStart"/>
      <w:r w:rsidRPr="000E4FE6">
        <w:rPr>
          <w:rFonts w:ascii="Times New Roman" w:hAnsi="Times New Roman" w:cs="Times New Roman"/>
          <w:sz w:val="24"/>
          <w:szCs w:val="24"/>
        </w:rPr>
        <w:t>behavioral</w:t>
      </w:r>
      <w:proofErr w:type="spellEnd"/>
      <w:r w:rsidRPr="000E4FE6">
        <w:rPr>
          <w:rFonts w:ascii="Times New Roman" w:hAnsi="Times New Roman" w:cs="Times New Roman"/>
          <w:sz w:val="24"/>
          <w:szCs w:val="24"/>
        </w:rPr>
        <w:t xml:space="preserve"> weight loss intervention.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140</w:t>
      </w:r>
      <w:r w:rsidRPr="000E4FE6">
        <w:rPr>
          <w:rFonts w:ascii="Times New Roman" w:hAnsi="Times New Roman" w:cs="Times New Roman"/>
          <w:sz w:val="24"/>
          <w:szCs w:val="24"/>
        </w:rPr>
        <w:t>, 98–104. https://doi.org/10.1016/j.appet.2019.05.013</w:t>
      </w:r>
    </w:p>
    <w:p w14:paraId="00000D1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Dockray</w:t>
      </w:r>
      <w:proofErr w:type="spellEnd"/>
      <w:r w:rsidRPr="000E4FE6">
        <w:rPr>
          <w:rFonts w:ascii="Times New Roman" w:hAnsi="Times New Roman" w:cs="Times New Roman"/>
          <w:sz w:val="24"/>
          <w:szCs w:val="24"/>
        </w:rPr>
        <w:t>, G. J. (2009). Cholecystokinin and gut-brain signalling. </w:t>
      </w:r>
      <w:r w:rsidRPr="000E4FE6">
        <w:rPr>
          <w:rFonts w:ascii="Times New Roman" w:hAnsi="Times New Roman" w:cs="Times New Roman"/>
          <w:i/>
          <w:sz w:val="24"/>
          <w:szCs w:val="24"/>
        </w:rPr>
        <w:t>Regulatory Peptides</w:t>
      </w:r>
      <w:r w:rsidRPr="000E4FE6">
        <w:rPr>
          <w:rFonts w:ascii="Times New Roman" w:hAnsi="Times New Roman" w:cs="Times New Roman"/>
          <w:sz w:val="24"/>
          <w:szCs w:val="24"/>
        </w:rPr>
        <w:t>, </w:t>
      </w:r>
      <w:r w:rsidRPr="000E4FE6">
        <w:rPr>
          <w:rFonts w:ascii="Times New Roman" w:hAnsi="Times New Roman" w:cs="Times New Roman"/>
          <w:i/>
          <w:sz w:val="24"/>
          <w:szCs w:val="24"/>
        </w:rPr>
        <w:t>155</w:t>
      </w:r>
      <w:r w:rsidRPr="000E4FE6">
        <w:rPr>
          <w:rFonts w:ascii="Times New Roman" w:hAnsi="Times New Roman" w:cs="Times New Roman"/>
          <w:sz w:val="24"/>
          <w:szCs w:val="24"/>
        </w:rPr>
        <w:t>(1–3), 6–10. https://doi.org/10.1016/j.regpep.2009.03.015</w:t>
      </w:r>
    </w:p>
    <w:p w14:paraId="00000D1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Domoff</w:t>
      </w:r>
      <w:proofErr w:type="spellEnd"/>
      <w:r w:rsidRPr="000E4FE6">
        <w:rPr>
          <w:rFonts w:ascii="Times New Roman" w:hAnsi="Times New Roman" w:cs="Times New Roman"/>
          <w:sz w:val="24"/>
          <w:szCs w:val="24"/>
        </w:rPr>
        <w:t xml:space="preserve">, S. E., Miller, A. L., </w:t>
      </w:r>
      <w:proofErr w:type="spellStart"/>
      <w:r w:rsidRPr="000E4FE6">
        <w:rPr>
          <w:rFonts w:ascii="Times New Roman" w:hAnsi="Times New Roman" w:cs="Times New Roman"/>
          <w:sz w:val="24"/>
          <w:szCs w:val="24"/>
        </w:rPr>
        <w:t>Kaciroti</w:t>
      </w:r>
      <w:proofErr w:type="spellEnd"/>
      <w:r w:rsidRPr="000E4FE6">
        <w:rPr>
          <w:rFonts w:ascii="Times New Roman" w:hAnsi="Times New Roman" w:cs="Times New Roman"/>
          <w:sz w:val="24"/>
          <w:szCs w:val="24"/>
        </w:rPr>
        <w:t xml:space="preserve">, N., and </w:t>
      </w:r>
      <w:proofErr w:type="spellStart"/>
      <w:r w:rsidRPr="000E4FE6">
        <w:rPr>
          <w:rFonts w:ascii="Times New Roman" w:hAnsi="Times New Roman" w:cs="Times New Roman"/>
          <w:sz w:val="24"/>
          <w:szCs w:val="24"/>
        </w:rPr>
        <w:t>Lumeng</w:t>
      </w:r>
      <w:proofErr w:type="spellEnd"/>
      <w:r w:rsidRPr="000E4FE6">
        <w:rPr>
          <w:rFonts w:ascii="Times New Roman" w:hAnsi="Times New Roman" w:cs="Times New Roman"/>
          <w:sz w:val="24"/>
          <w:szCs w:val="24"/>
        </w:rPr>
        <w:t>, J. C. (2015). Validation of the Children’s Eating Behaviour Questionnaire in a low-income preschool-aged sample in the United States.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95</w:t>
      </w:r>
      <w:r w:rsidRPr="000E4FE6">
        <w:rPr>
          <w:rFonts w:ascii="Times New Roman" w:hAnsi="Times New Roman" w:cs="Times New Roman"/>
          <w:sz w:val="24"/>
          <w:szCs w:val="24"/>
        </w:rPr>
        <w:t>, 415–420. https://doi.org/10.1016/j.appet.2015.08.002</w:t>
      </w:r>
    </w:p>
    <w:p w14:paraId="00000D1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Dong, J.-Y., Zhang, Z.-L., Wang, P.-Y., and Qin, L.-Q. (2013). Effects of high-protein diets on body weight, glycaemic control, blood lipids and blood pressure in type 2 diabetes: meta-analysis of randomised controlled trials.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110</w:t>
      </w:r>
      <w:r w:rsidRPr="000E4FE6">
        <w:rPr>
          <w:rFonts w:ascii="Times New Roman" w:hAnsi="Times New Roman" w:cs="Times New Roman"/>
          <w:sz w:val="24"/>
          <w:szCs w:val="24"/>
        </w:rPr>
        <w:t>(5), 781–789. https://doi.org/10.1017/S0007114513002055</w:t>
      </w:r>
    </w:p>
    <w:p w14:paraId="00000D1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Dowd, K. P., </w:t>
      </w:r>
      <w:proofErr w:type="spellStart"/>
      <w:r w:rsidRPr="000E4FE6">
        <w:rPr>
          <w:rFonts w:ascii="Times New Roman" w:hAnsi="Times New Roman" w:cs="Times New Roman"/>
          <w:sz w:val="24"/>
          <w:szCs w:val="24"/>
        </w:rPr>
        <w:t>Szeklicki</w:t>
      </w:r>
      <w:proofErr w:type="spellEnd"/>
      <w:r w:rsidRPr="000E4FE6">
        <w:rPr>
          <w:rFonts w:ascii="Times New Roman" w:hAnsi="Times New Roman" w:cs="Times New Roman"/>
          <w:sz w:val="24"/>
          <w:szCs w:val="24"/>
        </w:rPr>
        <w:t xml:space="preserve">, R., </w:t>
      </w:r>
      <w:proofErr w:type="spellStart"/>
      <w:r w:rsidRPr="000E4FE6">
        <w:rPr>
          <w:rFonts w:ascii="Times New Roman" w:hAnsi="Times New Roman" w:cs="Times New Roman"/>
          <w:sz w:val="24"/>
          <w:szCs w:val="24"/>
        </w:rPr>
        <w:t>Minetto</w:t>
      </w:r>
      <w:proofErr w:type="spellEnd"/>
      <w:r w:rsidRPr="000E4FE6">
        <w:rPr>
          <w:rFonts w:ascii="Times New Roman" w:hAnsi="Times New Roman" w:cs="Times New Roman"/>
          <w:sz w:val="24"/>
          <w:szCs w:val="24"/>
        </w:rPr>
        <w:t xml:space="preserve">, M. A., Murphy, M. H., </w:t>
      </w:r>
      <w:proofErr w:type="spellStart"/>
      <w:r w:rsidRPr="000E4FE6">
        <w:rPr>
          <w:rFonts w:ascii="Times New Roman" w:hAnsi="Times New Roman" w:cs="Times New Roman"/>
          <w:sz w:val="24"/>
          <w:szCs w:val="24"/>
        </w:rPr>
        <w:t>Polito</w:t>
      </w:r>
      <w:proofErr w:type="spellEnd"/>
      <w:r w:rsidRPr="000E4FE6">
        <w:rPr>
          <w:rFonts w:ascii="Times New Roman" w:hAnsi="Times New Roman" w:cs="Times New Roman"/>
          <w:sz w:val="24"/>
          <w:szCs w:val="24"/>
        </w:rPr>
        <w:t>, A., Ghigo, E., … Donnelly, A. E. (2018). A systematic literature review of reviews on techniques for physical activity measurement in adults: a DEDIPAC study. </w:t>
      </w:r>
      <w:r w:rsidRPr="000E4FE6">
        <w:rPr>
          <w:rFonts w:ascii="Times New Roman" w:hAnsi="Times New Roman" w:cs="Times New Roman"/>
          <w:i/>
          <w:sz w:val="24"/>
          <w:szCs w:val="24"/>
        </w:rPr>
        <w:t xml:space="preserve">The International Journal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Nutrition and Physical Activity</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(1), 15. https://doi.org/10.1186/s12966-017-0636-2</w:t>
      </w:r>
    </w:p>
    <w:p w14:paraId="00000D1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Drapeau, V., Blundell, J., Therrien, F., Lawton, C., Richard, D., and Tremblay, A. (2005). Appetite sensations as a marker of overall intake.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93</w:t>
      </w:r>
      <w:r w:rsidRPr="000E4FE6">
        <w:rPr>
          <w:rFonts w:ascii="Times New Roman" w:hAnsi="Times New Roman" w:cs="Times New Roman"/>
          <w:sz w:val="24"/>
          <w:szCs w:val="24"/>
        </w:rPr>
        <w:t>(2), 273–280. https://doi.org/10.1079/bjn20041312</w:t>
      </w:r>
    </w:p>
    <w:p w14:paraId="00000D1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Drapeau, V., King, N., Hetherington, M., Doucet, E., Blundell, J., and Tremblay, A. (2007). Appetite sensations and satiety quotient: predictors of energy intake and weight loss.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48</w:t>
      </w:r>
      <w:r w:rsidRPr="000E4FE6">
        <w:rPr>
          <w:rFonts w:ascii="Times New Roman" w:hAnsi="Times New Roman" w:cs="Times New Roman"/>
          <w:sz w:val="24"/>
          <w:szCs w:val="24"/>
        </w:rPr>
        <w:t>(2), 159–166. https://doi.org/10.1016/j.appet.2006.08.002</w:t>
      </w:r>
    </w:p>
    <w:p w14:paraId="00000D1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Drewnowski</w:t>
      </w:r>
      <w:proofErr w:type="spellEnd"/>
      <w:r w:rsidRPr="000E4FE6">
        <w:rPr>
          <w:rFonts w:ascii="Times New Roman" w:hAnsi="Times New Roman" w:cs="Times New Roman"/>
          <w:sz w:val="24"/>
          <w:szCs w:val="24"/>
        </w:rPr>
        <w:t>, A. (1985). Food perceptions and preferences of obese adults: a multidimensional approach.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(3), 201–212.</w:t>
      </w:r>
    </w:p>
    <w:p w14:paraId="00000D1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Drewnowski</w:t>
      </w:r>
      <w:proofErr w:type="spellEnd"/>
      <w:r w:rsidRPr="000E4FE6">
        <w:rPr>
          <w:rFonts w:ascii="Times New Roman" w:hAnsi="Times New Roman" w:cs="Times New Roman"/>
          <w:sz w:val="24"/>
          <w:szCs w:val="24"/>
        </w:rPr>
        <w:t>, A., Henderson, S. A., Shore, A. B., and Barratt-</w:t>
      </w:r>
      <w:proofErr w:type="spellStart"/>
      <w:r w:rsidRPr="000E4FE6">
        <w:rPr>
          <w:rFonts w:ascii="Times New Roman" w:hAnsi="Times New Roman" w:cs="Times New Roman"/>
          <w:sz w:val="24"/>
          <w:szCs w:val="24"/>
        </w:rPr>
        <w:t>Fornell</w:t>
      </w:r>
      <w:proofErr w:type="spellEnd"/>
      <w:r w:rsidRPr="000E4FE6">
        <w:rPr>
          <w:rFonts w:ascii="Times New Roman" w:hAnsi="Times New Roman" w:cs="Times New Roman"/>
          <w:sz w:val="24"/>
          <w:szCs w:val="24"/>
        </w:rPr>
        <w:t xml:space="preserve">, A. (1997). </w:t>
      </w:r>
      <w:proofErr w:type="spellStart"/>
      <w:r w:rsidRPr="000E4FE6">
        <w:rPr>
          <w:rFonts w:ascii="Times New Roman" w:hAnsi="Times New Roman" w:cs="Times New Roman"/>
          <w:sz w:val="24"/>
          <w:szCs w:val="24"/>
        </w:rPr>
        <w:t>Nontasters</w:t>
      </w:r>
      <w:proofErr w:type="spellEnd"/>
      <w:r w:rsidRPr="000E4FE6">
        <w:rPr>
          <w:rFonts w:ascii="Times New Roman" w:hAnsi="Times New Roman" w:cs="Times New Roman"/>
          <w:sz w:val="24"/>
          <w:szCs w:val="24"/>
        </w:rPr>
        <w:t>, tasters, and supertasters of 6-n-propylthiouracil (PROP) and hedonic response to sweet.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62</w:t>
      </w:r>
      <w:r w:rsidRPr="000E4FE6">
        <w:rPr>
          <w:rFonts w:ascii="Times New Roman" w:hAnsi="Times New Roman" w:cs="Times New Roman"/>
          <w:sz w:val="24"/>
          <w:szCs w:val="24"/>
        </w:rPr>
        <w:t>(3), 649–655. https://doi.org/10.1016/s0031-9384(97)00193-5</w:t>
      </w:r>
    </w:p>
    <w:p w14:paraId="00000D1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Drummond, S. E., Crombie, N. E., </w:t>
      </w:r>
      <w:proofErr w:type="spellStart"/>
      <w:r w:rsidRPr="000E4FE6">
        <w:rPr>
          <w:rFonts w:ascii="Times New Roman" w:hAnsi="Times New Roman" w:cs="Times New Roman"/>
          <w:sz w:val="24"/>
          <w:szCs w:val="24"/>
        </w:rPr>
        <w:t>Cursiter</w:t>
      </w:r>
      <w:proofErr w:type="spellEnd"/>
      <w:r w:rsidRPr="000E4FE6">
        <w:rPr>
          <w:rFonts w:ascii="Times New Roman" w:hAnsi="Times New Roman" w:cs="Times New Roman"/>
          <w:sz w:val="24"/>
          <w:szCs w:val="24"/>
        </w:rPr>
        <w:t>, M. C., and Kirk, T. R. (1998). Evidence that eating frequency is inversely related to body weight status in male, but not female, non-obese adults reporting valid dietary intakes.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22</w:t>
      </w:r>
      <w:r w:rsidRPr="000E4FE6">
        <w:rPr>
          <w:rFonts w:ascii="Times New Roman" w:hAnsi="Times New Roman" w:cs="Times New Roman"/>
          <w:sz w:val="24"/>
          <w:szCs w:val="24"/>
        </w:rPr>
        <w:t>(2), 105–112. https://doi.org/10.1038/sj.ijo.0800552</w:t>
      </w:r>
    </w:p>
    <w:p w14:paraId="00000D1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Duarte, C., Gouveia, J. P., and Mendes, A. (2016). Psychometric properties of the Intuitive Eating Scale-2 and association with binge eating symptoms in a Portuguese community sample. </w:t>
      </w:r>
      <w:r w:rsidRPr="000E4FE6">
        <w:rPr>
          <w:rFonts w:ascii="Times New Roman" w:hAnsi="Times New Roman" w:cs="Times New Roman"/>
          <w:i/>
          <w:sz w:val="24"/>
          <w:szCs w:val="24"/>
        </w:rPr>
        <w:t>International Journal of Psychology and Psychological Therapy</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(3), 329–341.</w:t>
      </w:r>
    </w:p>
    <w:p w14:paraId="00000D1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Ducrot</w:t>
      </w:r>
      <w:proofErr w:type="spellEnd"/>
      <w:r w:rsidRPr="000E4FE6">
        <w:rPr>
          <w:rFonts w:ascii="Times New Roman" w:hAnsi="Times New Roman" w:cs="Times New Roman"/>
          <w:sz w:val="24"/>
          <w:szCs w:val="24"/>
        </w:rPr>
        <w:t xml:space="preserve">, P., </w:t>
      </w:r>
      <w:proofErr w:type="spellStart"/>
      <w:r w:rsidRPr="000E4FE6">
        <w:rPr>
          <w:rFonts w:ascii="Times New Roman" w:hAnsi="Times New Roman" w:cs="Times New Roman"/>
          <w:sz w:val="24"/>
          <w:szCs w:val="24"/>
        </w:rPr>
        <w:t>Méjean</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Aroumougame</w:t>
      </w:r>
      <w:proofErr w:type="spellEnd"/>
      <w:r w:rsidRPr="000E4FE6">
        <w:rPr>
          <w:rFonts w:ascii="Times New Roman" w:hAnsi="Times New Roman" w:cs="Times New Roman"/>
          <w:sz w:val="24"/>
          <w:szCs w:val="24"/>
        </w:rPr>
        <w:t xml:space="preserve">, V., Ibanez, G., </w:t>
      </w:r>
      <w:proofErr w:type="spellStart"/>
      <w:r w:rsidRPr="000E4FE6">
        <w:rPr>
          <w:rFonts w:ascii="Times New Roman" w:hAnsi="Times New Roman" w:cs="Times New Roman"/>
          <w:sz w:val="24"/>
          <w:szCs w:val="24"/>
        </w:rPr>
        <w:t>Allès</w:t>
      </w:r>
      <w:proofErr w:type="spellEnd"/>
      <w:r w:rsidRPr="000E4FE6">
        <w:rPr>
          <w:rFonts w:ascii="Times New Roman" w:hAnsi="Times New Roman" w:cs="Times New Roman"/>
          <w:sz w:val="24"/>
          <w:szCs w:val="24"/>
        </w:rPr>
        <w:t xml:space="preserve">, B., </w:t>
      </w:r>
      <w:proofErr w:type="spellStart"/>
      <w:r w:rsidRPr="000E4FE6">
        <w:rPr>
          <w:rFonts w:ascii="Times New Roman" w:hAnsi="Times New Roman" w:cs="Times New Roman"/>
          <w:sz w:val="24"/>
          <w:szCs w:val="24"/>
        </w:rPr>
        <w:t>Kesse</w:t>
      </w:r>
      <w:proofErr w:type="spellEnd"/>
      <w:r w:rsidRPr="000E4FE6">
        <w:rPr>
          <w:rFonts w:ascii="Times New Roman" w:hAnsi="Times New Roman" w:cs="Times New Roman"/>
          <w:sz w:val="24"/>
          <w:szCs w:val="24"/>
        </w:rPr>
        <w:t xml:space="preserve">-Guyot, E., … </w:t>
      </w:r>
      <w:proofErr w:type="spellStart"/>
      <w:r w:rsidRPr="000E4FE6">
        <w:rPr>
          <w:rFonts w:ascii="Times New Roman" w:hAnsi="Times New Roman" w:cs="Times New Roman"/>
          <w:sz w:val="24"/>
          <w:szCs w:val="24"/>
        </w:rPr>
        <w:t>Péneau</w:t>
      </w:r>
      <w:proofErr w:type="spellEnd"/>
      <w:r w:rsidRPr="000E4FE6">
        <w:rPr>
          <w:rFonts w:ascii="Times New Roman" w:hAnsi="Times New Roman" w:cs="Times New Roman"/>
          <w:sz w:val="24"/>
          <w:szCs w:val="24"/>
        </w:rPr>
        <w:t>, S. (2017). Meal planning is associated with food variety, diet quality and body weight status in a large sample of French adults. </w:t>
      </w:r>
      <w:r w:rsidRPr="000E4FE6">
        <w:rPr>
          <w:rFonts w:ascii="Times New Roman" w:hAnsi="Times New Roman" w:cs="Times New Roman"/>
          <w:i/>
          <w:sz w:val="24"/>
          <w:szCs w:val="24"/>
        </w:rPr>
        <w:t xml:space="preserve">The International Journal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Nutrition and Physical Activity</w:t>
      </w:r>
      <w:r w:rsidRPr="000E4FE6">
        <w:rPr>
          <w:rFonts w:ascii="Times New Roman" w:hAnsi="Times New Roman" w:cs="Times New Roman"/>
          <w:sz w:val="24"/>
          <w:szCs w:val="24"/>
        </w:rPr>
        <w:t>, </w:t>
      </w:r>
      <w:r w:rsidRPr="000E4FE6">
        <w:rPr>
          <w:rFonts w:ascii="Times New Roman" w:hAnsi="Times New Roman" w:cs="Times New Roman"/>
          <w:i/>
          <w:sz w:val="24"/>
          <w:szCs w:val="24"/>
        </w:rPr>
        <w:t>14</w:t>
      </w:r>
      <w:r w:rsidRPr="000E4FE6">
        <w:rPr>
          <w:rFonts w:ascii="Times New Roman" w:hAnsi="Times New Roman" w:cs="Times New Roman"/>
          <w:sz w:val="24"/>
          <w:szCs w:val="24"/>
        </w:rPr>
        <w:t>(1), 12. https://doi.org/10.1186/s12966-017-0461-7</w:t>
      </w:r>
    </w:p>
    <w:p w14:paraId="00000D1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Duffey, K. J., Pereira, R. A., and Popkin, B. M. (2013). Prevalence and energy intake from snacking in Brazil: analysis of the first nationwide individual survey. </w:t>
      </w:r>
      <w:r w:rsidRPr="000E4FE6">
        <w:rPr>
          <w:rFonts w:ascii="Times New Roman" w:hAnsi="Times New Roman" w:cs="Times New Roman"/>
          <w:i/>
          <w:sz w:val="24"/>
          <w:szCs w:val="24"/>
        </w:rPr>
        <w:t>European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67</w:t>
      </w:r>
      <w:r w:rsidRPr="000E4FE6">
        <w:rPr>
          <w:rFonts w:ascii="Times New Roman" w:hAnsi="Times New Roman" w:cs="Times New Roman"/>
          <w:sz w:val="24"/>
          <w:szCs w:val="24"/>
        </w:rPr>
        <w:t>(8), 868–874. https://doi.org/10.1038/ejcn.2013.60</w:t>
      </w:r>
    </w:p>
    <w:p w14:paraId="00000D1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Dykes, J., Brunner, E. J., </w:t>
      </w:r>
      <w:proofErr w:type="spellStart"/>
      <w:r w:rsidRPr="000E4FE6">
        <w:rPr>
          <w:rFonts w:ascii="Times New Roman" w:hAnsi="Times New Roman" w:cs="Times New Roman"/>
          <w:sz w:val="24"/>
          <w:szCs w:val="24"/>
        </w:rPr>
        <w:t>Martikainen</w:t>
      </w:r>
      <w:proofErr w:type="spellEnd"/>
      <w:r w:rsidRPr="000E4FE6">
        <w:rPr>
          <w:rFonts w:ascii="Times New Roman" w:hAnsi="Times New Roman" w:cs="Times New Roman"/>
          <w:sz w:val="24"/>
          <w:szCs w:val="24"/>
        </w:rPr>
        <w:t>, P. T., and Wardle, J. (2004). Socioeconomic gradient in body size and obesity among women: the role of dietary restraint, disinhibition and hunger in the Whitehall II study.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(2), 262–268. https://doi.org/10.1038/sj.ijo.0802523</w:t>
      </w:r>
    </w:p>
    <w:p w14:paraId="00000D2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Eicher-Miller, H. A., Khanna, N., Boushey, C. J., Gelfand, S. B., and </w:t>
      </w:r>
      <w:proofErr w:type="spellStart"/>
      <w:r w:rsidRPr="000E4FE6">
        <w:rPr>
          <w:rFonts w:ascii="Times New Roman" w:hAnsi="Times New Roman" w:cs="Times New Roman"/>
          <w:sz w:val="24"/>
          <w:szCs w:val="24"/>
        </w:rPr>
        <w:t>Delp</w:t>
      </w:r>
      <w:proofErr w:type="spellEnd"/>
      <w:r w:rsidRPr="000E4FE6">
        <w:rPr>
          <w:rFonts w:ascii="Times New Roman" w:hAnsi="Times New Roman" w:cs="Times New Roman"/>
          <w:sz w:val="24"/>
          <w:szCs w:val="24"/>
        </w:rPr>
        <w:t>, E. J. (2016). Temporal Dietary Patterns Derived among the Adult Participants of the National Health and Nutrition Examination Survey 1999-2004 Are Associated with Diet Quality. </w:t>
      </w:r>
      <w:r w:rsidRPr="000E4FE6">
        <w:rPr>
          <w:rFonts w:ascii="Times New Roman" w:hAnsi="Times New Roman" w:cs="Times New Roman"/>
          <w:i/>
          <w:sz w:val="24"/>
          <w:szCs w:val="24"/>
        </w:rPr>
        <w:t>Journal of the Academy of Nutrition and Dietetics</w:t>
      </w:r>
      <w:r w:rsidRPr="000E4FE6">
        <w:rPr>
          <w:rFonts w:ascii="Times New Roman" w:hAnsi="Times New Roman" w:cs="Times New Roman"/>
          <w:sz w:val="24"/>
          <w:szCs w:val="24"/>
        </w:rPr>
        <w:t>, </w:t>
      </w:r>
      <w:r w:rsidRPr="000E4FE6">
        <w:rPr>
          <w:rFonts w:ascii="Times New Roman" w:hAnsi="Times New Roman" w:cs="Times New Roman"/>
          <w:i/>
          <w:sz w:val="24"/>
          <w:szCs w:val="24"/>
        </w:rPr>
        <w:t>116</w:t>
      </w:r>
      <w:r w:rsidRPr="000E4FE6">
        <w:rPr>
          <w:rFonts w:ascii="Times New Roman" w:hAnsi="Times New Roman" w:cs="Times New Roman"/>
          <w:sz w:val="24"/>
          <w:szCs w:val="24"/>
        </w:rPr>
        <w:t>(2), 283–291. https://doi.org/10.1016/j.jand.2015.05.014</w:t>
      </w:r>
    </w:p>
    <w:p w14:paraId="00000D2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Ekmekcioglu</w:t>
      </w:r>
      <w:proofErr w:type="spellEnd"/>
      <w:r w:rsidRPr="000E4FE6">
        <w:rPr>
          <w:rFonts w:ascii="Times New Roman" w:hAnsi="Times New Roman" w:cs="Times New Roman"/>
          <w:sz w:val="24"/>
          <w:szCs w:val="24"/>
        </w:rPr>
        <w:t>, C., and Touitou, Y. (2011). Chronobiological aspects of food intake and metabolism and their relevance on energy balance and weight regulation.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(1), 14–25. https://doi.org/10.1111/j.1467-789X.2010.00716.x</w:t>
      </w:r>
    </w:p>
    <w:p w14:paraId="00000D2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Eldridge, S. M., Lancaster, G. A., Campbell, M. J., Thabane, L., Hopewell, S., Coleman, C. L., and Bond, C. M. (2016). Defining feasibility and pilot studies in preparation for randomised controlled trials: development of a conceptual framework. </w:t>
      </w:r>
      <w:proofErr w:type="spellStart"/>
      <w:r w:rsidRPr="000E4FE6">
        <w:rPr>
          <w:rFonts w:ascii="Times New Roman" w:hAnsi="Times New Roman" w:cs="Times New Roman"/>
          <w:i/>
          <w:sz w:val="24"/>
          <w:szCs w:val="24"/>
        </w:rPr>
        <w:t>Plos</w:t>
      </w:r>
      <w:proofErr w:type="spellEnd"/>
      <w:r w:rsidRPr="000E4FE6">
        <w:rPr>
          <w:rFonts w:ascii="Times New Roman" w:hAnsi="Times New Roman" w:cs="Times New Roman"/>
          <w:i/>
          <w:sz w:val="24"/>
          <w:szCs w:val="24"/>
        </w:rPr>
        <w:t xml:space="preserve"> One</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(3), e0150205. https://doi.org/10.1371/journal.pone.0150205</w:t>
      </w:r>
    </w:p>
    <w:p w14:paraId="00000D2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Elfhag</w:t>
      </w:r>
      <w:proofErr w:type="spellEnd"/>
      <w:r w:rsidRPr="000E4FE6">
        <w:rPr>
          <w:rFonts w:ascii="Times New Roman" w:hAnsi="Times New Roman" w:cs="Times New Roman"/>
          <w:sz w:val="24"/>
          <w:szCs w:val="24"/>
        </w:rPr>
        <w:t xml:space="preserve">, K., </w:t>
      </w:r>
      <w:proofErr w:type="spellStart"/>
      <w:r w:rsidRPr="000E4FE6">
        <w:rPr>
          <w:rFonts w:ascii="Times New Roman" w:hAnsi="Times New Roman" w:cs="Times New Roman"/>
          <w:sz w:val="24"/>
          <w:szCs w:val="24"/>
        </w:rPr>
        <w:t>Tholin</w:t>
      </w:r>
      <w:proofErr w:type="spellEnd"/>
      <w:r w:rsidRPr="000E4FE6">
        <w:rPr>
          <w:rFonts w:ascii="Times New Roman" w:hAnsi="Times New Roman" w:cs="Times New Roman"/>
          <w:sz w:val="24"/>
          <w:szCs w:val="24"/>
        </w:rPr>
        <w:t>, S., and Rasmussen, F. (2008). Consumption of fruit, vegetables, sweets and soft drinks are associated with psychological dimensions of eating behaviour in parents and their 12-year-old children.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(9), 914–923. https://doi.org/10.1017/S1368980008002371</w:t>
      </w:r>
    </w:p>
    <w:p w14:paraId="00000D2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Embling</w:t>
      </w:r>
      <w:proofErr w:type="spellEnd"/>
      <w:r w:rsidRPr="000E4FE6">
        <w:rPr>
          <w:rFonts w:ascii="Times New Roman" w:hAnsi="Times New Roman" w:cs="Times New Roman"/>
          <w:sz w:val="24"/>
          <w:szCs w:val="24"/>
        </w:rPr>
        <w:t>, R., Lee, M. D., Price, M., and Wilkinson, L. L. (2021). Testing an online measure of portion size selection: a pilot study concerned with the measurement of ideal portion size. </w:t>
      </w:r>
      <w:r w:rsidRPr="000E4FE6">
        <w:rPr>
          <w:rFonts w:ascii="Times New Roman" w:hAnsi="Times New Roman" w:cs="Times New Roman"/>
          <w:i/>
          <w:sz w:val="24"/>
          <w:szCs w:val="24"/>
        </w:rPr>
        <w:t>Pilot and Feasibility Studies</w:t>
      </w:r>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(1), 177. https://doi.org/10.1186/s40814-021-00908-x</w:t>
      </w:r>
    </w:p>
    <w:p w14:paraId="00000D2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Embling</w:t>
      </w:r>
      <w:proofErr w:type="spellEnd"/>
      <w:r w:rsidRPr="000E4FE6">
        <w:rPr>
          <w:rFonts w:ascii="Times New Roman" w:hAnsi="Times New Roman" w:cs="Times New Roman"/>
          <w:sz w:val="24"/>
          <w:szCs w:val="24"/>
        </w:rPr>
        <w:t xml:space="preserve">, R., Pink, A. E., </w:t>
      </w:r>
      <w:proofErr w:type="spellStart"/>
      <w:r w:rsidRPr="000E4FE6">
        <w:rPr>
          <w:rFonts w:ascii="Times New Roman" w:hAnsi="Times New Roman" w:cs="Times New Roman"/>
          <w:sz w:val="24"/>
          <w:szCs w:val="24"/>
        </w:rPr>
        <w:t>Gatzemeier</w:t>
      </w:r>
      <w:proofErr w:type="spellEnd"/>
      <w:r w:rsidRPr="000E4FE6">
        <w:rPr>
          <w:rFonts w:ascii="Times New Roman" w:hAnsi="Times New Roman" w:cs="Times New Roman"/>
          <w:sz w:val="24"/>
          <w:szCs w:val="24"/>
        </w:rPr>
        <w:t>, J., Price, M., D Lee, M., and Wilkinson, L. L. (2021). Effect of food variety on intake of a meal: a systematic review and meta-analysis.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113</w:t>
      </w:r>
      <w:r w:rsidRPr="000E4FE6">
        <w:rPr>
          <w:rFonts w:ascii="Times New Roman" w:hAnsi="Times New Roman" w:cs="Times New Roman"/>
          <w:sz w:val="24"/>
          <w:szCs w:val="24"/>
        </w:rPr>
        <w:t>(3), 716–741. https://doi.org/10.1093/ajcn/nqaa352</w:t>
      </w:r>
    </w:p>
    <w:p w14:paraId="00000D2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Engstrom, J. L., Paterson, S. A., Doherty, A., </w:t>
      </w:r>
      <w:proofErr w:type="spellStart"/>
      <w:r w:rsidRPr="000E4FE6">
        <w:rPr>
          <w:rFonts w:ascii="Times New Roman" w:hAnsi="Times New Roman" w:cs="Times New Roman"/>
          <w:sz w:val="24"/>
          <w:szCs w:val="24"/>
        </w:rPr>
        <w:t>Trabulsi</w:t>
      </w:r>
      <w:proofErr w:type="spellEnd"/>
      <w:r w:rsidRPr="000E4FE6">
        <w:rPr>
          <w:rFonts w:ascii="Times New Roman" w:hAnsi="Times New Roman" w:cs="Times New Roman"/>
          <w:sz w:val="24"/>
          <w:szCs w:val="24"/>
        </w:rPr>
        <w:t>, M., and Speer, K. L. (2003). Accuracy of self-reported height and weight in women: an integrative review of the literature. </w:t>
      </w:r>
      <w:r w:rsidRPr="000E4FE6">
        <w:rPr>
          <w:rFonts w:ascii="Times New Roman" w:hAnsi="Times New Roman" w:cs="Times New Roman"/>
          <w:i/>
          <w:sz w:val="24"/>
          <w:szCs w:val="24"/>
        </w:rPr>
        <w:t>Journal of Midwifery &amp; Women’s Health</w:t>
      </w:r>
      <w:r w:rsidRPr="000E4FE6">
        <w:rPr>
          <w:rFonts w:ascii="Times New Roman" w:hAnsi="Times New Roman" w:cs="Times New Roman"/>
          <w:sz w:val="24"/>
          <w:szCs w:val="24"/>
        </w:rPr>
        <w:t>, </w:t>
      </w:r>
      <w:r w:rsidRPr="000E4FE6">
        <w:rPr>
          <w:rFonts w:ascii="Times New Roman" w:hAnsi="Times New Roman" w:cs="Times New Roman"/>
          <w:i/>
          <w:sz w:val="24"/>
          <w:szCs w:val="24"/>
        </w:rPr>
        <w:t>48</w:t>
      </w:r>
      <w:r w:rsidRPr="000E4FE6">
        <w:rPr>
          <w:rFonts w:ascii="Times New Roman" w:hAnsi="Times New Roman" w:cs="Times New Roman"/>
          <w:sz w:val="24"/>
          <w:szCs w:val="24"/>
        </w:rPr>
        <w:t>(5), 338–345. https://doi.org/10.1016/s1526-9523(03)00281-2</w:t>
      </w:r>
    </w:p>
    <w:p w14:paraId="00000D2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Epstein, L. H., Raja, S., Daniel, T. O., </w:t>
      </w:r>
      <w:proofErr w:type="spellStart"/>
      <w:r w:rsidRPr="000E4FE6">
        <w:rPr>
          <w:rFonts w:ascii="Times New Roman" w:hAnsi="Times New Roman" w:cs="Times New Roman"/>
          <w:sz w:val="24"/>
          <w:szCs w:val="24"/>
        </w:rPr>
        <w:t>Paluch</w:t>
      </w:r>
      <w:proofErr w:type="spellEnd"/>
      <w:r w:rsidRPr="000E4FE6">
        <w:rPr>
          <w:rFonts w:ascii="Times New Roman" w:hAnsi="Times New Roman" w:cs="Times New Roman"/>
          <w:sz w:val="24"/>
          <w:szCs w:val="24"/>
        </w:rPr>
        <w:t xml:space="preserve">, R. A., Wilfley, D. E., </w:t>
      </w:r>
      <w:proofErr w:type="spellStart"/>
      <w:r w:rsidRPr="000E4FE6">
        <w:rPr>
          <w:rFonts w:ascii="Times New Roman" w:hAnsi="Times New Roman" w:cs="Times New Roman"/>
          <w:sz w:val="24"/>
          <w:szCs w:val="24"/>
        </w:rPr>
        <w:t>Saelens</w:t>
      </w:r>
      <w:proofErr w:type="spellEnd"/>
      <w:r w:rsidRPr="000E4FE6">
        <w:rPr>
          <w:rFonts w:ascii="Times New Roman" w:hAnsi="Times New Roman" w:cs="Times New Roman"/>
          <w:sz w:val="24"/>
          <w:szCs w:val="24"/>
        </w:rPr>
        <w:t xml:space="preserve">, B. E., and </w:t>
      </w:r>
      <w:proofErr w:type="spellStart"/>
      <w:r w:rsidRPr="000E4FE6">
        <w:rPr>
          <w:rFonts w:ascii="Times New Roman" w:hAnsi="Times New Roman" w:cs="Times New Roman"/>
          <w:sz w:val="24"/>
          <w:szCs w:val="24"/>
        </w:rPr>
        <w:t>Roemmich</w:t>
      </w:r>
      <w:proofErr w:type="spellEnd"/>
      <w:r w:rsidRPr="000E4FE6">
        <w:rPr>
          <w:rFonts w:ascii="Times New Roman" w:hAnsi="Times New Roman" w:cs="Times New Roman"/>
          <w:sz w:val="24"/>
          <w:szCs w:val="24"/>
        </w:rPr>
        <w:t xml:space="preserve">, J. N. (2012). The built environment </w:t>
      </w:r>
      <w:proofErr w:type="gramStart"/>
      <w:r w:rsidRPr="000E4FE6">
        <w:rPr>
          <w:rFonts w:ascii="Times New Roman" w:hAnsi="Times New Roman" w:cs="Times New Roman"/>
          <w:sz w:val="24"/>
          <w:szCs w:val="24"/>
        </w:rPr>
        <w:t>moderates</w:t>
      </w:r>
      <w:proofErr w:type="gramEnd"/>
      <w:r w:rsidRPr="000E4FE6">
        <w:rPr>
          <w:rFonts w:ascii="Times New Roman" w:hAnsi="Times New Roman" w:cs="Times New Roman"/>
          <w:sz w:val="24"/>
          <w:szCs w:val="24"/>
        </w:rPr>
        <w:t xml:space="preserve"> effects of family-based childhood obesity treatment over 2 years. </w:t>
      </w:r>
      <w:r w:rsidRPr="000E4FE6">
        <w:rPr>
          <w:rFonts w:ascii="Times New Roman" w:hAnsi="Times New Roman" w:cs="Times New Roman"/>
          <w:i/>
          <w:sz w:val="24"/>
          <w:szCs w:val="24"/>
        </w:rPr>
        <w:t xml:space="preserve">Annals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44</w:t>
      </w:r>
      <w:r w:rsidRPr="000E4FE6">
        <w:rPr>
          <w:rFonts w:ascii="Times New Roman" w:hAnsi="Times New Roman" w:cs="Times New Roman"/>
          <w:sz w:val="24"/>
          <w:szCs w:val="24"/>
        </w:rPr>
        <w:t>(2), 248–258. https://doi.org/10.1007/s12160-012-9383-4</w:t>
      </w:r>
    </w:p>
    <w:p w14:paraId="00000D2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Eskin</w:t>
      </w:r>
      <w:proofErr w:type="spellEnd"/>
      <w:r w:rsidRPr="000E4FE6">
        <w:rPr>
          <w:rFonts w:ascii="Times New Roman" w:hAnsi="Times New Roman" w:cs="Times New Roman"/>
          <w:sz w:val="24"/>
          <w:szCs w:val="24"/>
        </w:rPr>
        <w:t>, M., and Parr, D. (1996). Introducing a Swedish version of an instrument measuring mental stress. </w:t>
      </w:r>
      <w:r w:rsidRPr="000E4FE6">
        <w:rPr>
          <w:rFonts w:ascii="Times New Roman" w:hAnsi="Times New Roman" w:cs="Times New Roman"/>
          <w:i/>
          <w:sz w:val="24"/>
          <w:szCs w:val="24"/>
        </w:rPr>
        <w:t>Introducing a Swedish Version of an Instrument Measuring Mental Stress</w:t>
      </w:r>
      <w:r w:rsidRPr="000E4FE6">
        <w:rPr>
          <w:rFonts w:ascii="Times New Roman" w:hAnsi="Times New Roman" w:cs="Times New Roman"/>
          <w:sz w:val="24"/>
          <w:szCs w:val="24"/>
        </w:rPr>
        <w:t>.</w:t>
      </w:r>
    </w:p>
    <w:p w14:paraId="00000D2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Espel</w:t>
      </w:r>
      <w:proofErr w:type="spellEnd"/>
      <w:r w:rsidRPr="000E4FE6">
        <w:rPr>
          <w:rFonts w:ascii="Times New Roman" w:hAnsi="Times New Roman" w:cs="Times New Roman"/>
          <w:sz w:val="24"/>
          <w:szCs w:val="24"/>
        </w:rPr>
        <w:t xml:space="preserve">-Huynh, H. M., </w:t>
      </w:r>
      <w:proofErr w:type="spellStart"/>
      <w:r w:rsidRPr="000E4FE6">
        <w:rPr>
          <w:rFonts w:ascii="Times New Roman" w:hAnsi="Times New Roman" w:cs="Times New Roman"/>
          <w:sz w:val="24"/>
          <w:szCs w:val="24"/>
        </w:rPr>
        <w:t>Muratore</w:t>
      </w:r>
      <w:proofErr w:type="spellEnd"/>
      <w:r w:rsidRPr="000E4FE6">
        <w:rPr>
          <w:rFonts w:ascii="Times New Roman" w:hAnsi="Times New Roman" w:cs="Times New Roman"/>
          <w:sz w:val="24"/>
          <w:szCs w:val="24"/>
        </w:rPr>
        <w:t>, A. F., and Lowe, M. R. (2018). A narrative review of the construct of hedonic hunger and its measurement by the Power of Food Scale. </w:t>
      </w:r>
      <w:r w:rsidRPr="000E4FE6">
        <w:rPr>
          <w:rFonts w:ascii="Times New Roman" w:hAnsi="Times New Roman" w:cs="Times New Roman"/>
          <w:i/>
          <w:sz w:val="24"/>
          <w:szCs w:val="24"/>
        </w:rPr>
        <w:t>Obesity Science &amp; Practice</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(3), 238–249. https://doi.org/10.1002/osp4.161</w:t>
      </w:r>
    </w:p>
    <w:p w14:paraId="00000D2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Everitt, B. (2001). </w:t>
      </w:r>
      <w:r w:rsidRPr="000E4FE6">
        <w:rPr>
          <w:rFonts w:ascii="Times New Roman" w:hAnsi="Times New Roman" w:cs="Times New Roman"/>
          <w:i/>
          <w:sz w:val="24"/>
          <w:szCs w:val="24"/>
        </w:rPr>
        <w:t>Landau S. Leese M.: Cluster Analysis, 4’th edition.</w:t>
      </w:r>
    </w:p>
    <w:p w14:paraId="00000D2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Ewing, R., </w:t>
      </w:r>
      <w:proofErr w:type="spellStart"/>
      <w:r w:rsidRPr="000E4FE6">
        <w:rPr>
          <w:rFonts w:ascii="Times New Roman" w:hAnsi="Times New Roman" w:cs="Times New Roman"/>
          <w:sz w:val="24"/>
          <w:szCs w:val="24"/>
        </w:rPr>
        <w:t>Meakins</w:t>
      </w:r>
      <w:proofErr w:type="spellEnd"/>
      <w:r w:rsidRPr="000E4FE6">
        <w:rPr>
          <w:rFonts w:ascii="Times New Roman" w:hAnsi="Times New Roman" w:cs="Times New Roman"/>
          <w:sz w:val="24"/>
          <w:szCs w:val="24"/>
        </w:rPr>
        <w:t>, G., Hamidi, S., and Nelson, A. C. (2014). Relationship between urban sprawl and physical activity, obesity, and morbidity - update and refinement. </w:t>
      </w:r>
      <w:r w:rsidRPr="000E4FE6">
        <w:rPr>
          <w:rFonts w:ascii="Times New Roman" w:hAnsi="Times New Roman" w:cs="Times New Roman"/>
          <w:i/>
          <w:sz w:val="24"/>
          <w:szCs w:val="24"/>
        </w:rPr>
        <w:t>Health &amp; Place</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 118–126. https://doi.org/10.1016/j.healthplace.2013.12.008</w:t>
      </w:r>
    </w:p>
    <w:p w14:paraId="00000D2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Falbe</w:t>
      </w:r>
      <w:proofErr w:type="spellEnd"/>
      <w:r w:rsidRPr="000E4FE6">
        <w:rPr>
          <w:rFonts w:ascii="Times New Roman" w:hAnsi="Times New Roman" w:cs="Times New Roman"/>
          <w:sz w:val="24"/>
          <w:szCs w:val="24"/>
        </w:rPr>
        <w:t xml:space="preserve">, J., Davison, K. K., </w:t>
      </w:r>
      <w:proofErr w:type="spellStart"/>
      <w:r w:rsidRPr="000E4FE6">
        <w:rPr>
          <w:rFonts w:ascii="Times New Roman" w:hAnsi="Times New Roman" w:cs="Times New Roman"/>
          <w:sz w:val="24"/>
          <w:szCs w:val="24"/>
        </w:rPr>
        <w:t>Franckle</w:t>
      </w:r>
      <w:proofErr w:type="spellEnd"/>
      <w:r w:rsidRPr="000E4FE6">
        <w:rPr>
          <w:rFonts w:ascii="Times New Roman" w:hAnsi="Times New Roman" w:cs="Times New Roman"/>
          <w:sz w:val="24"/>
          <w:szCs w:val="24"/>
        </w:rPr>
        <w:t xml:space="preserve">, R. L., </w:t>
      </w:r>
      <w:proofErr w:type="spellStart"/>
      <w:r w:rsidRPr="000E4FE6">
        <w:rPr>
          <w:rFonts w:ascii="Times New Roman" w:hAnsi="Times New Roman" w:cs="Times New Roman"/>
          <w:sz w:val="24"/>
          <w:szCs w:val="24"/>
        </w:rPr>
        <w:t>Ganter</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Gortmaker</w:t>
      </w:r>
      <w:proofErr w:type="spellEnd"/>
      <w:r w:rsidRPr="000E4FE6">
        <w:rPr>
          <w:rFonts w:ascii="Times New Roman" w:hAnsi="Times New Roman" w:cs="Times New Roman"/>
          <w:sz w:val="24"/>
          <w:szCs w:val="24"/>
        </w:rPr>
        <w:t>, S. L., Smith, L., … Taveras, E. M. (2015). Sleep duration, restfulness, and screens in the sleep environment. </w:t>
      </w:r>
      <w:proofErr w:type="spellStart"/>
      <w:r w:rsidRPr="000E4FE6">
        <w:rPr>
          <w:rFonts w:ascii="Times New Roman" w:hAnsi="Times New Roman" w:cs="Times New Roman"/>
          <w:i/>
          <w:sz w:val="24"/>
          <w:szCs w:val="24"/>
        </w:rPr>
        <w:t>Pediatrics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135</w:t>
      </w:r>
      <w:r w:rsidRPr="000E4FE6">
        <w:rPr>
          <w:rFonts w:ascii="Times New Roman" w:hAnsi="Times New Roman" w:cs="Times New Roman"/>
          <w:sz w:val="24"/>
          <w:szCs w:val="24"/>
        </w:rPr>
        <w:t>(2), e367-75. https://doi.org/10.1542/peds.2014-2306</w:t>
      </w:r>
    </w:p>
    <w:p w14:paraId="00000D2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Farley, T. A., Baker, E. T., Futrell, L., and Rice, J. C. (2010). The ubiquity of energy-dense snack foods: a national multicity study. </w:t>
      </w:r>
      <w:r w:rsidRPr="000E4FE6">
        <w:rPr>
          <w:rFonts w:ascii="Times New Roman" w:hAnsi="Times New Roman" w:cs="Times New Roman"/>
          <w:i/>
          <w:sz w:val="24"/>
          <w:szCs w:val="24"/>
        </w:rPr>
        <w:t>American Journal of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100</w:t>
      </w:r>
      <w:r w:rsidRPr="000E4FE6">
        <w:rPr>
          <w:rFonts w:ascii="Times New Roman" w:hAnsi="Times New Roman" w:cs="Times New Roman"/>
          <w:sz w:val="24"/>
          <w:szCs w:val="24"/>
        </w:rPr>
        <w:t>(2), 306–311. https://doi.org/10.2105/AJPH.2009.178681</w:t>
      </w:r>
    </w:p>
    <w:p w14:paraId="00000D2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Farshchi</w:t>
      </w:r>
      <w:proofErr w:type="spellEnd"/>
      <w:r w:rsidRPr="000E4FE6">
        <w:rPr>
          <w:rFonts w:ascii="Times New Roman" w:hAnsi="Times New Roman" w:cs="Times New Roman"/>
          <w:sz w:val="24"/>
          <w:szCs w:val="24"/>
        </w:rPr>
        <w:t>, H R, Taylor, M. A., and Macdonald, I. A. (2004a). Decreased thermic effect of food after an irregular compared with a regular meal pattern in healthy lean women.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(5), 653–660. https://doi.org/10.1038/sj.ijo.0802616</w:t>
      </w:r>
    </w:p>
    <w:p w14:paraId="00000D2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Farshchi</w:t>
      </w:r>
      <w:proofErr w:type="spellEnd"/>
      <w:r w:rsidRPr="000E4FE6">
        <w:rPr>
          <w:rFonts w:ascii="Times New Roman" w:hAnsi="Times New Roman" w:cs="Times New Roman"/>
          <w:sz w:val="24"/>
          <w:szCs w:val="24"/>
        </w:rPr>
        <w:t>, H R, Taylor, M. A., and Macdonald, I. A. (2004b). Regular meal frequency creates more appropriate insulin sensitivity and lipid profiles compared with irregular meal frequency in healthy lean women. </w:t>
      </w:r>
      <w:r w:rsidRPr="000E4FE6">
        <w:rPr>
          <w:rFonts w:ascii="Times New Roman" w:hAnsi="Times New Roman" w:cs="Times New Roman"/>
          <w:i/>
          <w:sz w:val="24"/>
          <w:szCs w:val="24"/>
        </w:rPr>
        <w:t>European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58</w:t>
      </w:r>
      <w:r w:rsidRPr="000E4FE6">
        <w:rPr>
          <w:rFonts w:ascii="Times New Roman" w:hAnsi="Times New Roman" w:cs="Times New Roman"/>
          <w:sz w:val="24"/>
          <w:szCs w:val="24"/>
        </w:rPr>
        <w:t>(7), 1071–1077. https://doi.org/10.1038/sj.ejcn.1601935</w:t>
      </w:r>
    </w:p>
    <w:p w14:paraId="00000D3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Farshchi</w:t>
      </w:r>
      <w:proofErr w:type="spellEnd"/>
      <w:r w:rsidRPr="000E4FE6">
        <w:rPr>
          <w:rFonts w:ascii="Times New Roman" w:hAnsi="Times New Roman" w:cs="Times New Roman"/>
          <w:sz w:val="24"/>
          <w:szCs w:val="24"/>
        </w:rPr>
        <w:t>, Hamid R, Taylor, M. A., and Macdonald, I. A. (2005a). Beneficial metabolic effects of regular meal frequency on dietary thermogenesis, insulin sensitivity, and fasting lipid profiles in healthy obese women.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81</w:t>
      </w:r>
      <w:r w:rsidRPr="000E4FE6">
        <w:rPr>
          <w:rFonts w:ascii="Times New Roman" w:hAnsi="Times New Roman" w:cs="Times New Roman"/>
          <w:sz w:val="24"/>
          <w:szCs w:val="24"/>
        </w:rPr>
        <w:t>(1), 16–24. https://doi.org/10.1093/ajcn/81.1.16</w:t>
      </w:r>
    </w:p>
    <w:p w14:paraId="00000D3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Farshchi</w:t>
      </w:r>
      <w:proofErr w:type="spellEnd"/>
      <w:r w:rsidRPr="000E4FE6">
        <w:rPr>
          <w:rFonts w:ascii="Times New Roman" w:hAnsi="Times New Roman" w:cs="Times New Roman"/>
          <w:sz w:val="24"/>
          <w:szCs w:val="24"/>
        </w:rPr>
        <w:t>, Hamid R, Taylor, M. A., and Macdonald, I. A. (2005b). Deleterious effects of omitting breakfast on insulin sensitivity and fasting lipid profiles in healthy lean women.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81</w:t>
      </w:r>
      <w:r w:rsidRPr="000E4FE6">
        <w:rPr>
          <w:rFonts w:ascii="Times New Roman" w:hAnsi="Times New Roman" w:cs="Times New Roman"/>
          <w:sz w:val="24"/>
          <w:szCs w:val="24"/>
        </w:rPr>
        <w:t>(2), 388–396. https://doi.org/10.1093/ajcn.81.2.388</w:t>
      </w:r>
    </w:p>
    <w:p w14:paraId="00000D3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Felső</w:t>
      </w:r>
      <w:proofErr w:type="spellEnd"/>
      <w:r w:rsidRPr="000E4FE6">
        <w:rPr>
          <w:rFonts w:ascii="Times New Roman" w:hAnsi="Times New Roman" w:cs="Times New Roman"/>
          <w:sz w:val="24"/>
          <w:szCs w:val="24"/>
        </w:rPr>
        <w:t xml:space="preserve">, R., </w:t>
      </w:r>
      <w:proofErr w:type="spellStart"/>
      <w:r w:rsidRPr="000E4FE6">
        <w:rPr>
          <w:rFonts w:ascii="Times New Roman" w:hAnsi="Times New Roman" w:cs="Times New Roman"/>
          <w:sz w:val="24"/>
          <w:szCs w:val="24"/>
        </w:rPr>
        <w:t>Lohner</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Hollódy</w:t>
      </w:r>
      <w:proofErr w:type="spellEnd"/>
      <w:r w:rsidRPr="000E4FE6">
        <w:rPr>
          <w:rFonts w:ascii="Times New Roman" w:hAnsi="Times New Roman" w:cs="Times New Roman"/>
          <w:sz w:val="24"/>
          <w:szCs w:val="24"/>
        </w:rPr>
        <w:t xml:space="preserve">, K., Erhardt, É., and </w:t>
      </w:r>
      <w:proofErr w:type="spellStart"/>
      <w:r w:rsidRPr="000E4FE6">
        <w:rPr>
          <w:rFonts w:ascii="Times New Roman" w:hAnsi="Times New Roman" w:cs="Times New Roman"/>
          <w:sz w:val="24"/>
          <w:szCs w:val="24"/>
        </w:rPr>
        <w:t>Molnár</w:t>
      </w:r>
      <w:proofErr w:type="spellEnd"/>
      <w:r w:rsidRPr="000E4FE6">
        <w:rPr>
          <w:rFonts w:ascii="Times New Roman" w:hAnsi="Times New Roman" w:cs="Times New Roman"/>
          <w:sz w:val="24"/>
          <w:szCs w:val="24"/>
        </w:rPr>
        <w:t>, D. (2017). Relationship between sleep duration and childhood obesity: Systematic review including the potential underlying mechanisms. </w:t>
      </w:r>
      <w:r w:rsidRPr="000E4FE6">
        <w:rPr>
          <w:rFonts w:ascii="Times New Roman" w:hAnsi="Times New Roman" w:cs="Times New Roman"/>
          <w:i/>
          <w:sz w:val="24"/>
          <w:szCs w:val="24"/>
        </w:rPr>
        <w:t>Nutrition, Metabolism, and Cardiovascular Diseases</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(9), 751–761. https://doi.org/10.1016/j.numecd.2017.07.008</w:t>
      </w:r>
    </w:p>
    <w:p w14:paraId="00000D3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Felsted</w:t>
      </w:r>
      <w:proofErr w:type="spellEnd"/>
      <w:r w:rsidRPr="000E4FE6">
        <w:rPr>
          <w:rFonts w:ascii="Times New Roman" w:hAnsi="Times New Roman" w:cs="Times New Roman"/>
          <w:sz w:val="24"/>
          <w:szCs w:val="24"/>
        </w:rPr>
        <w:t>, J. A., Ren, X., Chouinard-</w:t>
      </w:r>
      <w:proofErr w:type="spellStart"/>
      <w:r w:rsidRPr="000E4FE6">
        <w:rPr>
          <w:rFonts w:ascii="Times New Roman" w:hAnsi="Times New Roman" w:cs="Times New Roman"/>
          <w:sz w:val="24"/>
          <w:szCs w:val="24"/>
        </w:rPr>
        <w:t>Decorte</w:t>
      </w:r>
      <w:proofErr w:type="spellEnd"/>
      <w:r w:rsidRPr="000E4FE6">
        <w:rPr>
          <w:rFonts w:ascii="Times New Roman" w:hAnsi="Times New Roman" w:cs="Times New Roman"/>
          <w:sz w:val="24"/>
          <w:szCs w:val="24"/>
        </w:rPr>
        <w:t>, F., and Small, D. M. (2010). Genetically determined differences in brain response to a primary food reward. </w:t>
      </w:r>
      <w:r w:rsidRPr="000E4FE6">
        <w:rPr>
          <w:rFonts w:ascii="Times New Roman" w:hAnsi="Times New Roman" w:cs="Times New Roman"/>
          <w:i/>
          <w:sz w:val="24"/>
          <w:szCs w:val="24"/>
        </w:rPr>
        <w:t>The Journal of Neuroscience</w:t>
      </w:r>
      <w:r w:rsidRPr="000E4FE6">
        <w:rPr>
          <w:rFonts w:ascii="Times New Roman" w:hAnsi="Times New Roman" w:cs="Times New Roman"/>
          <w:sz w:val="24"/>
          <w:szCs w:val="24"/>
        </w:rPr>
        <w:t>, </w:t>
      </w:r>
      <w:r w:rsidRPr="000E4FE6">
        <w:rPr>
          <w:rFonts w:ascii="Times New Roman" w:hAnsi="Times New Roman" w:cs="Times New Roman"/>
          <w:i/>
          <w:sz w:val="24"/>
          <w:szCs w:val="24"/>
        </w:rPr>
        <w:t>30</w:t>
      </w:r>
      <w:r w:rsidRPr="000E4FE6">
        <w:rPr>
          <w:rFonts w:ascii="Times New Roman" w:hAnsi="Times New Roman" w:cs="Times New Roman"/>
          <w:sz w:val="24"/>
          <w:szCs w:val="24"/>
        </w:rPr>
        <w:t>(7), 2428–2432. https://doi.org/10.1523/JNEUROSCI.5483-09.2010</w:t>
      </w:r>
    </w:p>
    <w:p w14:paraId="00000D3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Ferriday, D., and </w:t>
      </w: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J. M. (2011). “I just can’t help myself”: effects of food-cue exposure in overweight and lean individuals.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35</w:t>
      </w:r>
      <w:r w:rsidRPr="000E4FE6">
        <w:rPr>
          <w:rFonts w:ascii="Times New Roman" w:hAnsi="Times New Roman" w:cs="Times New Roman"/>
          <w:sz w:val="24"/>
          <w:szCs w:val="24"/>
        </w:rPr>
        <w:t>(1), 142–149. https://doi.org/10.1038/ijo.2010.117</w:t>
      </w:r>
    </w:p>
    <w:p w14:paraId="00000D3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Field, A. (2005). </w:t>
      </w:r>
      <w:r w:rsidRPr="000E4FE6">
        <w:rPr>
          <w:rFonts w:ascii="Times New Roman" w:hAnsi="Times New Roman" w:cs="Times New Roman"/>
          <w:i/>
          <w:sz w:val="24"/>
          <w:szCs w:val="24"/>
        </w:rPr>
        <w:t xml:space="preserve">Discovering statistics using </w:t>
      </w:r>
      <w:proofErr w:type="gramStart"/>
      <w:r w:rsidRPr="000E4FE6">
        <w:rPr>
          <w:rFonts w:ascii="Times New Roman" w:hAnsi="Times New Roman" w:cs="Times New Roman"/>
          <w:i/>
          <w:sz w:val="24"/>
          <w:szCs w:val="24"/>
        </w:rPr>
        <w:t>SPSS .</w:t>
      </w:r>
      <w:proofErr w:type="gramEnd"/>
      <w:r w:rsidRPr="000E4FE6">
        <w:rPr>
          <w:rFonts w:ascii="Times New Roman" w:hAnsi="Times New Roman" w:cs="Times New Roman"/>
          <w:i/>
          <w:sz w:val="24"/>
          <w:szCs w:val="24"/>
        </w:rPr>
        <w:t xml:space="preserve"> Thousand Oaks, CA, US.</w:t>
      </w:r>
    </w:p>
    <w:p w14:paraId="00000D3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Field, A. E., Colditz, G. A., Fox, M. K., Byers, T., </w:t>
      </w:r>
      <w:proofErr w:type="spellStart"/>
      <w:r w:rsidRPr="000E4FE6">
        <w:rPr>
          <w:rFonts w:ascii="Times New Roman" w:hAnsi="Times New Roman" w:cs="Times New Roman"/>
          <w:sz w:val="24"/>
          <w:szCs w:val="24"/>
        </w:rPr>
        <w:t>Serdula</w:t>
      </w:r>
      <w:proofErr w:type="spellEnd"/>
      <w:r w:rsidRPr="000E4FE6">
        <w:rPr>
          <w:rFonts w:ascii="Times New Roman" w:hAnsi="Times New Roman" w:cs="Times New Roman"/>
          <w:sz w:val="24"/>
          <w:szCs w:val="24"/>
        </w:rPr>
        <w:t>, M., Bosch, R. J., and Peterson, K. E. (1998). Comparison of 4 questionnaires for assessment of fruit and vegetable intake. </w:t>
      </w:r>
      <w:r w:rsidRPr="000E4FE6">
        <w:rPr>
          <w:rFonts w:ascii="Times New Roman" w:hAnsi="Times New Roman" w:cs="Times New Roman"/>
          <w:i/>
          <w:sz w:val="24"/>
          <w:szCs w:val="24"/>
        </w:rPr>
        <w:t>American Journal of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88</w:t>
      </w:r>
      <w:r w:rsidRPr="000E4FE6">
        <w:rPr>
          <w:rFonts w:ascii="Times New Roman" w:hAnsi="Times New Roman" w:cs="Times New Roman"/>
          <w:sz w:val="24"/>
          <w:szCs w:val="24"/>
        </w:rPr>
        <w:t>(8), 1216–1218. https://doi.org/10.2105/ajph.88.8.1216</w:t>
      </w:r>
    </w:p>
    <w:p w14:paraId="00000D3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Field, A. P. (2005). Is the meta-analysis of correlation coefficients accurate when population correlations vary? </w:t>
      </w:r>
      <w:r w:rsidRPr="000E4FE6">
        <w:rPr>
          <w:rFonts w:ascii="Times New Roman" w:hAnsi="Times New Roman" w:cs="Times New Roman"/>
          <w:i/>
          <w:sz w:val="24"/>
          <w:szCs w:val="24"/>
        </w:rPr>
        <w:t>Psychological Methods</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(4), 444–467. https://doi.org/10.1037/1082-989X.10.4.444</w:t>
      </w:r>
    </w:p>
    <w:p w14:paraId="00000D3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Filiatrault</w:t>
      </w:r>
      <w:proofErr w:type="spellEnd"/>
      <w:r w:rsidRPr="000E4FE6">
        <w:rPr>
          <w:rFonts w:ascii="Times New Roman" w:hAnsi="Times New Roman" w:cs="Times New Roman"/>
          <w:sz w:val="24"/>
          <w:szCs w:val="24"/>
        </w:rPr>
        <w:t xml:space="preserve">, M. L., </w:t>
      </w:r>
      <w:proofErr w:type="spellStart"/>
      <w:r w:rsidRPr="000E4FE6">
        <w:rPr>
          <w:rFonts w:ascii="Times New Roman" w:hAnsi="Times New Roman" w:cs="Times New Roman"/>
          <w:sz w:val="24"/>
          <w:szCs w:val="24"/>
        </w:rPr>
        <w:t>Chaput</w:t>
      </w:r>
      <w:proofErr w:type="spellEnd"/>
      <w:r w:rsidRPr="000E4FE6">
        <w:rPr>
          <w:rFonts w:ascii="Times New Roman" w:hAnsi="Times New Roman" w:cs="Times New Roman"/>
          <w:sz w:val="24"/>
          <w:szCs w:val="24"/>
        </w:rPr>
        <w:t xml:space="preserve">, J. P., Drapeau, V., and Tremblay, A. (2014).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traits and sleep as determinants of weight loss in overweight and obese adults. </w:t>
      </w:r>
      <w:r w:rsidRPr="000E4FE6">
        <w:rPr>
          <w:rFonts w:ascii="Times New Roman" w:hAnsi="Times New Roman" w:cs="Times New Roman"/>
          <w:i/>
          <w:sz w:val="24"/>
          <w:szCs w:val="24"/>
        </w:rPr>
        <w:t>Nutrition &amp; Diabetes</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 e140. https://doi.org/10.1038/nutd.2014.37</w:t>
      </w:r>
    </w:p>
    <w:p w14:paraId="00000D3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Finger, A.-M., and Kramer, A. (2021). Mammalian circadian systems: Organization and modern life challenges. </w:t>
      </w:r>
      <w:r w:rsidRPr="000E4FE6">
        <w:rPr>
          <w:rFonts w:ascii="Times New Roman" w:hAnsi="Times New Roman" w:cs="Times New Roman"/>
          <w:i/>
          <w:sz w:val="24"/>
          <w:szCs w:val="24"/>
        </w:rPr>
        <w:t xml:space="preserve">Acta </w:t>
      </w:r>
      <w:proofErr w:type="spellStart"/>
      <w:r w:rsidRPr="000E4FE6">
        <w:rPr>
          <w:rFonts w:ascii="Times New Roman" w:hAnsi="Times New Roman" w:cs="Times New Roman"/>
          <w:i/>
          <w:sz w:val="24"/>
          <w:szCs w:val="24"/>
        </w:rPr>
        <w:t>Physiologica</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231</w:t>
      </w:r>
      <w:r w:rsidRPr="000E4FE6">
        <w:rPr>
          <w:rFonts w:ascii="Times New Roman" w:hAnsi="Times New Roman" w:cs="Times New Roman"/>
          <w:sz w:val="24"/>
          <w:szCs w:val="24"/>
        </w:rPr>
        <w:t>(3), e13548. https://doi.org/10.1111/apha.13548</w:t>
      </w:r>
    </w:p>
    <w:p w14:paraId="00000D3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Finlayson, G., Cecil, J., Higgs, S., Hill, A., and Hetherington, M. (2012). Susceptibility to weight gain. Eating behaviour traits and physical activity as predictors of weight gain during the first year of university.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58</w:t>
      </w:r>
      <w:r w:rsidRPr="000E4FE6">
        <w:rPr>
          <w:rFonts w:ascii="Times New Roman" w:hAnsi="Times New Roman" w:cs="Times New Roman"/>
          <w:sz w:val="24"/>
          <w:szCs w:val="24"/>
        </w:rPr>
        <w:t>(3), 1091–1098. https://doi.org/10.1016/j.appet.2012.03.003</w:t>
      </w:r>
    </w:p>
    <w:p w14:paraId="00000D3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Finlayson, G., and Dalton, M. (2012). Hedonics of food consumption: are food ‘liking’ and ‘wanting’ viable targets for appetite control in the obese? </w:t>
      </w:r>
      <w:r w:rsidRPr="000E4FE6">
        <w:rPr>
          <w:rFonts w:ascii="Times New Roman" w:hAnsi="Times New Roman" w:cs="Times New Roman"/>
          <w:i/>
          <w:sz w:val="24"/>
          <w:szCs w:val="24"/>
        </w:rPr>
        <w:t>Current Obesity Reports</w:t>
      </w:r>
      <w:r w:rsidRPr="000E4FE6">
        <w:rPr>
          <w:rFonts w:ascii="Times New Roman" w:hAnsi="Times New Roman" w:cs="Times New Roman"/>
          <w:sz w:val="24"/>
          <w:szCs w:val="24"/>
        </w:rPr>
        <w:t>, </w:t>
      </w:r>
      <w:r w:rsidRPr="000E4FE6">
        <w:rPr>
          <w:rFonts w:ascii="Times New Roman" w:hAnsi="Times New Roman" w:cs="Times New Roman"/>
          <w:i/>
          <w:sz w:val="24"/>
          <w:szCs w:val="24"/>
        </w:rPr>
        <w:t>1</w:t>
      </w:r>
      <w:r w:rsidRPr="000E4FE6">
        <w:rPr>
          <w:rFonts w:ascii="Times New Roman" w:hAnsi="Times New Roman" w:cs="Times New Roman"/>
          <w:sz w:val="24"/>
          <w:szCs w:val="24"/>
        </w:rPr>
        <w:t>(1), 42–49. https://doi.org/10.1007/s13679-011-0007-2</w:t>
      </w:r>
    </w:p>
    <w:p w14:paraId="00000D3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Finlayson, G., King, N., and Blundell, J. (2008). The role of implicit wanting in relation to explicit liking and wanting for food: implications for appetite control.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50</w:t>
      </w:r>
      <w:r w:rsidRPr="000E4FE6">
        <w:rPr>
          <w:rFonts w:ascii="Times New Roman" w:hAnsi="Times New Roman" w:cs="Times New Roman"/>
          <w:sz w:val="24"/>
          <w:szCs w:val="24"/>
        </w:rPr>
        <w:t>(1), 120–127. https://doi.org/10.1016/j.appet.2007.06.007</w:t>
      </w:r>
    </w:p>
    <w:p w14:paraId="00000D3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Fjellström</w:t>
      </w:r>
      <w:proofErr w:type="spellEnd"/>
      <w:r w:rsidRPr="000E4FE6">
        <w:rPr>
          <w:rFonts w:ascii="Times New Roman" w:hAnsi="Times New Roman" w:cs="Times New Roman"/>
          <w:sz w:val="24"/>
          <w:szCs w:val="24"/>
        </w:rPr>
        <w:t>, C. (2004). Mealtime and meal patterns from a cultural perspective. </w:t>
      </w:r>
      <w:r w:rsidRPr="000E4FE6">
        <w:rPr>
          <w:rFonts w:ascii="Times New Roman" w:hAnsi="Times New Roman" w:cs="Times New Roman"/>
          <w:i/>
          <w:sz w:val="24"/>
          <w:szCs w:val="24"/>
        </w:rPr>
        <w:t>Scandinavian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48</w:t>
      </w:r>
      <w:r w:rsidRPr="000E4FE6">
        <w:rPr>
          <w:rFonts w:ascii="Times New Roman" w:hAnsi="Times New Roman" w:cs="Times New Roman"/>
          <w:sz w:val="24"/>
          <w:szCs w:val="24"/>
        </w:rPr>
        <w:t>(4), 161–164. https://doi.org/10.1080/11026480410000986</w:t>
      </w:r>
    </w:p>
    <w:p w14:paraId="00000D3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Flegal</w:t>
      </w:r>
      <w:proofErr w:type="spellEnd"/>
      <w:r w:rsidRPr="000E4FE6">
        <w:rPr>
          <w:rFonts w:ascii="Times New Roman" w:hAnsi="Times New Roman" w:cs="Times New Roman"/>
          <w:sz w:val="24"/>
          <w:szCs w:val="24"/>
        </w:rPr>
        <w:t xml:space="preserve">, K. M., Shepherd, J. A., Looker, A. C., </w:t>
      </w:r>
      <w:proofErr w:type="spellStart"/>
      <w:r w:rsidRPr="000E4FE6">
        <w:rPr>
          <w:rFonts w:ascii="Times New Roman" w:hAnsi="Times New Roman" w:cs="Times New Roman"/>
          <w:sz w:val="24"/>
          <w:szCs w:val="24"/>
        </w:rPr>
        <w:t>Graubard</w:t>
      </w:r>
      <w:proofErr w:type="spellEnd"/>
      <w:r w:rsidRPr="000E4FE6">
        <w:rPr>
          <w:rFonts w:ascii="Times New Roman" w:hAnsi="Times New Roman" w:cs="Times New Roman"/>
          <w:sz w:val="24"/>
          <w:szCs w:val="24"/>
        </w:rPr>
        <w:t xml:space="preserve">, B. I., </w:t>
      </w:r>
      <w:proofErr w:type="spellStart"/>
      <w:r w:rsidRPr="000E4FE6">
        <w:rPr>
          <w:rFonts w:ascii="Times New Roman" w:hAnsi="Times New Roman" w:cs="Times New Roman"/>
          <w:sz w:val="24"/>
          <w:szCs w:val="24"/>
        </w:rPr>
        <w:t>Borrud</w:t>
      </w:r>
      <w:proofErr w:type="spellEnd"/>
      <w:r w:rsidRPr="000E4FE6">
        <w:rPr>
          <w:rFonts w:ascii="Times New Roman" w:hAnsi="Times New Roman" w:cs="Times New Roman"/>
          <w:sz w:val="24"/>
          <w:szCs w:val="24"/>
        </w:rPr>
        <w:t>, L. G., Ogden, C. L., … Schenker, N. (2009). Comparisons of percentage body fat, body mass index, waist circumference, and waist-stature ratio in adults.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89</w:t>
      </w:r>
      <w:r w:rsidRPr="000E4FE6">
        <w:rPr>
          <w:rFonts w:ascii="Times New Roman" w:hAnsi="Times New Roman" w:cs="Times New Roman"/>
          <w:sz w:val="24"/>
          <w:szCs w:val="24"/>
        </w:rPr>
        <w:t>(2), 500–508. https://doi.org/10.3945/ajcn.2008.26847</w:t>
      </w:r>
    </w:p>
    <w:p w14:paraId="00000D3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Fong, M., </w:t>
      </w:r>
      <w:proofErr w:type="spellStart"/>
      <w:r w:rsidRPr="000E4FE6">
        <w:rPr>
          <w:rFonts w:ascii="Times New Roman" w:hAnsi="Times New Roman" w:cs="Times New Roman"/>
          <w:sz w:val="24"/>
          <w:szCs w:val="24"/>
        </w:rPr>
        <w:t>Caterson</w:t>
      </w:r>
      <w:proofErr w:type="spellEnd"/>
      <w:r w:rsidRPr="000E4FE6">
        <w:rPr>
          <w:rFonts w:ascii="Times New Roman" w:hAnsi="Times New Roman" w:cs="Times New Roman"/>
          <w:sz w:val="24"/>
          <w:szCs w:val="24"/>
        </w:rPr>
        <w:t>, I. D., and Madigan, C. D. (2017). Are large dinners associated with excess weight, and does eating a smaller dinner achieve greater weight loss? A systematic review and meta-analysis.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1–13. https://doi.org/10.1017/S0007114517002550</w:t>
      </w:r>
    </w:p>
    <w:p w14:paraId="00000D4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Foster, E. D., and Deardorff, A. (2017). Open science framework (OSF). </w:t>
      </w:r>
      <w:r w:rsidRPr="000E4FE6">
        <w:rPr>
          <w:rFonts w:ascii="Times New Roman" w:hAnsi="Times New Roman" w:cs="Times New Roman"/>
          <w:i/>
          <w:sz w:val="24"/>
          <w:szCs w:val="24"/>
        </w:rPr>
        <w:t>Journal of the Medical Library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105</w:t>
      </w:r>
      <w:r w:rsidRPr="000E4FE6">
        <w:rPr>
          <w:rFonts w:ascii="Times New Roman" w:hAnsi="Times New Roman" w:cs="Times New Roman"/>
          <w:sz w:val="24"/>
          <w:szCs w:val="24"/>
        </w:rPr>
        <w:t>(2), 203–206. https://doi.org/10.5195/JMLA.2017.88</w:t>
      </w:r>
    </w:p>
    <w:p w14:paraId="00000D4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Foster, G. D., </w:t>
      </w:r>
      <w:proofErr w:type="spellStart"/>
      <w:r w:rsidRPr="000E4FE6">
        <w:rPr>
          <w:rFonts w:ascii="Times New Roman" w:hAnsi="Times New Roman" w:cs="Times New Roman"/>
          <w:sz w:val="24"/>
          <w:szCs w:val="24"/>
        </w:rPr>
        <w:t>Wadden</w:t>
      </w:r>
      <w:proofErr w:type="spellEnd"/>
      <w:r w:rsidRPr="000E4FE6">
        <w:rPr>
          <w:rFonts w:ascii="Times New Roman" w:hAnsi="Times New Roman" w:cs="Times New Roman"/>
          <w:sz w:val="24"/>
          <w:szCs w:val="24"/>
        </w:rPr>
        <w:t xml:space="preserve">, T. A., Swain, R. M., </w:t>
      </w:r>
      <w:proofErr w:type="spellStart"/>
      <w:r w:rsidRPr="000E4FE6">
        <w:rPr>
          <w:rFonts w:ascii="Times New Roman" w:hAnsi="Times New Roman" w:cs="Times New Roman"/>
          <w:sz w:val="24"/>
          <w:szCs w:val="24"/>
        </w:rPr>
        <w:t>Stunkard</w:t>
      </w:r>
      <w:proofErr w:type="spellEnd"/>
      <w:r w:rsidRPr="000E4FE6">
        <w:rPr>
          <w:rFonts w:ascii="Times New Roman" w:hAnsi="Times New Roman" w:cs="Times New Roman"/>
          <w:sz w:val="24"/>
          <w:szCs w:val="24"/>
        </w:rPr>
        <w:t>, A. J., Platte, P., and Vogt, R. A. (1998). The Eating Inventory in obese women: clinical correlates and relationship to weight loss.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22</w:t>
      </w:r>
      <w:r w:rsidRPr="000E4FE6">
        <w:rPr>
          <w:rFonts w:ascii="Times New Roman" w:hAnsi="Times New Roman" w:cs="Times New Roman"/>
          <w:sz w:val="24"/>
          <w:szCs w:val="24"/>
        </w:rPr>
        <w:t>(8), 778–785. https://doi.org/10.1038/sj.ijo.0800659</w:t>
      </w:r>
    </w:p>
    <w:p w14:paraId="00000D4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Framson</w:t>
      </w:r>
      <w:proofErr w:type="spellEnd"/>
      <w:r w:rsidRPr="000E4FE6">
        <w:rPr>
          <w:rFonts w:ascii="Times New Roman" w:hAnsi="Times New Roman" w:cs="Times New Roman"/>
          <w:sz w:val="24"/>
          <w:szCs w:val="24"/>
        </w:rPr>
        <w:t xml:space="preserve">, C., Kristal, A. R., Schenk, J. M., Littman, A. J., </w:t>
      </w:r>
      <w:proofErr w:type="spellStart"/>
      <w:r w:rsidRPr="000E4FE6">
        <w:rPr>
          <w:rFonts w:ascii="Times New Roman" w:hAnsi="Times New Roman" w:cs="Times New Roman"/>
          <w:sz w:val="24"/>
          <w:szCs w:val="24"/>
        </w:rPr>
        <w:t>Zeliadt</w:t>
      </w:r>
      <w:proofErr w:type="spellEnd"/>
      <w:r w:rsidRPr="000E4FE6">
        <w:rPr>
          <w:rFonts w:ascii="Times New Roman" w:hAnsi="Times New Roman" w:cs="Times New Roman"/>
          <w:sz w:val="24"/>
          <w:szCs w:val="24"/>
        </w:rPr>
        <w:t>, S., and Benitez, D. (2009). Development and validation of the mindful eating questionnaire. </w:t>
      </w:r>
      <w:r w:rsidRPr="000E4FE6">
        <w:rPr>
          <w:rFonts w:ascii="Times New Roman" w:hAnsi="Times New Roman" w:cs="Times New Roman"/>
          <w:i/>
          <w:sz w:val="24"/>
          <w:szCs w:val="24"/>
        </w:rPr>
        <w:t xml:space="preserve">Journal of the </w:t>
      </w:r>
      <w:r w:rsidRPr="000E4FE6">
        <w:rPr>
          <w:rFonts w:ascii="Times New Roman" w:hAnsi="Times New Roman" w:cs="Times New Roman"/>
          <w:i/>
          <w:sz w:val="24"/>
          <w:szCs w:val="24"/>
        </w:rPr>
        <w:lastRenderedPageBreak/>
        <w:t>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109</w:t>
      </w:r>
      <w:r w:rsidRPr="000E4FE6">
        <w:rPr>
          <w:rFonts w:ascii="Times New Roman" w:hAnsi="Times New Roman" w:cs="Times New Roman"/>
          <w:sz w:val="24"/>
          <w:szCs w:val="24"/>
        </w:rPr>
        <w:t>(8), 1439–1444. https://doi.org/10.1016/j.jada.2009.05.006</w:t>
      </w:r>
    </w:p>
    <w:p w14:paraId="00000D4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Franz, M. J., </w:t>
      </w:r>
      <w:proofErr w:type="spellStart"/>
      <w:r w:rsidRPr="000E4FE6">
        <w:rPr>
          <w:rFonts w:ascii="Times New Roman" w:hAnsi="Times New Roman" w:cs="Times New Roman"/>
          <w:sz w:val="24"/>
          <w:szCs w:val="24"/>
        </w:rPr>
        <w:t>VanWormer</w:t>
      </w:r>
      <w:proofErr w:type="spellEnd"/>
      <w:r w:rsidRPr="000E4FE6">
        <w:rPr>
          <w:rFonts w:ascii="Times New Roman" w:hAnsi="Times New Roman" w:cs="Times New Roman"/>
          <w:sz w:val="24"/>
          <w:szCs w:val="24"/>
        </w:rPr>
        <w:t xml:space="preserve">, J. J., Crain, A. L., Boucher, J. L., </w:t>
      </w:r>
      <w:proofErr w:type="spellStart"/>
      <w:r w:rsidRPr="000E4FE6">
        <w:rPr>
          <w:rFonts w:ascii="Times New Roman" w:hAnsi="Times New Roman" w:cs="Times New Roman"/>
          <w:sz w:val="24"/>
          <w:szCs w:val="24"/>
        </w:rPr>
        <w:t>Histon</w:t>
      </w:r>
      <w:proofErr w:type="spellEnd"/>
      <w:r w:rsidRPr="000E4FE6">
        <w:rPr>
          <w:rFonts w:ascii="Times New Roman" w:hAnsi="Times New Roman" w:cs="Times New Roman"/>
          <w:sz w:val="24"/>
          <w:szCs w:val="24"/>
        </w:rPr>
        <w:t>, T., Caplan, W., … Pronk, N. P. (2007). Weight-loss outcomes: a systematic review and meta-analysis of weight-loss clinical trials with a minimum 1-year follow-up. </w:t>
      </w:r>
      <w:r w:rsidRPr="000E4FE6">
        <w:rPr>
          <w:rFonts w:ascii="Times New Roman" w:hAnsi="Times New Roman" w:cs="Times New Roman"/>
          <w:i/>
          <w:sz w:val="24"/>
          <w:szCs w:val="24"/>
        </w:rPr>
        <w:t>Journal of the 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107</w:t>
      </w:r>
      <w:r w:rsidRPr="000E4FE6">
        <w:rPr>
          <w:rFonts w:ascii="Times New Roman" w:hAnsi="Times New Roman" w:cs="Times New Roman"/>
          <w:sz w:val="24"/>
          <w:szCs w:val="24"/>
        </w:rPr>
        <w:t>(10), 1755–1767. https://doi.org/10.1016/j.jada.2007.07.017</w:t>
      </w:r>
    </w:p>
    <w:p w14:paraId="00000D4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Frayn, M., and </w:t>
      </w:r>
      <w:proofErr w:type="spellStart"/>
      <w:r w:rsidRPr="000E4FE6">
        <w:rPr>
          <w:rFonts w:ascii="Times New Roman" w:hAnsi="Times New Roman" w:cs="Times New Roman"/>
          <w:sz w:val="24"/>
          <w:szCs w:val="24"/>
        </w:rPr>
        <w:t>Knäuper</w:t>
      </w:r>
      <w:proofErr w:type="spellEnd"/>
      <w:r w:rsidRPr="000E4FE6">
        <w:rPr>
          <w:rFonts w:ascii="Times New Roman" w:hAnsi="Times New Roman" w:cs="Times New Roman"/>
          <w:sz w:val="24"/>
          <w:szCs w:val="24"/>
        </w:rPr>
        <w:t>, B. (2017). Emotional eating and weight in adults: a review. </w:t>
      </w:r>
      <w:r w:rsidRPr="000E4FE6">
        <w:rPr>
          <w:rFonts w:ascii="Times New Roman" w:hAnsi="Times New Roman" w:cs="Times New Roman"/>
          <w:i/>
          <w:sz w:val="24"/>
          <w:szCs w:val="24"/>
        </w:rPr>
        <w:t>Current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37</w:t>
      </w:r>
      <w:r w:rsidRPr="000E4FE6">
        <w:rPr>
          <w:rFonts w:ascii="Times New Roman" w:hAnsi="Times New Roman" w:cs="Times New Roman"/>
          <w:sz w:val="24"/>
          <w:szCs w:val="24"/>
        </w:rPr>
        <w:t>(4), 1–10. https://doi.org/10.1007/s12144-017-9577-9</w:t>
      </w:r>
    </w:p>
    <w:p w14:paraId="00000D4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Freedman, L. S., </w:t>
      </w:r>
      <w:proofErr w:type="spellStart"/>
      <w:r w:rsidRPr="000E4FE6">
        <w:rPr>
          <w:rFonts w:ascii="Times New Roman" w:hAnsi="Times New Roman" w:cs="Times New Roman"/>
          <w:sz w:val="24"/>
          <w:szCs w:val="24"/>
        </w:rPr>
        <w:t>Commins</w:t>
      </w:r>
      <w:proofErr w:type="spellEnd"/>
      <w:r w:rsidRPr="000E4FE6">
        <w:rPr>
          <w:rFonts w:ascii="Times New Roman" w:hAnsi="Times New Roman" w:cs="Times New Roman"/>
          <w:sz w:val="24"/>
          <w:szCs w:val="24"/>
        </w:rPr>
        <w:t xml:space="preserve">, J. M., </w:t>
      </w:r>
      <w:proofErr w:type="spellStart"/>
      <w:r w:rsidRPr="000E4FE6">
        <w:rPr>
          <w:rFonts w:ascii="Times New Roman" w:hAnsi="Times New Roman" w:cs="Times New Roman"/>
          <w:sz w:val="24"/>
          <w:szCs w:val="24"/>
        </w:rPr>
        <w:t>Moler</w:t>
      </w:r>
      <w:proofErr w:type="spellEnd"/>
      <w:r w:rsidRPr="000E4FE6">
        <w:rPr>
          <w:rFonts w:ascii="Times New Roman" w:hAnsi="Times New Roman" w:cs="Times New Roman"/>
          <w:sz w:val="24"/>
          <w:szCs w:val="24"/>
        </w:rPr>
        <w:t>, J. E., Arab, L., Baer, D. J., Kipnis, V., … Willett, W. (2014). Pooled results from 5 validation studies of dietary self-report instruments using recovery biomarkers for energy and protein intake. </w:t>
      </w:r>
      <w:r w:rsidRPr="000E4FE6">
        <w:rPr>
          <w:rFonts w:ascii="Times New Roman" w:hAnsi="Times New Roman" w:cs="Times New Roman"/>
          <w:i/>
          <w:sz w:val="24"/>
          <w:szCs w:val="24"/>
        </w:rPr>
        <w:t>American Journal of Epidemiology</w:t>
      </w:r>
      <w:r w:rsidRPr="000E4FE6">
        <w:rPr>
          <w:rFonts w:ascii="Times New Roman" w:hAnsi="Times New Roman" w:cs="Times New Roman"/>
          <w:sz w:val="24"/>
          <w:szCs w:val="24"/>
        </w:rPr>
        <w:t>, </w:t>
      </w:r>
      <w:r w:rsidRPr="000E4FE6">
        <w:rPr>
          <w:rFonts w:ascii="Times New Roman" w:hAnsi="Times New Roman" w:cs="Times New Roman"/>
          <w:i/>
          <w:sz w:val="24"/>
          <w:szCs w:val="24"/>
        </w:rPr>
        <w:t>180</w:t>
      </w:r>
      <w:r w:rsidRPr="000E4FE6">
        <w:rPr>
          <w:rFonts w:ascii="Times New Roman" w:hAnsi="Times New Roman" w:cs="Times New Roman"/>
          <w:sz w:val="24"/>
          <w:szCs w:val="24"/>
        </w:rPr>
        <w:t>(2), 172–188. https://doi.org/10.1093/aje/kwu116</w:t>
      </w:r>
    </w:p>
    <w:p w14:paraId="00000D4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Fujino</w:t>
      </w:r>
      <w:proofErr w:type="spellEnd"/>
      <w:r w:rsidRPr="000E4FE6">
        <w:rPr>
          <w:rFonts w:ascii="Times New Roman" w:hAnsi="Times New Roman" w:cs="Times New Roman"/>
          <w:sz w:val="24"/>
          <w:szCs w:val="24"/>
        </w:rPr>
        <w:t xml:space="preserve">, Y., Iso, H., </w:t>
      </w:r>
      <w:proofErr w:type="spellStart"/>
      <w:r w:rsidRPr="000E4FE6">
        <w:rPr>
          <w:rFonts w:ascii="Times New Roman" w:hAnsi="Times New Roman" w:cs="Times New Roman"/>
          <w:sz w:val="24"/>
          <w:szCs w:val="24"/>
        </w:rPr>
        <w:t>Tamakoshi</w:t>
      </w:r>
      <w:proofErr w:type="spellEnd"/>
      <w:r w:rsidRPr="000E4FE6">
        <w:rPr>
          <w:rFonts w:ascii="Times New Roman" w:hAnsi="Times New Roman" w:cs="Times New Roman"/>
          <w:sz w:val="24"/>
          <w:szCs w:val="24"/>
        </w:rPr>
        <w:t>, A., Inaba, Y., Koizumi, A., Kubo, T., … Japanese Collaborative Cohort Study Group. (2006). A prospective cohort study of shift work and risk of ischemic heart disease in Japanese male workers. </w:t>
      </w:r>
      <w:r w:rsidRPr="000E4FE6">
        <w:rPr>
          <w:rFonts w:ascii="Times New Roman" w:hAnsi="Times New Roman" w:cs="Times New Roman"/>
          <w:i/>
          <w:sz w:val="24"/>
          <w:szCs w:val="24"/>
        </w:rPr>
        <w:t>American Journal of Epidemiology</w:t>
      </w:r>
      <w:r w:rsidRPr="000E4FE6">
        <w:rPr>
          <w:rFonts w:ascii="Times New Roman" w:hAnsi="Times New Roman" w:cs="Times New Roman"/>
          <w:sz w:val="24"/>
          <w:szCs w:val="24"/>
        </w:rPr>
        <w:t>, </w:t>
      </w:r>
      <w:r w:rsidRPr="000E4FE6">
        <w:rPr>
          <w:rFonts w:ascii="Times New Roman" w:hAnsi="Times New Roman" w:cs="Times New Roman"/>
          <w:i/>
          <w:sz w:val="24"/>
          <w:szCs w:val="24"/>
        </w:rPr>
        <w:t>164</w:t>
      </w:r>
      <w:r w:rsidRPr="000E4FE6">
        <w:rPr>
          <w:rFonts w:ascii="Times New Roman" w:hAnsi="Times New Roman" w:cs="Times New Roman"/>
          <w:sz w:val="24"/>
          <w:szCs w:val="24"/>
        </w:rPr>
        <w:t>(2), 128–135. https://doi.org/10.1093/aje/kwj185</w:t>
      </w:r>
    </w:p>
    <w:p w14:paraId="00000D4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Gahagan, S. (2012). Development of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biology and context. </w:t>
      </w:r>
      <w:r w:rsidRPr="000E4FE6">
        <w:rPr>
          <w:rFonts w:ascii="Times New Roman" w:hAnsi="Times New Roman" w:cs="Times New Roman"/>
          <w:i/>
          <w:sz w:val="24"/>
          <w:szCs w:val="24"/>
        </w:rPr>
        <w:t xml:space="preserve">Journal of Developmental and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w:t>
      </w:r>
      <w:proofErr w:type="spellStart"/>
      <w:r w:rsidRPr="000E4FE6">
        <w:rPr>
          <w:rFonts w:ascii="Times New Roman" w:hAnsi="Times New Roman" w:cs="Times New Roman"/>
          <w:i/>
          <w:sz w:val="24"/>
          <w:szCs w:val="24"/>
        </w:rPr>
        <w:t>Pediatrics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33</w:t>
      </w:r>
      <w:r w:rsidRPr="000E4FE6">
        <w:rPr>
          <w:rFonts w:ascii="Times New Roman" w:hAnsi="Times New Roman" w:cs="Times New Roman"/>
          <w:sz w:val="24"/>
          <w:szCs w:val="24"/>
        </w:rPr>
        <w:t>(3), 261–271. https://doi.org/10.1097/DBP.0b013e31824a7baa</w:t>
      </w:r>
    </w:p>
    <w:p w14:paraId="00000D48"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proofErr w:type="spellStart"/>
      <w:r w:rsidRPr="000E4FE6">
        <w:rPr>
          <w:rFonts w:ascii="Times New Roman" w:hAnsi="Times New Roman" w:cs="Times New Roman"/>
          <w:sz w:val="24"/>
          <w:szCs w:val="24"/>
          <w:lang w:val="es-ES_tradnl"/>
        </w:rPr>
        <w:t>Garaulet</w:t>
      </w:r>
      <w:proofErr w:type="spellEnd"/>
      <w:r w:rsidRPr="000E4FE6">
        <w:rPr>
          <w:rFonts w:ascii="Times New Roman" w:hAnsi="Times New Roman" w:cs="Times New Roman"/>
          <w:sz w:val="24"/>
          <w:szCs w:val="24"/>
          <w:lang w:val="es-ES_tradnl"/>
        </w:rPr>
        <w:t>, M, Canteras, M., Morales, E., López-</w:t>
      </w:r>
      <w:proofErr w:type="spellStart"/>
      <w:r w:rsidRPr="000E4FE6">
        <w:rPr>
          <w:rFonts w:ascii="Times New Roman" w:hAnsi="Times New Roman" w:cs="Times New Roman"/>
          <w:sz w:val="24"/>
          <w:szCs w:val="24"/>
          <w:lang w:val="es-ES_tradnl"/>
        </w:rPr>
        <w:t>Guimera</w:t>
      </w:r>
      <w:proofErr w:type="spellEnd"/>
      <w:r w:rsidRPr="000E4FE6">
        <w:rPr>
          <w:rFonts w:ascii="Times New Roman" w:hAnsi="Times New Roman" w:cs="Times New Roman"/>
          <w:sz w:val="24"/>
          <w:szCs w:val="24"/>
          <w:lang w:val="es-ES_tradnl"/>
        </w:rPr>
        <w:t>, G., Sánchez-Carracedo, D., and Corbalán-</w:t>
      </w:r>
      <w:proofErr w:type="spellStart"/>
      <w:r w:rsidRPr="000E4FE6">
        <w:rPr>
          <w:rFonts w:ascii="Times New Roman" w:hAnsi="Times New Roman" w:cs="Times New Roman"/>
          <w:sz w:val="24"/>
          <w:szCs w:val="24"/>
          <w:lang w:val="es-ES_tradnl"/>
        </w:rPr>
        <w:t>Tutau</w:t>
      </w:r>
      <w:proofErr w:type="spellEnd"/>
      <w:r w:rsidRPr="000E4FE6">
        <w:rPr>
          <w:rFonts w:ascii="Times New Roman" w:hAnsi="Times New Roman" w:cs="Times New Roman"/>
          <w:sz w:val="24"/>
          <w:szCs w:val="24"/>
          <w:lang w:val="es-ES_tradnl"/>
        </w:rPr>
        <w:t xml:space="preserve">, M. D. (2012). </w:t>
      </w:r>
      <w:r w:rsidRPr="000E4FE6">
        <w:rPr>
          <w:rFonts w:ascii="Times New Roman" w:hAnsi="Times New Roman" w:cs="Times New Roman"/>
          <w:sz w:val="24"/>
          <w:szCs w:val="24"/>
        </w:rPr>
        <w:t xml:space="preserve">Validation of a questionnaire on emotional eating for use in cases of obesity: </w:t>
      </w:r>
      <w:proofErr w:type="gramStart"/>
      <w:r w:rsidRPr="000E4FE6">
        <w:rPr>
          <w:rFonts w:ascii="Times New Roman" w:hAnsi="Times New Roman" w:cs="Times New Roman"/>
          <w:sz w:val="24"/>
          <w:szCs w:val="24"/>
        </w:rPr>
        <w:t>the</w:t>
      </w:r>
      <w:proofErr w:type="gramEnd"/>
      <w:r w:rsidRPr="000E4FE6">
        <w:rPr>
          <w:rFonts w:ascii="Times New Roman" w:hAnsi="Times New Roman" w:cs="Times New Roman"/>
          <w:sz w:val="24"/>
          <w:szCs w:val="24"/>
        </w:rPr>
        <w:t xml:space="preserve"> Emotional Eater Questionnaire (EEQ). </w:t>
      </w:r>
      <w:proofErr w:type="spellStart"/>
      <w:r w:rsidRPr="000E4FE6">
        <w:rPr>
          <w:rFonts w:ascii="Times New Roman" w:hAnsi="Times New Roman" w:cs="Times New Roman"/>
          <w:i/>
          <w:sz w:val="24"/>
          <w:szCs w:val="24"/>
          <w:lang w:val="es-ES_tradnl"/>
        </w:rPr>
        <w:t>Nutricion</w:t>
      </w:r>
      <w:proofErr w:type="spellEnd"/>
      <w:r w:rsidRPr="000E4FE6">
        <w:rPr>
          <w:rFonts w:ascii="Times New Roman" w:hAnsi="Times New Roman" w:cs="Times New Roman"/>
          <w:i/>
          <w:sz w:val="24"/>
          <w:szCs w:val="24"/>
          <w:lang w:val="es-ES_tradnl"/>
        </w:rPr>
        <w:t xml:space="preserve"> </w:t>
      </w:r>
      <w:proofErr w:type="gramStart"/>
      <w:r w:rsidRPr="000E4FE6">
        <w:rPr>
          <w:rFonts w:ascii="Times New Roman" w:hAnsi="Times New Roman" w:cs="Times New Roman"/>
          <w:i/>
          <w:sz w:val="24"/>
          <w:szCs w:val="24"/>
          <w:lang w:val="es-ES_tradnl"/>
        </w:rPr>
        <w:t>Hospitalaria :</w:t>
      </w:r>
      <w:proofErr w:type="gramEnd"/>
      <w:r w:rsidRPr="000E4FE6">
        <w:rPr>
          <w:rFonts w:ascii="Times New Roman" w:hAnsi="Times New Roman" w:cs="Times New Roman"/>
          <w:i/>
          <w:sz w:val="24"/>
          <w:szCs w:val="24"/>
          <w:lang w:val="es-ES_tradnl"/>
        </w:rPr>
        <w:t xml:space="preserve"> </w:t>
      </w:r>
      <w:proofErr w:type="spellStart"/>
      <w:r w:rsidRPr="000E4FE6">
        <w:rPr>
          <w:rFonts w:ascii="Times New Roman" w:hAnsi="Times New Roman" w:cs="Times New Roman"/>
          <w:i/>
          <w:sz w:val="24"/>
          <w:szCs w:val="24"/>
          <w:lang w:val="es-ES_tradnl"/>
        </w:rPr>
        <w:t>Organo</w:t>
      </w:r>
      <w:proofErr w:type="spellEnd"/>
      <w:r w:rsidRPr="000E4FE6">
        <w:rPr>
          <w:rFonts w:ascii="Times New Roman" w:hAnsi="Times New Roman" w:cs="Times New Roman"/>
          <w:i/>
          <w:sz w:val="24"/>
          <w:szCs w:val="24"/>
          <w:lang w:val="es-ES_tradnl"/>
        </w:rPr>
        <w:t xml:space="preserve"> Oficial de La Sociedad </w:t>
      </w:r>
      <w:proofErr w:type="spellStart"/>
      <w:r w:rsidRPr="000E4FE6">
        <w:rPr>
          <w:rFonts w:ascii="Times New Roman" w:hAnsi="Times New Roman" w:cs="Times New Roman"/>
          <w:i/>
          <w:sz w:val="24"/>
          <w:szCs w:val="24"/>
          <w:lang w:val="es-ES_tradnl"/>
        </w:rPr>
        <w:t>Espanola</w:t>
      </w:r>
      <w:proofErr w:type="spellEnd"/>
      <w:r w:rsidRPr="000E4FE6">
        <w:rPr>
          <w:rFonts w:ascii="Times New Roman" w:hAnsi="Times New Roman" w:cs="Times New Roman"/>
          <w:i/>
          <w:sz w:val="24"/>
          <w:szCs w:val="24"/>
          <w:lang w:val="es-ES_tradnl"/>
        </w:rPr>
        <w:t xml:space="preserve"> de </w:t>
      </w:r>
      <w:proofErr w:type="spellStart"/>
      <w:r w:rsidRPr="000E4FE6">
        <w:rPr>
          <w:rFonts w:ascii="Times New Roman" w:hAnsi="Times New Roman" w:cs="Times New Roman"/>
          <w:i/>
          <w:sz w:val="24"/>
          <w:szCs w:val="24"/>
          <w:lang w:val="es-ES_tradnl"/>
        </w:rPr>
        <w:t>Nutricion</w:t>
      </w:r>
      <w:proofErr w:type="spellEnd"/>
      <w:r w:rsidRPr="000E4FE6">
        <w:rPr>
          <w:rFonts w:ascii="Times New Roman" w:hAnsi="Times New Roman" w:cs="Times New Roman"/>
          <w:i/>
          <w:sz w:val="24"/>
          <w:szCs w:val="24"/>
          <w:lang w:val="es-ES_tradnl"/>
        </w:rPr>
        <w:t xml:space="preserve"> Parenteral y Enteral</w:t>
      </w:r>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27</w:t>
      </w:r>
      <w:r w:rsidRPr="000E4FE6">
        <w:rPr>
          <w:rFonts w:ascii="Times New Roman" w:hAnsi="Times New Roman" w:cs="Times New Roman"/>
          <w:sz w:val="24"/>
          <w:szCs w:val="24"/>
          <w:lang w:val="es-ES_tradnl"/>
        </w:rPr>
        <w:t>(2), 645–651. https://doi.org/10.1590/S0212-16112012000200043</w:t>
      </w:r>
    </w:p>
    <w:p w14:paraId="00000D4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Garaulet</w:t>
      </w:r>
      <w:proofErr w:type="spellEnd"/>
      <w:r w:rsidRPr="000E4FE6">
        <w:rPr>
          <w:rFonts w:ascii="Times New Roman" w:hAnsi="Times New Roman" w:cs="Times New Roman"/>
          <w:sz w:val="24"/>
          <w:szCs w:val="24"/>
        </w:rPr>
        <w:t xml:space="preserve">, M, Esteban </w:t>
      </w:r>
      <w:proofErr w:type="spellStart"/>
      <w:r w:rsidRPr="000E4FE6">
        <w:rPr>
          <w:rFonts w:ascii="Times New Roman" w:hAnsi="Times New Roman" w:cs="Times New Roman"/>
          <w:sz w:val="24"/>
          <w:szCs w:val="24"/>
        </w:rPr>
        <w:t>Tardido</w:t>
      </w:r>
      <w:proofErr w:type="spellEnd"/>
      <w:r w:rsidRPr="000E4FE6">
        <w:rPr>
          <w:rFonts w:ascii="Times New Roman" w:hAnsi="Times New Roman" w:cs="Times New Roman"/>
          <w:sz w:val="24"/>
          <w:szCs w:val="24"/>
        </w:rPr>
        <w:t xml:space="preserve">, A., Lee, Y. C., Smith, C. E., Parnell, L. D., and </w:t>
      </w:r>
      <w:proofErr w:type="spellStart"/>
      <w:r w:rsidRPr="000E4FE6">
        <w:rPr>
          <w:rFonts w:ascii="Times New Roman" w:hAnsi="Times New Roman" w:cs="Times New Roman"/>
          <w:sz w:val="24"/>
          <w:szCs w:val="24"/>
        </w:rPr>
        <w:t>Ordovás</w:t>
      </w:r>
      <w:proofErr w:type="spellEnd"/>
      <w:r w:rsidRPr="000E4FE6">
        <w:rPr>
          <w:rFonts w:ascii="Times New Roman" w:hAnsi="Times New Roman" w:cs="Times New Roman"/>
          <w:sz w:val="24"/>
          <w:szCs w:val="24"/>
        </w:rPr>
        <w:t xml:space="preserve">, J. M. (2012). SIRT1 and CLOCK 3111T&gt; C combined genotype is associated with evening preference and weight loss resistance in a </w:t>
      </w:r>
      <w:proofErr w:type="spellStart"/>
      <w:r w:rsidRPr="000E4FE6">
        <w:rPr>
          <w:rFonts w:ascii="Times New Roman" w:hAnsi="Times New Roman" w:cs="Times New Roman"/>
          <w:sz w:val="24"/>
          <w:szCs w:val="24"/>
        </w:rPr>
        <w:t>behavioral</w:t>
      </w:r>
      <w:proofErr w:type="spellEnd"/>
      <w:r w:rsidRPr="000E4FE6">
        <w:rPr>
          <w:rFonts w:ascii="Times New Roman" w:hAnsi="Times New Roman" w:cs="Times New Roman"/>
          <w:sz w:val="24"/>
          <w:szCs w:val="24"/>
        </w:rPr>
        <w:t xml:space="preserve"> therapy treatment for obesity.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36</w:t>
      </w:r>
      <w:r w:rsidRPr="000E4FE6">
        <w:rPr>
          <w:rFonts w:ascii="Times New Roman" w:hAnsi="Times New Roman" w:cs="Times New Roman"/>
          <w:sz w:val="24"/>
          <w:szCs w:val="24"/>
        </w:rPr>
        <w:t>(11), 1436–1441. https://doi.org/10.1038/ijo.2011.270</w:t>
      </w:r>
    </w:p>
    <w:p w14:paraId="00000D4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Garaulet</w:t>
      </w:r>
      <w:proofErr w:type="spellEnd"/>
      <w:r w:rsidRPr="000E4FE6">
        <w:rPr>
          <w:rFonts w:ascii="Times New Roman" w:hAnsi="Times New Roman" w:cs="Times New Roman"/>
          <w:sz w:val="24"/>
          <w:szCs w:val="24"/>
        </w:rPr>
        <w:t>, M, Gómez-</w:t>
      </w:r>
      <w:proofErr w:type="spellStart"/>
      <w:r w:rsidRPr="000E4FE6">
        <w:rPr>
          <w:rFonts w:ascii="Times New Roman" w:hAnsi="Times New Roman" w:cs="Times New Roman"/>
          <w:sz w:val="24"/>
          <w:szCs w:val="24"/>
        </w:rPr>
        <w:t>Abellán</w:t>
      </w:r>
      <w:proofErr w:type="spellEnd"/>
      <w:r w:rsidRPr="000E4FE6">
        <w:rPr>
          <w:rFonts w:ascii="Times New Roman" w:hAnsi="Times New Roman" w:cs="Times New Roman"/>
          <w:sz w:val="24"/>
          <w:szCs w:val="24"/>
        </w:rPr>
        <w:t xml:space="preserve">, P., </w:t>
      </w:r>
      <w:proofErr w:type="spellStart"/>
      <w:r w:rsidRPr="000E4FE6">
        <w:rPr>
          <w:rFonts w:ascii="Times New Roman" w:hAnsi="Times New Roman" w:cs="Times New Roman"/>
          <w:sz w:val="24"/>
          <w:szCs w:val="24"/>
        </w:rPr>
        <w:t>Alburquerque-Béjar</w:t>
      </w:r>
      <w:proofErr w:type="spellEnd"/>
      <w:r w:rsidRPr="000E4FE6">
        <w:rPr>
          <w:rFonts w:ascii="Times New Roman" w:hAnsi="Times New Roman" w:cs="Times New Roman"/>
          <w:sz w:val="24"/>
          <w:szCs w:val="24"/>
        </w:rPr>
        <w:t xml:space="preserve">, J. J., Lee, Y. C., </w:t>
      </w:r>
      <w:proofErr w:type="spellStart"/>
      <w:r w:rsidRPr="000E4FE6">
        <w:rPr>
          <w:rFonts w:ascii="Times New Roman" w:hAnsi="Times New Roman" w:cs="Times New Roman"/>
          <w:sz w:val="24"/>
          <w:szCs w:val="24"/>
        </w:rPr>
        <w:t>Ordovás</w:t>
      </w:r>
      <w:proofErr w:type="spellEnd"/>
      <w:r w:rsidRPr="000E4FE6">
        <w:rPr>
          <w:rFonts w:ascii="Times New Roman" w:hAnsi="Times New Roman" w:cs="Times New Roman"/>
          <w:sz w:val="24"/>
          <w:szCs w:val="24"/>
        </w:rPr>
        <w:t>, J. M., and Scheer, F. A. J. L. (2013). Timing of food intake predicts weight loss effectiveness.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37</w:t>
      </w:r>
      <w:r w:rsidRPr="000E4FE6">
        <w:rPr>
          <w:rFonts w:ascii="Times New Roman" w:hAnsi="Times New Roman" w:cs="Times New Roman"/>
          <w:sz w:val="24"/>
          <w:szCs w:val="24"/>
        </w:rPr>
        <w:t>(4), 604–611. https://doi.org/10.1038/ijo.2012.229</w:t>
      </w:r>
    </w:p>
    <w:p w14:paraId="00000D4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lang w:val="es-ES_tradnl"/>
        </w:rPr>
        <w:t>Garaulet</w:t>
      </w:r>
      <w:proofErr w:type="spellEnd"/>
      <w:r w:rsidRPr="000E4FE6">
        <w:rPr>
          <w:rFonts w:ascii="Times New Roman" w:hAnsi="Times New Roman" w:cs="Times New Roman"/>
          <w:sz w:val="24"/>
          <w:szCs w:val="24"/>
          <w:lang w:val="es-ES_tradnl"/>
        </w:rPr>
        <w:t xml:space="preserve">, Marta, and Gómez-Abellán, P. (2014). </w:t>
      </w:r>
      <w:r w:rsidRPr="000E4FE6">
        <w:rPr>
          <w:rFonts w:ascii="Times New Roman" w:hAnsi="Times New Roman" w:cs="Times New Roman"/>
          <w:sz w:val="24"/>
          <w:szCs w:val="24"/>
        </w:rPr>
        <w:t>Timing of food intake and obesity: a novel association.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134</w:t>
      </w:r>
      <w:r w:rsidRPr="000E4FE6">
        <w:rPr>
          <w:rFonts w:ascii="Times New Roman" w:hAnsi="Times New Roman" w:cs="Times New Roman"/>
          <w:sz w:val="24"/>
          <w:szCs w:val="24"/>
        </w:rPr>
        <w:t>, 44–50. https://doi.org/10.1016/j.physbeh.2014.01.001</w:t>
      </w:r>
    </w:p>
    <w:p w14:paraId="00000D4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Garaulet</w:t>
      </w:r>
      <w:proofErr w:type="spellEnd"/>
      <w:r w:rsidRPr="000E4FE6">
        <w:rPr>
          <w:rFonts w:ascii="Times New Roman" w:hAnsi="Times New Roman" w:cs="Times New Roman"/>
          <w:sz w:val="24"/>
          <w:szCs w:val="24"/>
        </w:rPr>
        <w:t>, Marta, and Madrid, J. A. (2010). Chronobiological aspects of nutrition, metabolic syndrome and obesity. </w:t>
      </w:r>
      <w:r w:rsidRPr="000E4FE6">
        <w:rPr>
          <w:rFonts w:ascii="Times New Roman" w:hAnsi="Times New Roman" w:cs="Times New Roman"/>
          <w:i/>
          <w:sz w:val="24"/>
          <w:szCs w:val="24"/>
        </w:rPr>
        <w:t>Advanced Drug Delivery Reviews</w:t>
      </w:r>
      <w:r w:rsidRPr="000E4FE6">
        <w:rPr>
          <w:rFonts w:ascii="Times New Roman" w:hAnsi="Times New Roman" w:cs="Times New Roman"/>
          <w:sz w:val="24"/>
          <w:szCs w:val="24"/>
        </w:rPr>
        <w:t>, </w:t>
      </w:r>
      <w:r w:rsidRPr="000E4FE6">
        <w:rPr>
          <w:rFonts w:ascii="Times New Roman" w:hAnsi="Times New Roman" w:cs="Times New Roman"/>
          <w:i/>
          <w:sz w:val="24"/>
          <w:szCs w:val="24"/>
        </w:rPr>
        <w:t>62</w:t>
      </w:r>
      <w:r w:rsidRPr="000E4FE6">
        <w:rPr>
          <w:rFonts w:ascii="Times New Roman" w:hAnsi="Times New Roman" w:cs="Times New Roman"/>
          <w:sz w:val="24"/>
          <w:szCs w:val="24"/>
        </w:rPr>
        <w:t>(9–10), 967–978. https://doi.org/10.1016/j.addr.2010.05.005</w:t>
      </w:r>
    </w:p>
    <w:p w14:paraId="00000D4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Garaulet</w:t>
      </w:r>
      <w:proofErr w:type="spellEnd"/>
      <w:r w:rsidRPr="000E4FE6">
        <w:rPr>
          <w:rFonts w:ascii="Times New Roman" w:hAnsi="Times New Roman" w:cs="Times New Roman"/>
          <w:sz w:val="24"/>
          <w:szCs w:val="24"/>
        </w:rPr>
        <w:t>, Marta, Vera, B., Bonnet-Rubio, G., Gómez-</w:t>
      </w:r>
      <w:proofErr w:type="spellStart"/>
      <w:r w:rsidRPr="000E4FE6">
        <w:rPr>
          <w:rFonts w:ascii="Times New Roman" w:hAnsi="Times New Roman" w:cs="Times New Roman"/>
          <w:sz w:val="24"/>
          <w:szCs w:val="24"/>
        </w:rPr>
        <w:t>Abellán</w:t>
      </w:r>
      <w:proofErr w:type="spellEnd"/>
      <w:r w:rsidRPr="000E4FE6">
        <w:rPr>
          <w:rFonts w:ascii="Times New Roman" w:hAnsi="Times New Roman" w:cs="Times New Roman"/>
          <w:sz w:val="24"/>
          <w:szCs w:val="24"/>
        </w:rPr>
        <w:t xml:space="preserve">, P., Lee, Y.-C., and </w:t>
      </w:r>
      <w:proofErr w:type="spellStart"/>
      <w:r w:rsidRPr="000E4FE6">
        <w:rPr>
          <w:rFonts w:ascii="Times New Roman" w:hAnsi="Times New Roman" w:cs="Times New Roman"/>
          <w:sz w:val="24"/>
          <w:szCs w:val="24"/>
        </w:rPr>
        <w:t>Ordovás</w:t>
      </w:r>
      <w:proofErr w:type="spellEnd"/>
      <w:r w:rsidRPr="000E4FE6">
        <w:rPr>
          <w:rFonts w:ascii="Times New Roman" w:hAnsi="Times New Roman" w:cs="Times New Roman"/>
          <w:sz w:val="24"/>
          <w:szCs w:val="24"/>
        </w:rPr>
        <w:t>, J. M. (2016). Lunch eating predicts weight-loss effectiveness in carriers of the common allele at PERILIPIN1: the ONTIME (Obesity, Nutrigenetics, Timing, Mediterranean) study.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104</w:t>
      </w:r>
      <w:r w:rsidRPr="000E4FE6">
        <w:rPr>
          <w:rFonts w:ascii="Times New Roman" w:hAnsi="Times New Roman" w:cs="Times New Roman"/>
          <w:sz w:val="24"/>
          <w:szCs w:val="24"/>
        </w:rPr>
        <w:t>(4), 1160–1166. https://doi.org/10.3945/ajcn.116.134528</w:t>
      </w:r>
    </w:p>
    <w:p w14:paraId="00000D4E" w14:textId="164E0657" w:rsidR="00CB4215"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lang w:val="es-ES_tradnl"/>
        </w:rPr>
        <w:t>Gesteiro</w:t>
      </w:r>
      <w:proofErr w:type="spellEnd"/>
      <w:r w:rsidRPr="000E4FE6">
        <w:rPr>
          <w:rFonts w:ascii="Times New Roman" w:hAnsi="Times New Roman" w:cs="Times New Roman"/>
          <w:sz w:val="24"/>
          <w:szCs w:val="24"/>
          <w:lang w:val="es-ES_tradnl"/>
        </w:rPr>
        <w:t xml:space="preserve">, E., García-Carro, A., Aparicio-Ugarriza, R., and González-Gross, M. (2022). </w:t>
      </w:r>
      <w:r w:rsidRPr="000E4FE6">
        <w:rPr>
          <w:rFonts w:ascii="Times New Roman" w:hAnsi="Times New Roman" w:cs="Times New Roman"/>
          <w:sz w:val="24"/>
          <w:szCs w:val="24"/>
        </w:rPr>
        <w:t>Eating out of home: influence on nutrition, health, and policies: A scoping review.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14</w:t>
      </w:r>
      <w:r w:rsidRPr="000E4FE6">
        <w:rPr>
          <w:rFonts w:ascii="Times New Roman" w:hAnsi="Times New Roman" w:cs="Times New Roman"/>
          <w:sz w:val="24"/>
          <w:szCs w:val="24"/>
        </w:rPr>
        <w:t xml:space="preserve">(6). </w:t>
      </w:r>
      <w:hyperlink r:id="rId826" w:history="1">
        <w:r w:rsidR="00743AE7" w:rsidRPr="00CB0261">
          <w:rPr>
            <w:rStyle w:val="Hyperlink"/>
            <w:rFonts w:ascii="Times New Roman" w:hAnsi="Times New Roman" w:cs="Times New Roman"/>
            <w:sz w:val="24"/>
            <w:szCs w:val="24"/>
          </w:rPr>
          <w:t>https://doi.org/10.3390/nu14061265</w:t>
        </w:r>
      </w:hyperlink>
    </w:p>
    <w:p w14:paraId="4A5C4EC9" w14:textId="1CC3DA67" w:rsidR="00743AE7" w:rsidRPr="000E4FE6" w:rsidRDefault="00743AE7">
      <w:pPr>
        <w:spacing w:line="480" w:lineRule="auto"/>
        <w:ind w:left="737" w:hanging="720"/>
        <w:jc w:val="both"/>
        <w:rPr>
          <w:rFonts w:ascii="Times New Roman" w:hAnsi="Times New Roman" w:cs="Times New Roman"/>
          <w:sz w:val="24"/>
          <w:szCs w:val="24"/>
        </w:rPr>
      </w:pPr>
      <w:proofErr w:type="spellStart"/>
      <w:r w:rsidRPr="00743AE7">
        <w:rPr>
          <w:rFonts w:ascii="Times New Roman" w:hAnsi="Times New Roman" w:cs="Times New Roman"/>
          <w:sz w:val="24"/>
          <w:szCs w:val="24"/>
        </w:rPr>
        <w:lastRenderedPageBreak/>
        <w:t>Gatzemeier</w:t>
      </w:r>
      <w:proofErr w:type="spellEnd"/>
      <w:r w:rsidRPr="00743AE7">
        <w:rPr>
          <w:rFonts w:ascii="Times New Roman" w:hAnsi="Times New Roman" w:cs="Times New Roman"/>
          <w:sz w:val="24"/>
          <w:szCs w:val="24"/>
        </w:rPr>
        <w:t>, J., Wilkinson, L. L., Price, M., and Lee, M. (2021). Identifying weight management clusters and examining differences in eating behaviour and psychological traits. https://doi.org/10.31219/osf.io/8rsh3</w:t>
      </w:r>
    </w:p>
    <w:p w14:paraId="00000D4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Gianfrancesco</w:t>
      </w:r>
      <w:proofErr w:type="spellEnd"/>
      <w:r w:rsidRPr="000E4FE6">
        <w:rPr>
          <w:rFonts w:ascii="Times New Roman" w:hAnsi="Times New Roman" w:cs="Times New Roman"/>
          <w:sz w:val="24"/>
          <w:szCs w:val="24"/>
        </w:rPr>
        <w:t xml:space="preserve">, C., Darwin, Z., McGowan, L., Smith, D. M., </w:t>
      </w:r>
      <w:proofErr w:type="spellStart"/>
      <w:r w:rsidRPr="000E4FE6">
        <w:rPr>
          <w:rFonts w:ascii="Times New Roman" w:hAnsi="Times New Roman" w:cs="Times New Roman"/>
          <w:sz w:val="24"/>
          <w:szCs w:val="24"/>
        </w:rPr>
        <w:t>Haddrill</w:t>
      </w:r>
      <w:proofErr w:type="spellEnd"/>
      <w:r w:rsidRPr="000E4FE6">
        <w:rPr>
          <w:rFonts w:ascii="Times New Roman" w:hAnsi="Times New Roman" w:cs="Times New Roman"/>
          <w:sz w:val="24"/>
          <w:szCs w:val="24"/>
        </w:rPr>
        <w:t>, R., Carter, M., … Cade, J. E. (2018). Exploring the Feasibility of Use of An Online Dietary Assessment Tool (myfood24) in Women with Gestational Diabetes.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(9). https://doi.org/10.3390/nu10091147</w:t>
      </w:r>
    </w:p>
    <w:p w14:paraId="00000D5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Gibbons, C., Finlayson, G., Dalton, M., Caudwell, P., and Blundell, J. E. (2014). Metabolic Phenotyping Guidelines: studying eating behaviour in humans. </w:t>
      </w:r>
      <w:r w:rsidRPr="000E4FE6">
        <w:rPr>
          <w:rFonts w:ascii="Times New Roman" w:hAnsi="Times New Roman" w:cs="Times New Roman"/>
          <w:i/>
          <w:sz w:val="24"/>
          <w:szCs w:val="24"/>
        </w:rPr>
        <w:t>The Journal of Endocrinology</w:t>
      </w:r>
      <w:r w:rsidRPr="000E4FE6">
        <w:rPr>
          <w:rFonts w:ascii="Times New Roman" w:hAnsi="Times New Roman" w:cs="Times New Roman"/>
          <w:sz w:val="24"/>
          <w:szCs w:val="24"/>
        </w:rPr>
        <w:t>, </w:t>
      </w:r>
      <w:r w:rsidRPr="000E4FE6">
        <w:rPr>
          <w:rFonts w:ascii="Times New Roman" w:hAnsi="Times New Roman" w:cs="Times New Roman"/>
          <w:i/>
          <w:sz w:val="24"/>
          <w:szCs w:val="24"/>
        </w:rPr>
        <w:t>222</w:t>
      </w:r>
      <w:r w:rsidRPr="000E4FE6">
        <w:rPr>
          <w:rFonts w:ascii="Times New Roman" w:hAnsi="Times New Roman" w:cs="Times New Roman"/>
          <w:sz w:val="24"/>
          <w:szCs w:val="24"/>
        </w:rPr>
        <w:t>(2), G1-12. https://doi.org/10.1530/JOE-14-0020</w:t>
      </w:r>
    </w:p>
    <w:p w14:paraId="00000D5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Giles-</w:t>
      </w:r>
      <w:proofErr w:type="spellStart"/>
      <w:r w:rsidRPr="000E4FE6">
        <w:rPr>
          <w:rFonts w:ascii="Times New Roman" w:hAnsi="Times New Roman" w:cs="Times New Roman"/>
          <w:sz w:val="24"/>
          <w:szCs w:val="24"/>
        </w:rPr>
        <w:t>Corti</w:t>
      </w:r>
      <w:proofErr w:type="spellEnd"/>
      <w:r w:rsidRPr="000E4FE6">
        <w:rPr>
          <w:rFonts w:ascii="Times New Roman" w:hAnsi="Times New Roman" w:cs="Times New Roman"/>
          <w:sz w:val="24"/>
          <w:szCs w:val="24"/>
        </w:rPr>
        <w:t xml:space="preserve">, B., Macintyre, S., Clarkson, J. P., </w:t>
      </w:r>
      <w:proofErr w:type="spellStart"/>
      <w:r w:rsidRPr="000E4FE6">
        <w:rPr>
          <w:rFonts w:ascii="Times New Roman" w:hAnsi="Times New Roman" w:cs="Times New Roman"/>
          <w:sz w:val="24"/>
          <w:szCs w:val="24"/>
        </w:rPr>
        <w:t>Pikora</w:t>
      </w:r>
      <w:proofErr w:type="spellEnd"/>
      <w:r w:rsidRPr="000E4FE6">
        <w:rPr>
          <w:rFonts w:ascii="Times New Roman" w:hAnsi="Times New Roman" w:cs="Times New Roman"/>
          <w:sz w:val="24"/>
          <w:szCs w:val="24"/>
        </w:rPr>
        <w:t>, T., and Donovan, R. J. (2003). Environmental and lifestyle factors associated with overweight and obesity in Perth, Australia. </w:t>
      </w:r>
      <w:r w:rsidRPr="000E4FE6">
        <w:rPr>
          <w:rFonts w:ascii="Times New Roman" w:hAnsi="Times New Roman" w:cs="Times New Roman"/>
          <w:i/>
          <w:sz w:val="24"/>
          <w:szCs w:val="24"/>
        </w:rPr>
        <w:t>American Journal of Health Promotion</w:t>
      </w:r>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(1), 93–102. https://doi.org/10.4278/0890-1171-18.1.93</w:t>
      </w:r>
    </w:p>
    <w:p w14:paraId="00000D5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Gilhooly, C. H., Das, S. K., Golden, J. K., McCrory, M. A., </w:t>
      </w:r>
      <w:proofErr w:type="spellStart"/>
      <w:r w:rsidRPr="000E4FE6">
        <w:rPr>
          <w:rFonts w:ascii="Times New Roman" w:hAnsi="Times New Roman" w:cs="Times New Roman"/>
          <w:sz w:val="24"/>
          <w:szCs w:val="24"/>
        </w:rPr>
        <w:t>Dallal</w:t>
      </w:r>
      <w:proofErr w:type="spellEnd"/>
      <w:r w:rsidRPr="000E4FE6">
        <w:rPr>
          <w:rFonts w:ascii="Times New Roman" w:hAnsi="Times New Roman" w:cs="Times New Roman"/>
          <w:sz w:val="24"/>
          <w:szCs w:val="24"/>
        </w:rPr>
        <w:t xml:space="preserve">, G. E., Saltzman, E., … Roberts, S. B. (2007). Food cravings and energy regulation: the characteristics of craved foods and their relationship with eating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and weight change during 6 months of dietary energy restriction.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31</w:t>
      </w:r>
      <w:r w:rsidRPr="000E4FE6">
        <w:rPr>
          <w:rFonts w:ascii="Times New Roman" w:hAnsi="Times New Roman" w:cs="Times New Roman"/>
          <w:sz w:val="24"/>
          <w:szCs w:val="24"/>
        </w:rPr>
        <w:t>(12), 1849–1858. https://doi.org/10.1038/sj.ijo.0803672</w:t>
      </w:r>
    </w:p>
    <w:p w14:paraId="00000D5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Giskes</w:t>
      </w:r>
      <w:proofErr w:type="spellEnd"/>
      <w:r w:rsidRPr="000E4FE6">
        <w:rPr>
          <w:rFonts w:ascii="Times New Roman" w:hAnsi="Times New Roman" w:cs="Times New Roman"/>
          <w:sz w:val="24"/>
          <w:szCs w:val="24"/>
        </w:rPr>
        <w:t xml:space="preserve">, K., </w:t>
      </w:r>
      <w:proofErr w:type="spellStart"/>
      <w:r w:rsidRPr="000E4FE6">
        <w:rPr>
          <w:rFonts w:ascii="Times New Roman" w:hAnsi="Times New Roman" w:cs="Times New Roman"/>
          <w:sz w:val="24"/>
          <w:szCs w:val="24"/>
        </w:rPr>
        <w:t>Turrell</w:t>
      </w:r>
      <w:proofErr w:type="spellEnd"/>
      <w:r w:rsidRPr="000E4FE6">
        <w:rPr>
          <w:rFonts w:ascii="Times New Roman" w:hAnsi="Times New Roman" w:cs="Times New Roman"/>
          <w:sz w:val="24"/>
          <w:szCs w:val="24"/>
        </w:rPr>
        <w:t>, G., Patterson, C., and Newman, B. (2002). Socio-economic differences in fruit and vegetable consumption among Australian adolescents and adults.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w:t>
      </w:r>
      <w:r w:rsidRPr="000E4FE6">
        <w:rPr>
          <w:rFonts w:ascii="Times New Roman" w:hAnsi="Times New Roman" w:cs="Times New Roman"/>
          <w:sz w:val="24"/>
          <w:szCs w:val="24"/>
        </w:rPr>
        <w:t>(5), 663–669. https://doi.org/10.1079/PHN2002339</w:t>
      </w:r>
    </w:p>
    <w:p w14:paraId="00000D5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Gluck, M. E., </w:t>
      </w:r>
      <w:proofErr w:type="spellStart"/>
      <w:r w:rsidRPr="000E4FE6">
        <w:rPr>
          <w:rFonts w:ascii="Times New Roman" w:hAnsi="Times New Roman" w:cs="Times New Roman"/>
          <w:sz w:val="24"/>
          <w:szCs w:val="24"/>
        </w:rPr>
        <w:t>Venti</w:t>
      </w:r>
      <w:proofErr w:type="spellEnd"/>
      <w:r w:rsidRPr="000E4FE6">
        <w:rPr>
          <w:rFonts w:ascii="Times New Roman" w:hAnsi="Times New Roman" w:cs="Times New Roman"/>
          <w:sz w:val="24"/>
          <w:szCs w:val="24"/>
        </w:rPr>
        <w:t xml:space="preserve">, C. A., </w:t>
      </w:r>
      <w:proofErr w:type="spellStart"/>
      <w:r w:rsidRPr="000E4FE6">
        <w:rPr>
          <w:rFonts w:ascii="Times New Roman" w:hAnsi="Times New Roman" w:cs="Times New Roman"/>
          <w:sz w:val="24"/>
          <w:szCs w:val="24"/>
        </w:rPr>
        <w:t>Salbe</w:t>
      </w:r>
      <w:proofErr w:type="spellEnd"/>
      <w:r w:rsidRPr="000E4FE6">
        <w:rPr>
          <w:rFonts w:ascii="Times New Roman" w:hAnsi="Times New Roman" w:cs="Times New Roman"/>
          <w:sz w:val="24"/>
          <w:szCs w:val="24"/>
        </w:rPr>
        <w:t xml:space="preserve">, A. D., Votruba, S. B., and Krakoff, J. (2011). Higher 24-h respiratory quotient and higher spontaneous physical activity in </w:t>
      </w:r>
      <w:proofErr w:type="spellStart"/>
      <w:r w:rsidRPr="000E4FE6">
        <w:rPr>
          <w:rFonts w:ascii="Times New Roman" w:hAnsi="Times New Roman" w:cs="Times New Roman"/>
          <w:sz w:val="24"/>
          <w:szCs w:val="24"/>
        </w:rPr>
        <w:t>nighttime</w:t>
      </w:r>
      <w:proofErr w:type="spellEnd"/>
      <w:r w:rsidRPr="000E4FE6">
        <w:rPr>
          <w:rFonts w:ascii="Times New Roman" w:hAnsi="Times New Roman" w:cs="Times New Roman"/>
          <w:sz w:val="24"/>
          <w:szCs w:val="24"/>
        </w:rPr>
        <w:t xml:space="preserve"> eaters.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(2), 319–323. https://doi.org/10.1038/oby.2010.206</w:t>
      </w:r>
    </w:p>
    <w:p w14:paraId="00000D5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Goldschmidt, A. B. (2017). </w:t>
      </w:r>
      <w:proofErr w:type="gramStart"/>
      <w:r w:rsidRPr="000E4FE6">
        <w:rPr>
          <w:rFonts w:ascii="Times New Roman" w:hAnsi="Times New Roman" w:cs="Times New Roman"/>
          <w:sz w:val="24"/>
          <w:szCs w:val="24"/>
        </w:rPr>
        <w:t>Are</w:t>
      </w:r>
      <w:proofErr w:type="gramEnd"/>
      <w:r w:rsidRPr="000E4FE6">
        <w:rPr>
          <w:rFonts w:ascii="Times New Roman" w:hAnsi="Times New Roman" w:cs="Times New Roman"/>
          <w:sz w:val="24"/>
          <w:szCs w:val="24"/>
        </w:rPr>
        <w:t xml:space="preserve"> loss of control while eating and overeating valid constructs? A critical review of the literature.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(4), 412–449. https://doi.org/10.1111/obr.12491</w:t>
      </w:r>
    </w:p>
    <w:p w14:paraId="00000D5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Goldschmidt, A. B., Crosby, R. D., Cao, L., Pearson, C. M., </w:t>
      </w:r>
      <w:proofErr w:type="spellStart"/>
      <w:r w:rsidRPr="000E4FE6">
        <w:rPr>
          <w:rFonts w:ascii="Times New Roman" w:hAnsi="Times New Roman" w:cs="Times New Roman"/>
          <w:sz w:val="24"/>
          <w:szCs w:val="24"/>
        </w:rPr>
        <w:t>Utzinger</w:t>
      </w:r>
      <w:proofErr w:type="spellEnd"/>
      <w:r w:rsidRPr="000E4FE6">
        <w:rPr>
          <w:rFonts w:ascii="Times New Roman" w:hAnsi="Times New Roman" w:cs="Times New Roman"/>
          <w:sz w:val="24"/>
          <w:szCs w:val="24"/>
        </w:rPr>
        <w:t xml:space="preserve">, L. M., </w:t>
      </w:r>
      <w:proofErr w:type="spellStart"/>
      <w:r w:rsidRPr="000E4FE6">
        <w:rPr>
          <w:rFonts w:ascii="Times New Roman" w:hAnsi="Times New Roman" w:cs="Times New Roman"/>
          <w:sz w:val="24"/>
          <w:szCs w:val="24"/>
        </w:rPr>
        <w:t>Pacanowski</w:t>
      </w:r>
      <w:proofErr w:type="spellEnd"/>
      <w:r w:rsidRPr="000E4FE6">
        <w:rPr>
          <w:rFonts w:ascii="Times New Roman" w:hAnsi="Times New Roman" w:cs="Times New Roman"/>
          <w:sz w:val="24"/>
          <w:szCs w:val="24"/>
        </w:rPr>
        <w:t>, C. R., … Peterson, C. B. (2017). Contextual factors associated with eating in the absence of hunger among adults with obesity.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 33–39. https://doi.org/10.1016/j.eatbeh.2017.01.005</w:t>
      </w:r>
    </w:p>
    <w:p w14:paraId="00000D5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Goldstein, D. S., and </w:t>
      </w:r>
      <w:proofErr w:type="spellStart"/>
      <w:r w:rsidRPr="000E4FE6">
        <w:rPr>
          <w:rFonts w:ascii="Times New Roman" w:hAnsi="Times New Roman" w:cs="Times New Roman"/>
          <w:sz w:val="24"/>
          <w:szCs w:val="24"/>
        </w:rPr>
        <w:t>Kopin</w:t>
      </w:r>
      <w:proofErr w:type="spellEnd"/>
      <w:r w:rsidRPr="000E4FE6">
        <w:rPr>
          <w:rFonts w:ascii="Times New Roman" w:hAnsi="Times New Roman" w:cs="Times New Roman"/>
          <w:sz w:val="24"/>
          <w:szCs w:val="24"/>
        </w:rPr>
        <w:t>, I. J. (2007). Evolution of concepts of stress. </w:t>
      </w:r>
      <w:r w:rsidRPr="000E4FE6">
        <w:rPr>
          <w:rFonts w:ascii="Times New Roman" w:hAnsi="Times New Roman" w:cs="Times New Roman"/>
          <w:i/>
          <w:sz w:val="24"/>
          <w:szCs w:val="24"/>
        </w:rPr>
        <w:t>Stress (Amsterdam, Netherlands)</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(2), 109–120. https://doi.org/10.1080/10253890701288935</w:t>
      </w:r>
    </w:p>
    <w:p w14:paraId="00000D5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Gong, Q.-H., Li, S.-X., Wang, S.-J., and Li, H. (2021). Dinner-to-bed time is independently associated with overweight/obesity in Chinese school-aged children. </w:t>
      </w:r>
      <w:r w:rsidRPr="000E4FE6">
        <w:rPr>
          <w:rFonts w:ascii="Times New Roman" w:hAnsi="Times New Roman" w:cs="Times New Roman"/>
          <w:i/>
          <w:sz w:val="24"/>
          <w:szCs w:val="24"/>
        </w:rPr>
        <w:t>Eating and Weight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(8), 2657–2663. https://doi.org/10.1007/s40519-021-01129-0</w:t>
      </w:r>
    </w:p>
    <w:p w14:paraId="00000D5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González-Rodríguez, I., Ruiz, L., </w:t>
      </w:r>
      <w:proofErr w:type="spellStart"/>
      <w:r w:rsidRPr="000E4FE6">
        <w:rPr>
          <w:rFonts w:ascii="Times New Roman" w:hAnsi="Times New Roman" w:cs="Times New Roman"/>
          <w:sz w:val="24"/>
          <w:szCs w:val="24"/>
        </w:rPr>
        <w:t>Gueimonde</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Margolles</w:t>
      </w:r>
      <w:proofErr w:type="spellEnd"/>
      <w:r w:rsidRPr="000E4FE6">
        <w:rPr>
          <w:rFonts w:ascii="Times New Roman" w:hAnsi="Times New Roman" w:cs="Times New Roman"/>
          <w:sz w:val="24"/>
          <w:szCs w:val="24"/>
        </w:rPr>
        <w:t xml:space="preserve">, A., and Sánchez, B. (2013). Factors involved in the colonization and survival of </w:t>
      </w:r>
      <w:proofErr w:type="spellStart"/>
      <w:r w:rsidRPr="000E4FE6">
        <w:rPr>
          <w:rFonts w:ascii="Times New Roman" w:hAnsi="Times New Roman" w:cs="Times New Roman"/>
          <w:sz w:val="24"/>
          <w:szCs w:val="24"/>
        </w:rPr>
        <w:t>bifidobacteria</w:t>
      </w:r>
      <w:proofErr w:type="spellEnd"/>
      <w:r w:rsidRPr="000E4FE6">
        <w:rPr>
          <w:rFonts w:ascii="Times New Roman" w:hAnsi="Times New Roman" w:cs="Times New Roman"/>
          <w:sz w:val="24"/>
          <w:szCs w:val="24"/>
        </w:rPr>
        <w:t xml:space="preserve"> in the gastrointestinal tract. </w:t>
      </w:r>
      <w:r w:rsidRPr="000E4FE6">
        <w:rPr>
          <w:rFonts w:ascii="Times New Roman" w:hAnsi="Times New Roman" w:cs="Times New Roman"/>
          <w:i/>
          <w:sz w:val="24"/>
          <w:szCs w:val="24"/>
        </w:rPr>
        <w:t>FEMS Microbiology Letters</w:t>
      </w:r>
      <w:r w:rsidRPr="000E4FE6">
        <w:rPr>
          <w:rFonts w:ascii="Times New Roman" w:hAnsi="Times New Roman" w:cs="Times New Roman"/>
          <w:sz w:val="24"/>
          <w:szCs w:val="24"/>
        </w:rPr>
        <w:t>, </w:t>
      </w:r>
      <w:r w:rsidRPr="000E4FE6">
        <w:rPr>
          <w:rFonts w:ascii="Times New Roman" w:hAnsi="Times New Roman" w:cs="Times New Roman"/>
          <w:i/>
          <w:sz w:val="24"/>
          <w:szCs w:val="24"/>
        </w:rPr>
        <w:t>340</w:t>
      </w:r>
      <w:r w:rsidRPr="000E4FE6">
        <w:rPr>
          <w:rFonts w:ascii="Times New Roman" w:hAnsi="Times New Roman" w:cs="Times New Roman"/>
          <w:sz w:val="24"/>
          <w:szCs w:val="24"/>
        </w:rPr>
        <w:t>(1), 1–10. https://doi.org/10.1111/1574-6968.12056</w:t>
      </w:r>
    </w:p>
    <w:p w14:paraId="00000D5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Goo, R. H., Moore, J. G., Greenberg, E., and </w:t>
      </w:r>
      <w:proofErr w:type="spellStart"/>
      <w:r w:rsidRPr="000E4FE6">
        <w:rPr>
          <w:rFonts w:ascii="Times New Roman" w:hAnsi="Times New Roman" w:cs="Times New Roman"/>
          <w:sz w:val="24"/>
          <w:szCs w:val="24"/>
        </w:rPr>
        <w:t>Alazraki</w:t>
      </w:r>
      <w:proofErr w:type="spellEnd"/>
      <w:r w:rsidRPr="000E4FE6">
        <w:rPr>
          <w:rFonts w:ascii="Times New Roman" w:hAnsi="Times New Roman" w:cs="Times New Roman"/>
          <w:sz w:val="24"/>
          <w:szCs w:val="24"/>
        </w:rPr>
        <w:t>, N. P. (1987). Circadian variation in gastric emptying of meals in humans. </w:t>
      </w:r>
      <w:r w:rsidRPr="000E4FE6">
        <w:rPr>
          <w:rFonts w:ascii="Times New Roman" w:hAnsi="Times New Roman" w:cs="Times New Roman"/>
          <w:i/>
          <w:sz w:val="24"/>
          <w:szCs w:val="24"/>
        </w:rPr>
        <w:t>Gastroenterology</w:t>
      </w:r>
      <w:r w:rsidRPr="000E4FE6">
        <w:rPr>
          <w:rFonts w:ascii="Times New Roman" w:hAnsi="Times New Roman" w:cs="Times New Roman"/>
          <w:sz w:val="24"/>
          <w:szCs w:val="24"/>
        </w:rPr>
        <w:t>, </w:t>
      </w:r>
      <w:r w:rsidRPr="000E4FE6">
        <w:rPr>
          <w:rFonts w:ascii="Times New Roman" w:hAnsi="Times New Roman" w:cs="Times New Roman"/>
          <w:i/>
          <w:sz w:val="24"/>
          <w:szCs w:val="24"/>
        </w:rPr>
        <w:t>93</w:t>
      </w:r>
      <w:r w:rsidRPr="000E4FE6">
        <w:rPr>
          <w:rFonts w:ascii="Times New Roman" w:hAnsi="Times New Roman" w:cs="Times New Roman"/>
          <w:sz w:val="24"/>
          <w:szCs w:val="24"/>
        </w:rPr>
        <w:t>(3), 515–518. https://doi.org/10.1016/0016-5085(87)90913-9</w:t>
      </w:r>
    </w:p>
    <w:p w14:paraId="00000D5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Gormally</w:t>
      </w:r>
      <w:proofErr w:type="spellEnd"/>
      <w:r w:rsidRPr="000E4FE6">
        <w:rPr>
          <w:rFonts w:ascii="Times New Roman" w:hAnsi="Times New Roman" w:cs="Times New Roman"/>
          <w:sz w:val="24"/>
          <w:szCs w:val="24"/>
        </w:rPr>
        <w:t xml:space="preserve">, J., Black, S., </w:t>
      </w:r>
      <w:proofErr w:type="spellStart"/>
      <w:r w:rsidRPr="000E4FE6">
        <w:rPr>
          <w:rFonts w:ascii="Times New Roman" w:hAnsi="Times New Roman" w:cs="Times New Roman"/>
          <w:sz w:val="24"/>
          <w:szCs w:val="24"/>
        </w:rPr>
        <w:t>Daston</w:t>
      </w:r>
      <w:proofErr w:type="spellEnd"/>
      <w:r w:rsidRPr="000E4FE6">
        <w:rPr>
          <w:rFonts w:ascii="Times New Roman" w:hAnsi="Times New Roman" w:cs="Times New Roman"/>
          <w:sz w:val="24"/>
          <w:szCs w:val="24"/>
        </w:rPr>
        <w:t xml:space="preserve">, S., and </w:t>
      </w:r>
      <w:proofErr w:type="spellStart"/>
      <w:r w:rsidRPr="000E4FE6">
        <w:rPr>
          <w:rFonts w:ascii="Times New Roman" w:hAnsi="Times New Roman" w:cs="Times New Roman"/>
          <w:sz w:val="24"/>
          <w:szCs w:val="24"/>
        </w:rPr>
        <w:t>Rardin</w:t>
      </w:r>
      <w:proofErr w:type="spellEnd"/>
      <w:r w:rsidRPr="000E4FE6">
        <w:rPr>
          <w:rFonts w:ascii="Times New Roman" w:hAnsi="Times New Roman" w:cs="Times New Roman"/>
          <w:sz w:val="24"/>
          <w:szCs w:val="24"/>
        </w:rPr>
        <w:t>, D. (1982). The assessment of binge eating severity among obese persons. </w:t>
      </w:r>
      <w:r w:rsidRPr="000E4FE6">
        <w:rPr>
          <w:rFonts w:ascii="Times New Roman" w:hAnsi="Times New Roman" w:cs="Times New Roman"/>
          <w:i/>
          <w:sz w:val="24"/>
          <w:szCs w:val="24"/>
        </w:rPr>
        <w:t xml:space="preserve">Addictive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(1), 47–55. https://doi.org/10.1016/0306-4603(82)90024-7</w:t>
      </w:r>
    </w:p>
    <w:p w14:paraId="00000D5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Graham, F., Russell, J., Holdsworth, M., Menon, M., and Barker, M. (2019). Exploring the Relationship between Environmental Impact and Nutrient Content of Sandwiches and </w:t>
      </w:r>
      <w:r w:rsidRPr="000E4FE6">
        <w:rPr>
          <w:rFonts w:ascii="Times New Roman" w:hAnsi="Times New Roman" w:cs="Times New Roman"/>
          <w:sz w:val="24"/>
          <w:szCs w:val="24"/>
        </w:rPr>
        <w:lastRenderedPageBreak/>
        <w:t>Beverages Available in Cafés in a UK University. </w:t>
      </w:r>
      <w:r w:rsidRPr="000E4FE6">
        <w:rPr>
          <w:rFonts w:ascii="Times New Roman" w:hAnsi="Times New Roman" w:cs="Times New Roman"/>
          <w:i/>
          <w:sz w:val="24"/>
          <w:szCs w:val="24"/>
        </w:rPr>
        <w:t>Sustainability</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(11), 3190. https://doi.org/10.3390/su11113190</w:t>
      </w:r>
    </w:p>
    <w:p w14:paraId="00000D5D" w14:textId="5238F92E" w:rsidR="00CB4215"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Gratz, K. L., and Roemer, L. (2004). Multidimensional assessment of emotion regulation and dysregulation: Development, factor structure, and initial validation of the difficulties in emotion regulation scale. </w:t>
      </w:r>
      <w:r w:rsidRPr="000E4FE6">
        <w:rPr>
          <w:rFonts w:ascii="Times New Roman" w:hAnsi="Times New Roman" w:cs="Times New Roman"/>
          <w:i/>
          <w:sz w:val="24"/>
          <w:szCs w:val="24"/>
        </w:rPr>
        <w:t xml:space="preserve">Journal of Psychopathology and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Assessment</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 xml:space="preserve">(1), 41–54. </w:t>
      </w:r>
      <w:hyperlink r:id="rId827" w:history="1">
        <w:r w:rsidR="00743AE7" w:rsidRPr="00CB0261">
          <w:rPr>
            <w:rStyle w:val="Hyperlink"/>
            <w:rFonts w:ascii="Times New Roman" w:hAnsi="Times New Roman" w:cs="Times New Roman"/>
            <w:sz w:val="24"/>
            <w:szCs w:val="24"/>
          </w:rPr>
          <w:t>https://doi.org/10.1023/B:JOBA.0000007455.08539.94</w:t>
        </w:r>
      </w:hyperlink>
    </w:p>
    <w:p w14:paraId="75932234" w14:textId="2F0BF5D5"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t>Green, B. N., Johnson, C. D., and Adams, A. (2006). Writing narrative literature reviews for peer-reviewed journals: secrets of the trade. Journal of Chiropractic Medicine, 5(3), 101–117. https://doi.org/10.1016/S0899-3467(07)60142-6</w:t>
      </w:r>
    </w:p>
    <w:p w14:paraId="00000D5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Greene, G. W., </w:t>
      </w:r>
      <w:proofErr w:type="spellStart"/>
      <w:r w:rsidRPr="000E4FE6">
        <w:rPr>
          <w:rFonts w:ascii="Times New Roman" w:hAnsi="Times New Roman" w:cs="Times New Roman"/>
          <w:sz w:val="24"/>
          <w:szCs w:val="24"/>
        </w:rPr>
        <w:t>Schembre</w:t>
      </w:r>
      <w:proofErr w:type="spellEnd"/>
      <w:r w:rsidRPr="000E4FE6">
        <w:rPr>
          <w:rFonts w:ascii="Times New Roman" w:hAnsi="Times New Roman" w:cs="Times New Roman"/>
          <w:sz w:val="24"/>
          <w:szCs w:val="24"/>
        </w:rPr>
        <w:t xml:space="preserve">, S. M., White, A. A., </w:t>
      </w:r>
      <w:proofErr w:type="spellStart"/>
      <w:r w:rsidRPr="000E4FE6">
        <w:rPr>
          <w:rFonts w:ascii="Times New Roman" w:hAnsi="Times New Roman" w:cs="Times New Roman"/>
          <w:sz w:val="24"/>
          <w:szCs w:val="24"/>
        </w:rPr>
        <w:t>Hoerr</w:t>
      </w:r>
      <w:proofErr w:type="spellEnd"/>
      <w:r w:rsidRPr="000E4FE6">
        <w:rPr>
          <w:rFonts w:ascii="Times New Roman" w:hAnsi="Times New Roman" w:cs="Times New Roman"/>
          <w:sz w:val="24"/>
          <w:szCs w:val="24"/>
        </w:rPr>
        <w:t xml:space="preserve">, S. L., Lohse, B., </w:t>
      </w:r>
      <w:proofErr w:type="spellStart"/>
      <w:r w:rsidRPr="000E4FE6">
        <w:rPr>
          <w:rFonts w:ascii="Times New Roman" w:hAnsi="Times New Roman" w:cs="Times New Roman"/>
          <w:sz w:val="24"/>
          <w:szCs w:val="24"/>
        </w:rPr>
        <w:t>Shoff</w:t>
      </w:r>
      <w:proofErr w:type="spellEnd"/>
      <w:r w:rsidRPr="000E4FE6">
        <w:rPr>
          <w:rFonts w:ascii="Times New Roman" w:hAnsi="Times New Roman" w:cs="Times New Roman"/>
          <w:sz w:val="24"/>
          <w:szCs w:val="24"/>
        </w:rPr>
        <w:t xml:space="preserve">, S., … </w:t>
      </w:r>
      <w:proofErr w:type="spellStart"/>
      <w:r w:rsidRPr="000E4FE6">
        <w:rPr>
          <w:rFonts w:ascii="Times New Roman" w:hAnsi="Times New Roman" w:cs="Times New Roman"/>
          <w:sz w:val="24"/>
          <w:szCs w:val="24"/>
        </w:rPr>
        <w:t>Blissmer</w:t>
      </w:r>
      <w:proofErr w:type="spellEnd"/>
      <w:r w:rsidRPr="000E4FE6">
        <w:rPr>
          <w:rFonts w:ascii="Times New Roman" w:hAnsi="Times New Roman" w:cs="Times New Roman"/>
          <w:sz w:val="24"/>
          <w:szCs w:val="24"/>
        </w:rPr>
        <w:t xml:space="preserve">, B. (2011). Identifying clusters of college students at elevated health risk based on eating and exercise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and psychosocial determinants of body weight. </w:t>
      </w:r>
      <w:r w:rsidRPr="000E4FE6">
        <w:rPr>
          <w:rFonts w:ascii="Times New Roman" w:hAnsi="Times New Roman" w:cs="Times New Roman"/>
          <w:i/>
          <w:sz w:val="24"/>
          <w:szCs w:val="24"/>
        </w:rPr>
        <w:t>Journal of the 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111</w:t>
      </w:r>
      <w:r w:rsidRPr="000E4FE6">
        <w:rPr>
          <w:rFonts w:ascii="Times New Roman" w:hAnsi="Times New Roman" w:cs="Times New Roman"/>
          <w:sz w:val="24"/>
          <w:szCs w:val="24"/>
        </w:rPr>
        <w:t>(3), 394–400. https://doi.org/10.1016/j.jada.2010.11.011</w:t>
      </w:r>
    </w:p>
    <w:p w14:paraId="00000D5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Greenwood, J. L. J., and Stanford, J. B. (2008). Preventing or improving obesity by addressing specific eating patterns. </w:t>
      </w:r>
      <w:r w:rsidRPr="000E4FE6">
        <w:rPr>
          <w:rFonts w:ascii="Times New Roman" w:hAnsi="Times New Roman" w:cs="Times New Roman"/>
          <w:i/>
          <w:sz w:val="24"/>
          <w:szCs w:val="24"/>
        </w:rPr>
        <w:t>Journal of the American Board of Family Medicine</w:t>
      </w:r>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(2), 135–140. https://doi.org/10.3122/jabfm.2008.02.070034</w:t>
      </w:r>
    </w:p>
    <w:p w14:paraId="00000D6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Griffioen</w:t>
      </w:r>
      <w:proofErr w:type="spellEnd"/>
      <w:r w:rsidRPr="000E4FE6">
        <w:rPr>
          <w:rFonts w:ascii="Times New Roman" w:hAnsi="Times New Roman" w:cs="Times New Roman"/>
          <w:sz w:val="24"/>
          <w:szCs w:val="24"/>
        </w:rPr>
        <w:t>-Roose, S., Finlayson, G., Mars, M., Blundell, J. E., and de Graaf, C. (2010). Measuring food reward and the transfer effect of sensory specific satiety.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55</w:t>
      </w:r>
      <w:r w:rsidRPr="000E4FE6">
        <w:rPr>
          <w:rFonts w:ascii="Times New Roman" w:hAnsi="Times New Roman" w:cs="Times New Roman"/>
          <w:sz w:val="24"/>
          <w:szCs w:val="24"/>
        </w:rPr>
        <w:t>(3), 648–655. https://doi.org/10.1016/j.appet.2010.09.018</w:t>
      </w:r>
    </w:p>
    <w:p w14:paraId="00000D6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Grimm, E. R., and </w:t>
      </w:r>
      <w:proofErr w:type="spellStart"/>
      <w:r w:rsidRPr="000E4FE6">
        <w:rPr>
          <w:rFonts w:ascii="Times New Roman" w:hAnsi="Times New Roman" w:cs="Times New Roman"/>
          <w:sz w:val="24"/>
          <w:szCs w:val="24"/>
        </w:rPr>
        <w:t>Steinle</w:t>
      </w:r>
      <w:proofErr w:type="spellEnd"/>
      <w:r w:rsidRPr="000E4FE6">
        <w:rPr>
          <w:rFonts w:ascii="Times New Roman" w:hAnsi="Times New Roman" w:cs="Times New Roman"/>
          <w:sz w:val="24"/>
          <w:szCs w:val="24"/>
        </w:rPr>
        <w:t xml:space="preserve">, N. I. (2011). Genetics of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established and emerging concepts. </w:t>
      </w:r>
      <w:r w:rsidRPr="000E4FE6">
        <w:rPr>
          <w:rFonts w:ascii="Times New Roman" w:hAnsi="Times New Roman" w:cs="Times New Roman"/>
          <w:i/>
          <w:sz w:val="24"/>
          <w:szCs w:val="24"/>
        </w:rPr>
        <w:t>Nutrition Reviews</w:t>
      </w:r>
      <w:r w:rsidRPr="000E4FE6">
        <w:rPr>
          <w:rFonts w:ascii="Times New Roman" w:hAnsi="Times New Roman" w:cs="Times New Roman"/>
          <w:sz w:val="24"/>
          <w:szCs w:val="24"/>
        </w:rPr>
        <w:t>, </w:t>
      </w:r>
      <w:r w:rsidRPr="000E4FE6">
        <w:rPr>
          <w:rFonts w:ascii="Times New Roman" w:hAnsi="Times New Roman" w:cs="Times New Roman"/>
          <w:i/>
          <w:sz w:val="24"/>
          <w:szCs w:val="24"/>
        </w:rPr>
        <w:t>69</w:t>
      </w:r>
      <w:r w:rsidRPr="000E4FE6">
        <w:rPr>
          <w:rFonts w:ascii="Times New Roman" w:hAnsi="Times New Roman" w:cs="Times New Roman"/>
          <w:sz w:val="24"/>
          <w:szCs w:val="24"/>
        </w:rPr>
        <w:t>(1), 52–60. https://doi.org/10.1111/j.1753-4887.2010.00361.x</w:t>
      </w:r>
    </w:p>
    <w:p w14:paraId="00000D6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606A72">
        <w:rPr>
          <w:rFonts w:ascii="Times New Roman" w:hAnsi="Times New Roman" w:cs="Times New Roman"/>
          <w:sz w:val="24"/>
          <w:szCs w:val="24"/>
        </w:rPr>
        <w:lastRenderedPageBreak/>
        <w:t>Gruzdeva</w:t>
      </w:r>
      <w:proofErr w:type="spellEnd"/>
      <w:r w:rsidRPr="00606A72">
        <w:rPr>
          <w:rFonts w:ascii="Times New Roman" w:hAnsi="Times New Roman" w:cs="Times New Roman"/>
          <w:sz w:val="24"/>
          <w:szCs w:val="24"/>
        </w:rPr>
        <w:t xml:space="preserve">, O., </w:t>
      </w:r>
      <w:proofErr w:type="spellStart"/>
      <w:r w:rsidRPr="00606A72">
        <w:rPr>
          <w:rFonts w:ascii="Times New Roman" w:hAnsi="Times New Roman" w:cs="Times New Roman"/>
          <w:sz w:val="24"/>
          <w:szCs w:val="24"/>
        </w:rPr>
        <w:t>Borodkina</w:t>
      </w:r>
      <w:proofErr w:type="spellEnd"/>
      <w:r w:rsidRPr="00606A72">
        <w:rPr>
          <w:rFonts w:ascii="Times New Roman" w:hAnsi="Times New Roman" w:cs="Times New Roman"/>
          <w:sz w:val="24"/>
          <w:szCs w:val="24"/>
        </w:rPr>
        <w:t xml:space="preserve">, D., </w:t>
      </w:r>
      <w:proofErr w:type="spellStart"/>
      <w:r w:rsidRPr="00606A72">
        <w:rPr>
          <w:rFonts w:ascii="Times New Roman" w:hAnsi="Times New Roman" w:cs="Times New Roman"/>
          <w:sz w:val="24"/>
          <w:szCs w:val="24"/>
        </w:rPr>
        <w:t>Uchasova</w:t>
      </w:r>
      <w:proofErr w:type="spellEnd"/>
      <w:r w:rsidRPr="00606A72">
        <w:rPr>
          <w:rFonts w:ascii="Times New Roman" w:hAnsi="Times New Roman" w:cs="Times New Roman"/>
          <w:sz w:val="24"/>
          <w:szCs w:val="24"/>
        </w:rPr>
        <w:t xml:space="preserve">, E., </w:t>
      </w:r>
      <w:proofErr w:type="spellStart"/>
      <w:r w:rsidRPr="00606A72">
        <w:rPr>
          <w:rFonts w:ascii="Times New Roman" w:hAnsi="Times New Roman" w:cs="Times New Roman"/>
          <w:sz w:val="24"/>
          <w:szCs w:val="24"/>
        </w:rPr>
        <w:t>Dyleva</w:t>
      </w:r>
      <w:proofErr w:type="spellEnd"/>
      <w:r w:rsidRPr="00606A72">
        <w:rPr>
          <w:rFonts w:ascii="Times New Roman" w:hAnsi="Times New Roman" w:cs="Times New Roman"/>
          <w:sz w:val="24"/>
          <w:szCs w:val="24"/>
        </w:rPr>
        <w:t xml:space="preserve">, Y., and </w:t>
      </w:r>
      <w:proofErr w:type="spellStart"/>
      <w:r w:rsidRPr="00606A72">
        <w:rPr>
          <w:rFonts w:ascii="Times New Roman" w:hAnsi="Times New Roman" w:cs="Times New Roman"/>
          <w:sz w:val="24"/>
          <w:szCs w:val="24"/>
        </w:rPr>
        <w:t>Barbarash</w:t>
      </w:r>
      <w:proofErr w:type="spellEnd"/>
      <w:r w:rsidRPr="00606A72">
        <w:rPr>
          <w:rFonts w:ascii="Times New Roman" w:hAnsi="Times New Roman" w:cs="Times New Roman"/>
          <w:sz w:val="24"/>
          <w:szCs w:val="24"/>
        </w:rPr>
        <w:t xml:space="preserve">, O. (2019). </w:t>
      </w:r>
      <w:r w:rsidRPr="000E4FE6">
        <w:rPr>
          <w:rFonts w:ascii="Times New Roman" w:hAnsi="Times New Roman" w:cs="Times New Roman"/>
          <w:sz w:val="24"/>
          <w:szCs w:val="24"/>
        </w:rPr>
        <w:t>Leptin resistance: underlying mechanisms and diagnosis. </w:t>
      </w:r>
      <w:r w:rsidRPr="000E4FE6">
        <w:rPr>
          <w:rFonts w:ascii="Times New Roman" w:hAnsi="Times New Roman" w:cs="Times New Roman"/>
          <w:i/>
          <w:sz w:val="24"/>
          <w:szCs w:val="24"/>
        </w:rPr>
        <w:t xml:space="preserve">Diabetes, Metabolic Syndrome and </w:t>
      </w:r>
      <w:proofErr w:type="gramStart"/>
      <w:r w:rsidRPr="000E4FE6">
        <w:rPr>
          <w:rFonts w:ascii="Times New Roman" w:hAnsi="Times New Roman" w:cs="Times New Roman"/>
          <w:i/>
          <w:sz w:val="24"/>
          <w:szCs w:val="24"/>
        </w:rPr>
        <w:t>Obesity :</w:t>
      </w:r>
      <w:proofErr w:type="gramEnd"/>
      <w:r w:rsidRPr="000E4FE6">
        <w:rPr>
          <w:rFonts w:ascii="Times New Roman" w:hAnsi="Times New Roman" w:cs="Times New Roman"/>
          <w:i/>
          <w:sz w:val="24"/>
          <w:szCs w:val="24"/>
        </w:rPr>
        <w:t xml:space="preserve"> Targets and Therapy</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 191–198. https://doi.org/10.2147/DMSO.S182406</w:t>
      </w:r>
    </w:p>
    <w:p w14:paraId="00000D6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Gu, C., Brereton, N., Schweitzer, A., Cotter, M., Duan, D., </w:t>
      </w:r>
      <w:proofErr w:type="spellStart"/>
      <w:r w:rsidRPr="000E4FE6">
        <w:rPr>
          <w:rFonts w:ascii="Times New Roman" w:hAnsi="Times New Roman" w:cs="Times New Roman"/>
          <w:sz w:val="24"/>
          <w:szCs w:val="24"/>
        </w:rPr>
        <w:t>Børsheim</w:t>
      </w:r>
      <w:proofErr w:type="spellEnd"/>
      <w:r w:rsidRPr="000E4FE6">
        <w:rPr>
          <w:rFonts w:ascii="Times New Roman" w:hAnsi="Times New Roman" w:cs="Times New Roman"/>
          <w:sz w:val="24"/>
          <w:szCs w:val="24"/>
        </w:rPr>
        <w:t>, E., … Jun, J. C. (2020). Metabolic Effects of Late Dinner in Healthy Volunteers-A Randomized Crossover Clinical Trial. </w:t>
      </w:r>
      <w:r w:rsidRPr="000E4FE6">
        <w:rPr>
          <w:rFonts w:ascii="Times New Roman" w:hAnsi="Times New Roman" w:cs="Times New Roman"/>
          <w:i/>
          <w:sz w:val="24"/>
          <w:szCs w:val="24"/>
        </w:rPr>
        <w:t>The Journal of Clinical Endocrinology and Metabolism</w:t>
      </w:r>
      <w:r w:rsidRPr="000E4FE6">
        <w:rPr>
          <w:rFonts w:ascii="Times New Roman" w:hAnsi="Times New Roman" w:cs="Times New Roman"/>
          <w:sz w:val="24"/>
          <w:szCs w:val="24"/>
        </w:rPr>
        <w:t>, </w:t>
      </w:r>
      <w:r w:rsidRPr="000E4FE6">
        <w:rPr>
          <w:rFonts w:ascii="Times New Roman" w:hAnsi="Times New Roman" w:cs="Times New Roman"/>
          <w:i/>
          <w:sz w:val="24"/>
          <w:szCs w:val="24"/>
        </w:rPr>
        <w:t>105</w:t>
      </w:r>
      <w:r w:rsidRPr="000E4FE6">
        <w:rPr>
          <w:rFonts w:ascii="Times New Roman" w:hAnsi="Times New Roman" w:cs="Times New Roman"/>
          <w:sz w:val="24"/>
          <w:szCs w:val="24"/>
        </w:rPr>
        <w:t>(8), 2789–2802. https://doi.org/10.1210/clinem/dgaa354</w:t>
      </w:r>
    </w:p>
    <w:p w14:paraId="00000D6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Gupta, N. J., Kumar, V., and Panda, S. (2017). A camera-phone based study reveals erratic eating pattern and disrupted daily eating-fasting cycle among adults in India. </w:t>
      </w:r>
      <w:proofErr w:type="spellStart"/>
      <w:r w:rsidRPr="000E4FE6">
        <w:rPr>
          <w:rFonts w:ascii="Times New Roman" w:hAnsi="Times New Roman" w:cs="Times New Roman"/>
          <w:i/>
          <w:sz w:val="24"/>
          <w:szCs w:val="24"/>
        </w:rPr>
        <w:t>Plos</w:t>
      </w:r>
      <w:proofErr w:type="spellEnd"/>
      <w:r w:rsidRPr="000E4FE6">
        <w:rPr>
          <w:rFonts w:ascii="Times New Roman" w:hAnsi="Times New Roman" w:cs="Times New Roman"/>
          <w:i/>
          <w:sz w:val="24"/>
          <w:szCs w:val="24"/>
        </w:rPr>
        <w:t xml:space="preserve"> One</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(3), e0172852. https://doi.org/10.1371/journal.pone.0172852</w:t>
      </w:r>
    </w:p>
    <w:p w14:paraId="00000D6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Guthrie, J. F., Lin, B.-H., and </w:t>
      </w:r>
      <w:proofErr w:type="spellStart"/>
      <w:r w:rsidRPr="000E4FE6">
        <w:rPr>
          <w:rFonts w:ascii="Times New Roman" w:hAnsi="Times New Roman" w:cs="Times New Roman"/>
          <w:sz w:val="24"/>
          <w:szCs w:val="24"/>
        </w:rPr>
        <w:t>Frazao</w:t>
      </w:r>
      <w:proofErr w:type="spellEnd"/>
      <w:r w:rsidRPr="000E4FE6">
        <w:rPr>
          <w:rFonts w:ascii="Times New Roman" w:hAnsi="Times New Roman" w:cs="Times New Roman"/>
          <w:sz w:val="24"/>
          <w:szCs w:val="24"/>
        </w:rPr>
        <w:t>, E. (2002). Role of food prepared away from home in the American diet, 1977-78 versus 1994-96: changes and consequences. </w:t>
      </w:r>
      <w:r w:rsidRPr="000E4FE6">
        <w:rPr>
          <w:rFonts w:ascii="Times New Roman" w:hAnsi="Times New Roman" w:cs="Times New Roman"/>
          <w:i/>
          <w:sz w:val="24"/>
          <w:szCs w:val="24"/>
        </w:rPr>
        <w:t xml:space="preserve">Journal of Nutrition Education and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34</w:t>
      </w:r>
      <w:r w:rsidRPr="000E4FE6">
        <w:rPr>
          <w:rFonts w:ascii="Times New Roman" w:hAnsi="Times New Roman" w:cs="Times New Roman"/>
          <w:sz w:val="24"/>
          <w:szCs w:val="24"/>
        </w:rPr>
        <w:t>(3), 140–150. https://doi.org/10.1016/s1499-4046(06)60083-3</w:t>
      </w:r>
    </w:p>
    <w:p w14:paraId="00000D6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Hafekost</w:t>
      </w:r>
      <w:proofErr w:type="spellEnd"/>
      <w:r w:rsidRPr="000E4FE6">
        <w:rPr>
          <w:rFonts w:ascii="Times New Roman" w:hAnsi="Times New Roman" w:cs="Times New Roman"/>
          <w:sz w:val="24"/>
          <w:szCs w:val="24"/>
        </w:rPr>
        <w:t>, K., Lawrence, D., Mitrou, F., O’Sullivan, T. A., and Zubrick, S. R. (2013). Tackling overweight and obesity: does the public health message match the science? </w:t>
      </w:r>
      <w:r w:rsidRPr="000E4FE6">
        <w:rPr>
          <w:rFonts w:ascii="Times New Roman" w:hAnsi="Times New Roman" w:cs="Times New Roman"/>
          <w:i/>
          <w:sz w:val="24"/>
          <w:szCs w:val="24"/>
        </w:rPr>
        <w:t>BMC Medicine</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 41. https://doi.org/10.1186/1741-7015-11-41</w:t>
      </w:r>
    </w:p>
    <w:p w14:paraId="00000D6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Hall, K. D., </w:t>
      </w:r>
      <w:proofErr w:type="spellStart"/>
      <w:r w:rsidRPr="000E4FE6">
        <w:rPr>
          <w:rFonts w:ascii="Times New Roman" w:hAnsi="Times New Roman" w:cs="Times New Roman"/>
          <w:sz w:val="24"/>
          <w:szCs w:val="24"/>
        </w:rPr>
        <w:t>Heymsfield</w:t>
      </w:r>
      <w:proofErr w:type="spellEnd"/>
      <w:r w:rsidRPr="000E4FE6">
        <w:rPr>
          <w:rFonts w:ascii="Times New Roman" w:hAnsi="Times New Roman" w:cs="Times New Roman"/>
          <w:sz w:val="24"/>
          <w:szCs w:val="24"/>
        </w:rPr>
        <w:t xml:space="preserve">, S. B., </w:t>
      </w:r>
      <w:proofErr w:type="spellStart"/>
      <w:r w:rsidRPr="000E4FE6">
        <w:rPr>
          <w:rFonts w:ascii="Times New Roman" w:hAnsi="Times New Roman" w:cs="Times New Roman"/>
          <w:sz w:val="24"/>
          <w:szCs w:val="24"/>
        </w:rPr>
        <w:t>Kemnitz</w:t>
      </w:r>
      <w:proofErr w:type="spellEnd"/>
      <w:r w:rsidRPr="000E4FE6">
        <w:rPr>
          <w:rFonts w:ascii="Times New Roman" w:hAnsi="Times New Roman" w:cs="Times New Roman"/>
          <w:sz w:val="24"/>
          <w:szCs w:val="24"/>
        </w:rPr>
        <w:t xml:space="preserve">, J. W., Klein, S., </w:t>
      </w:r>
      <w:proofErr w:type="spellStart"/>
      <w:r w:rsidRPr="000E4FE6">
        <w:rPr>
          <w:rFonts w:ascii="Times New Roman" w:hAnsi="Times New Roman" w:cs="Times New Roman"/>
          <w:sz w:val="24"/>
          <w:szCs w:val="24"/>
        </w:rPr>
        <w:t>Schoeller</w:t>
      </w:r>
      <w:proofErr w:type="spellEnd"/>
      <w:r w:rsidRPr="000E4FE6">
        <w:rPr>
          <w:rFonts w:ascii="Times New Roman" w:hAnsi="Times New Roman" w:cs="Times New Roman"/>
          <w:sz w:val="24"/>
          <w:szCs w:val="24"/>
        </w:rPr>
        <w:t>, D. A., and Speakman, J. R. (2012). Energy balance and its components: implications for body weight regulation.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95</w:t>
      </w:r>
      <w:r w:rsidRPr="000E4FE6">
        <w:rPr>
          <w:rFonts w:ascii="Times New Roman" w:hAnsi="Times New Roman" w:cs="Times New Roman"/>
          <w:sz w:val="24"/>
          <w:szCs w:val="24"/>
        </w:rPr>
        <w:t>(4), 989–994. https://doi.org/10.3945/ajcn.112.036350</w:t>
      </w:r>
    </w:p>
    <w:p w14:paraId="00000D6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Handley, M. A., </w:t>
      </w:r>
      <w:proofErr w:type="spellStart"/>
      <w:r w:rsidRPr="000E4FE6">
        <w:rPr>
          <w:rFonts w:ascii="Times New Roman" w:hAnsi="Times New Roman" w:cs="Times New Roman"/>
          <w:sz w:val="24"/>
          <w:szCs w:val="24"/>
        </w:rPr>
        <w:t>Harleman</w:t>
      </w:r>
      <w:proofErr w:type="spellEnd"/>
      <w:r w:rsidRPr="000E4FE6">
        <w:rPr>
          <w:rFonts w:ascii="Times New Roman" w:hAnsi="Times New Roman" w:cs="Times New Roman"/>
          <w:sz w:val="24"/>
          <w:szCs w:val="24"/>
        </w:rPr>
        <w:t xml:space="preserve">, E., Gonzalez-Mendez, E., </w:t>
      </w:r>
      <w:proofErr w:type="spellStart"/>
      <w:r w:rsidRPr="000E4FE6">
        <w:rPr>
          <w:rFonts w:ascii="Times New Roman" w:hAnsi="Times New Roman" w:cs="Times New Roman"/>
          <w:sz w:val="24"/>
          <w:szCs w:val="24"/>
        </w:rPr>
        <w:t>Stotland</w:t>
      </w:r>
      <w:proofErr w:type="spellEnd"/>
      <w:r w:rsidRPr="000E4FE6">
        <w:rPr>
          <w:rFonts w:ascii="Times New Roman" w:hAnsi="Times New Roman" w:cs="Times New Roman"/>
          <w:sz w:val="24"/>
          <w:szCs w:val="24"/>
        </w:rPr>
        <w:t xml:space="preserve">, N. E., </w:t>
      </w:r>
      <w:proofErr w:type="spellStart"/>
      <w:r w:rsidRPr="000E4FE6">
        <w:rPr>
          <w:rFonts w:ascii="Times New Roman" w:hAnsi="Times New Roman" w:cs="Times New Roman"/>
          <w:sz w:val="24"/>
          <w:szCs w:val="24"/>
        </w:rPr>
        <w:t>Althavale</w:t>
      </w:r>
      <w:proofErr w:type="spellEnd"/>
      <w:r w:rsidRPr="000E4FE6">
        <w:rPr>
          <w:rFonts w:ascii="Times New Roman" w:hAnsi="Times New Roman" w:cs="Times New Roman"/>
          <w:sz w:val="24"/>
          <w:szCs w:val="24"/>
        </w:rPr>
        <w:t xml:space="preserve">, P., Fisher, L., … Rios, C. (2016). Applying the COM-B model to creation of an IT-enabled health coaching and resource linkage program for low-income Latina moms with recent </w:t>
      </w:r>
      <w:r w:rsidRPr="000E4FE6">
        <w:rPr>
          <w:rFonts w:ascii="Times New Roman" w:hAnsi="Times New Roman" w:cs="Times New Roman"/>
          <w:sz w:val="24"/>
          <w:szCs w:val="24"/>
        </w:rPr>
        <w:lastRenderedPageBreak/>
        <w:t>gestational diabetes: the STAR MAMA program. </w:t>
      </w:r>
      <w:r w:rsidRPr="000E4FE6">
        <w:rPr>
          <w:rFonts w:ascii="Times New Roman" w:hAnsi="Times New Roman" w:cs="Times New Roman"/>
          <w:i/>
          <w:sz w:val="24"/>
          <w:szCs w:val="24"/>
        </w:rPr>
        <w:t>Implementation Science</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(1), 73. https://doi.org/10.1186/s13012-016-0426-2</w:t>
      </w:r>
    </w:p>
    <w:p w14:paraId="00000D6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Haraszti</w:t>
      </w:r>
      <w:proofErr w:type="spellEnd"/>
      <w:r w:rsidRPr="000E4FE6">
        <w:rPr>
          <w:rFonts w:ascii="Times New Roman" w:hAnsi="Times New Roman" w:cs="Times New Roman"/>
          <w:sz w:val="24"/>
          <w:szCs w:val="24"/>
        </w:rPr>
        <w:t xml:space="preserve">, R. Á., </w:t>
      </w:r>
      <w:proofErr w:type="spellStart"/>
      <w:r w:rsidRPr="000E4FE6">
        <w:rPr>
          <w:rFonts w:ascii="Times New Roman" w:hAnsi="Times New Roman" w:cs="Times New Roman"/>
          <w:sz w:val="24"/>
          <w:szCs w:val="24"/>
        </w:rPr>
        <w:t>Purebl</w:t>
      </w:r>
      <w:proofErr w:type="spellEnd"/>
      <w:r w:rsidRPr="000E4FE6">
        <w:rPr>
          <w:rFonts w:ascii="Times New Roman" w:hAnsi="Times New Roman" w:cs="Times New Roman"/>
          <w:sz w:val="24"/>
          <w:szCs w:val="24"/>
        </w:rPr>
        <w:t xml:space="preserve">, G., </w:t>
      </w:r>
      <w:proofErr w:type="spellStart"/>
      <w:r w:rsidRPr="000E4FE6">
        <w:rPr>
          <w:rFonts w:ascii="Times New Roman" w:hAnsi="Times New Roman" w:cs="Times New Roman"/>
          <w:sz w:val="24"/>
          <w:szCs w:val="24"/>
        </w:rPr>
        <w:t>Salavecz</w:t>
      </w:r>
      <w:proofErr w:type="spellEnd"/>
      <w:r w:rsidRPr="000E4FE6">
        <w:rPr>
          <w:rFonts w:ascii="Times New Roman" w:hAnsi="Times New Roman" w:cs="Times New Roman"/>
          <w:sz w:val="24"/>
          <w:szCs w:val="24"/>
        </w:rPr>
        <w:t xml:space="preserve">, G., Poole, L., </w:t>
      </w:r>
      <w:proofErr w:type="spellStart"/>
      <w:r w:rsidRPr="000E4FE6">
        <w:rPr>
          <w:rFonts w:ascii="Times New Roman" w:hAnsi="Times New Roman" w:cs="Times New Roman"/>
          <w:sz w:val="24"/>
          <w:szCs w:val="24"/>
        </w:rPr>
        <w:t>Dockray</w:t>
      </w:r>
      <w:proofErr w:type="spellEnd"/>
      <w:r w:rsidRPr="000E4FE6">
        <w:rPr>
          <w:rFonts w:ascii="Times New Roman" w:hAnsi="Times New Roman" w:cs="Times New Roman"/>
          <w:sz w:val="24"/>
          <w:szCs w:val="24"/>
        </w:rPr>
        <w:t xml:space="preserve">, S., and Steptoe, A. (2014). </w:t>
      </w:r>
      <w:proofErr w:type="spellStart"/>
      <w:r w:rsidRPr="000E4FE6">
        <w:rPr>
          <w:rFonts w:ascii="Times New Roman" w:hAnsi="Times New Roman" w:cs="Times New Roman"/>
          <w:sz w:val="24"/>
          <w:szCs w:val="24"/>
        </w:rPr>
        <w:t>Morningness-eveningness</w:t>
      </w:r>
      <w:proofErr w:type="spellEnd"/>
      <w:r w:rsidRPr="000E4FE6">
        <w:rPr>
          <w:rFonts w:ascii="Times New Roman" w:hAnsi="Times New Roman" w:cs="Times New Roman"/>
          <w:sz w:val="24"/>
          <w:szCs w:val="24"/>
        </w:rPr>
        <w:t xml:space="preserve"> interferes with perceived health, physical activity, diet and stress levels in working women: a cross-sectional study. </w:t>
      </w:r>
      <w:r w:rsidRPr="000E4FE6">
        <w:rPr>
          <w:rFonts w:ascii="Times New Roman" w:hAnsi="Times New Roman" w:cs="Times New Roman"/>
          <w:i/>
          <w:sz w:val="24"/>
          <w:szCs w:val="24"/>
        </w:rPr>
        <w:t>Chronobiology International</w:t>
      </w:r>
      <w:r w:rsidRPr="000E4FE6">
        <w:rPr>
          <w:rFonts w:ascii="Times New Roman" w:hAnsi="Times New Roman" w:cs="Times New Roman"/>
          <w:sz w:val="24"/>
          <w:szCs w:val="24"/>
        </w:rPr>
        <w:t>, </w:t>
      </w:r>
      <w:r w:rsidRPr="000E4FE6">
        <w:rPr>
          <w:rFonts w:ascii="Times New Roman" w:hAnsi="Times New Roman" w:cs="Times New Roman"/>
          <w:i/>
          <w:sz w:val="24"/>
          <w:szCs w:val="24"/>
        </w:rPr>
        <w:t>31</w:t>
      </w:r>
      <w:r w:rsidRPr="000E4FE6">
        <w:rPr>
          <w:rFonts w:ascii="Times New Roman" w:hAnsi="Times New Roman" w:cs="Times New Roman"/>
          <w:sz w:val="24"/>
          <w:szCs w:val="24"/>
        </w:rPr>
        <w:t>(7), 829–837. https://doi.org/10.3109/07420528.2014.911188</w:t>
      </w:r>
    </w:p>
    <w:p w14:paraId="00000D6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Harding, S., </w:t>
      </w:r>
      <w:proofErr w:type="spellStart"/>
      <w:r w:rsidRPr="000E4FE6">
        <w:rPr>
          <w:rFonts w:ascii="Times New Roman" w:hAnsi="Times New Roman" w:cs="Times New Roman"/>
          <w:sz w:val="24"/>
          <w:szCs w:val="24"/>
        </w:rPr>
        <w:t>Teyhan</w:t>
      </w:r>
      <w:proofErr w:type="spellEnd"/>
      <w:r w:rsidRPr="000E4FE6">
        <w:rPr>
          <w:rFonts w:ascii="Times New Roman" w:hAnsi="Times New Roman" w:cs="Times New Roman"/>
          <w:sz w:val="24"/>
          <w:szCs w:val="24"/>
        </w:rPr>
        <w:t>, A., Maynard, M. J., and Cruickshank, J. K. (2008). Ethnic differences in overweight and obesity in early adolescence in the MRC DASH study: the role of adolescent and parental lifestyle. </w:t>
      </w:r>
      <w:r w:rsidRPr="000E4FE6">
        <w:rPr>
          <w:rFonts w:ascii="Times New Roman" w:hAnsi="Times New Roman" w:cs="Times New Roman"/>
          <w:i/>
          <w:sz w:val="24"/>
          <w:szCs w:val="24"/>
        </w:rPr>
        <w:t>International Journal of Epidemiology</w:t>
      </w:r>
      <w:r w:rsidRPr="000E4FE6">
        <w:rPr>
          <w:rFonts w:ascii="Times New Roman" w:hAnsi="Times New Roman" w:cs="Times New Roman"/>
          <w:sz w:val="24"/>
          <w:szCs w:val="24"/>
        </w:rPr>
        <w:t>, </w:t>
      </w:r>
      <w:r w:rsidRPr="000E4FE6">
        <w:rPr>
          <w:rFonts w:ascii="Times New Roman" w:hAnsi="Times New Roman" w:cs="Times New Roman"/>
          <w:i/>
          <w:sz w:val="24"/>
          <w:szCs w:val="24"/>
        </w:rPr>
        <w:t>37</w:t>
      </w:r>
      <w:r w:rsidRPr="000E4FE6">
        <w:rPr>
          <w:rFonts w:ascii="Times New Roman" w:hAnsi="Times New Roman" w:cs="Times New Roman"/>
          <w:sz w:val="24"/>
          <w:szCs w:val="24"/>
        </w:rPr>
        <w:t>(1), 162–172. https://doi.org/10.1093/ije/dym252</w:t>
      </w:r>
    </w:p>
    <w:p w14:paraId="00000D6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Harriger</w:t>
      </w:r>
      <w:proofErr w:type="spellEnd"/>
      <w:r w:rsidRPr="000E4FE6">
        <w:rPr>
          <w:rFonts w:ascii="Times New Roman" w:hAnsi="Times New Roman" w:cs="Times New Roman"/>
          <w:sz w:val="24"/>
          <w:szCs w:val="24"/>
        </w:rPr>
        <w:t>, J. A., and Thompson, J. K. (2012). Psychological consequences of obesity: weight bias and body image in overweight and obese youth. </w:t>
      </w:r>
      <w:r w:rsidRPr="000E4FE6">
        <w:rPr>
          <w:rFonts w:ascii="Times New Roman" w:hAnsi="Times New Roman" w:cs="Times New Roman"/>
          <w:i/>
          <w:sz w:val="24"/>
          <w:szCs w:val="24"/>
        </w:rPr>
        <w:t>International Review of Psychiatry</w:t>
      </w:r>
      <w:r w:rsidRPr="000E4FE6">
        <w:rPr>
          <w:rFonts w:ascii="Times New Roman" w:hAnsi="Times New Roman" w:cs="Times New Roman"/>
          <w:sz w:val="24"/>
          <w:szCs w:val="24"/>
        </w:rPr>
        <w:t>, </w:t>
      </w:r>
      <w:r w:rsidRPr="000E4FE6">
        <w:rPr>
          <w:rFonts w:ascii="Times New Roman" w:hAnsi="Times New Roman" w:cs="Times New Roman"/>
          <w:i/>
          <w:sz w:val="24"/>
          <w:szCs w:val="24"/>
        </w:rPr>
        <w:t>24</w:t>
      </w:r>
      <w:r w:rsidRPr="000E4FE6">
        <w:rPr>
          <w:rFonts w:ascii="Times New Roman" w:hAnsi="Times New Roman" w:cs="Times New Roman"/>
          <w:sz w:val="24"/>
          <w:szCs w:val="24"/>
        </w:rPr>
        <w:t>(3), 247–253. https://doi.org/10.3109/09540261.2012.678817</w:t>
      </w:r>
    </w:p>
    <w:p w14:paraId="00000D6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Harrison, A., Sullivan, S., </w:t>
      </w:r>
      <w:proofErr w:type="spellStart"/>
      <w:r w:rsidRPr="000E4FE6">
        <w:rPr>
          <w:rFonts w:ascii="Times New Roman" w:hAnsi="Times New Roman" w:cs="Times New Roman"/>
          <w:sz w:val="24"/>
          <w:szCs w:val="24"/>
        </w:rPr>
        <w:t>Tchanturia</w:t>
      </w:r>
      <w:proofErr w:type="spellEnd"/>
      <w:r w:rsidRPr="000E4FE6">
        <w:rPr>
          <w:rFonts w:ascii="Times New Roman" w:hAnsi="Times New Roman" w:cs="Times New Roman"/>
          <w:sz w:val="24"/>
          <w:szCs w:val="24"/>
        </w:rPr>
        <w:t>, K., and Treasure, J. (2010). Emotional functioning in eating disorders: attentional bias, emotion recognition and emotion regulation. </w:t>
      </w:r>
      <w:r w:rsidRPr="000E4FE6">
        <w:rPr>
          <w:rFonts w:ascii="Times New Roman" w:hAnsi="Times New Roman" w:cs="Times New Roman"/>
          <w:i/>
          <w:sz w:val="24"/>
          <w:szCs w:val="24"/>
        </w:rPr>
        <w:t>Psychological Medicine</w:t>
      </w:r>
      <w:r w:rsidRPr="000E4FE6">
        <w:rPr>
          <w:rFonts w:ascii="Times New Roman" w:hAnsi="Times New Roman" w:cs="Times New Roman"/>
          <w:sz w:val="24"/>
          <w:szCs w:val="24"/>
        </w:rPr>
        <w:t>, </w:t>
      </w:r>
      <w:r w:rsidRPr="000E4FE6">
        <w:rPr>
          <w:rFonts w:ascii="Times New Roman" w:hAnsi="Times New Roman" w:cs="Times New Roman"/>
          <w:i/>
          <w:sz w:val="24"/>
          <w:szCs w:val="24"/>
        </w:rPr>
        <w:t>40</w:t>
      </w:r>
      <w:r w:rsidRPr="000E4FE6">
        <w:rPr>
          <w:rFonts w:ascii="Times New Roman" w:hAnsi="Times New Roman" w:cs="Times New Roman"/>
          <w:sz w:val="24"/>
          <w:szCs w:val="24"/>
        </w:rPr>
        <w:t>(11), 1887–1897. https://doi.org/10.1017/S0033291710000036</w:t>
      </w:r>
    </w:p>
    <w:p w14:paraId="00000D6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Harvie, M., and Howell, A. (2017). Potential Benefits and Harms of Intermittent Energy Restriction and Intermittent Fasting Amongst Obese, Overweight and Normal Weight Subjects-A Narrative Review of Human and Animal Evidence.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Sciences (Basel, Switzerland)</w:t>
      </w:r>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(1). https://doi.org/10.3390/bs7010004</w:t>
      </w:r>
    </w:p>
    <w:p w14:paraId="00000D6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Hasler, B. P., </w:t>
      </w:r>
      <w:proofErr w:type="spellStart"/>
      <w:r w:rsidRPr="000E4FE6">
        <w:rPr>
          <w:rFonts w:ascii="Times New Roman" w:hAnsi="Times New Roman" w:cs="Times New Roman"/>
          <w:sz w:val="24"/>
          <w:szCs w:val="24"/>
        </w:rPr>
        <w:t>Mehl</w:t>
      </w:r>
      <w:proofErr w:type="spellEnd"/>
      <w:r w:rsidRPr="000E4FE6">
        <w:rPr>
          <w:rFonts w:ascii="Times New Roman" w:hAnsi="Times New Roman" w:cs="Times New Roman"/>
          <w:sz w:val="24"/>
          <w:szCs w:val="24"/>
        </w:rPr>
        <w:t xml:space="preserve">, M. R., </w:t>
      </w:r>
      <w:proofErr w:type="spellStart"/>
      <w:r w:rsidRPr="000E4FE6">
        <w:rPr>
          <w:rFonts w:ascii="Times New Roman" w:hAnsi="Times New Roman" w:cs="Times New Roman"/>
          <w:sz w:val="24"/>
          <w:szCs w:val="24"/>
        </w:rPr>
        <w:t>Bootzin</w:t>
      </w:r>
      <w:proofErr w:type="spellEnd"/>
      <w:r w:rsidRPr="000E4FE6">
        <w:rPr>
          <w:rFonts w:ascii="Times New Roman" w:hAnsi="Times New Roman" w:cs="Times New Roman"/>
          <w:sz w:val="24"/>
          <w:szCs w:val="24"/>
        </w:rPr>
        <w:t xml:space="preserve">, R. R., and </w:t>
      </w:r>
      <w:proofErr w:type="spellStart"/>
      <w:r w:rsidRPr="000E4FE6">
        <w:rPr>
          <w:rFonts w:ascii="Times New Roman" w:hAnsi="Times New Roman" w:cs="Times New Roman"/>
          <w:sz w:val="24"/>
          <w:szCs w:val="24"/>
        </w:rPr>
        <w:t>Vazire</w:t>
      </w:r>
      <w:proofErr w:type="spellEnd"/>
      <w:r w:rsidRPr="000E4FE6">
        <w:rPr>
          <w:rFonts w:ascii="Times New Roman" w:hAnsi="Times New Roman" w:cs="Times New Roman"/>
          <w:sz w:val="24"/>
          <w:szCs w:val="24"/>
        </w:rPr>
        <w:t xml:space="preserve">, S. (2008). Preliminary evidence of diurnal rhythms in everyday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associated with positive affect. </w:t>
      </w:r>
      <w:r w:rsidRPr="000E4FE6">
        <w:rPr>
          <w:rFonts w:ascii="Times New Roman" w:hAnsi="Times New Roman" w:cs="Times New Roman"/>
          <w:i/>
          <w:sz w:val="24"/>
          <w:szCs w:val="24"/>
        </w:rPr>
        <w:t>Journal of Research in Personality</w:t>
      </w:r>
      <w:r w:rsidRPr="000E4FE6">
        <w:rPr>
          <w:rFonts w:ascii="Times New Roman" w:hAnsi="Times New Roman" w:cs="Times New Roman"/>
          <w:sz w:val="24"/>
          <w:szCs w:val="24"/>
        </w:rPr>
        <w:t>, </w:t>
      </w:r>
      <w:r w:rsidRPr="000E4FE6">
        <w:rPr>
          <w:rFonts w:ascii="Times New Roman" w:hAnsi="Times New Roman" w:cs="Times New Roman"/>
          <w:i/>
          <w:sz w:val="24"/>
          <w:szCs w:val="24"/>
        </w:rPr>
        <w:t>42</w:t>
      </w:r>
      <w:r w:rsidRPr="000E4FE6">
        <w:rPr>
          <w:rFonts w:ascii="Times New Roman" w:hAnsi="Times New Roman" w:cs="Times New Roman"/>
          <w:sz w:val="24"/>
          <w:szCs w:val="24"/>
        </w:rPr>
        <w:t>(6), 1537–1546. https://doi.org/10.1016/j.jrp.2008.07.012</w:t>
      </w:r>
    </w:p>
    <w:p w14:paraId="00000D6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Hasler, B. P., </w:t>
      </w:r>
      <w:proofErr w:type="spellStart"/>
      <w:r w:rsidRPr="000E4FE6">
        <w:rPr>
          <w:rFonts w:ascii="Times New Roman" w:hAnsi="Times New Roman" w:cs="Times New Roman"/>
          <w:sz w:val="24"/>
          <w:szCs w:val="24"/>
        </w:rPr>
        <w:t>Sitnick</w:t>
      </w:r>
      <w:proofErr w:type="spellEnd"/>
      <w:r w:rsidRPr="000E4FE6">
        <w:rPr>
          <w:rFonts w:ascii="Times New Roman" w:hAnsi="Times New Roman" w:cs="Times New Roman"/>
          <w:sz w:val="24"/>
          <w:szCs w:val="24"/>
        </w:rPr>
        <w:t>, S. L., Shaw, D. S., and Forbes, E. E. (2013). An altered neural response to reward may contribute to alcohol problems among late adolescents with an evening chronotype. </w:t>
      </w:r>
      <w:r w:rsidRPr="000E4FE6">
        <w:rPr>
          <w:rFonts w:ascii="Times New Roman" w:hAnsi="Times New Roman" w:cs="Times New Roman"/>
          <w:i/>
          <w:sz w:val="24"/>
          <w:szCs w:val="24"/>
        </w:rPr>
        <w:t>Psychiatry Research</w:t>
      </w:r>
      <w:r w:rsidRPr="000E4FE6">
        <w:rPr>
          <w:rFonts w:ascii="Times New Roman" w:hAnsi="Times New Roman" w:cs="Times New Roman"/>
          <w:sz w:val="24"/>
          <w:szCs w:val="24"/>
        </w:rPr>
        <w:t>, </w:t>
      </w:r>
      <w:r w:rsidRPr="000E4FE6">
        <w:rPr>
          <w:rFonts w:ascii="Times New Roman" w:hAnsi="Times New Roman" w:cs="Times New Roman"/>
          <w:i/>
          <w:sz w:val="24"/>
          <w:szCs w:val="24"/>
        </w:rPr>
        <w:t>214</w:t>
      </w:r>
      <w:r w:rsidRPr="000E4FE6">
        <w:rPr>
          <w:rFonts w:ascii="Times New Roman" w:hAnsi="Times New Roman" w:cs="Times New Roman"/>
          <w:sz w:val="24"/>
          <w:szCs w:val="24"/>
        </w:rPr>
        <w:t>(3), 357–364. https://doi.org/10.1016/j.pscychresns.2013.08.005</w:t>
      </w:r>
    </w:p>
    <w:p w14:paraId="00000D7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Hay, P. (2013). A systematic review of evidence for psychological treatments in eating disorders: 2005-2012. </w:t>
      </w:r>
      <w:r w:rsidRPr="000E4FE6">
        <w:rPr>
          <w:rFonts w:ascii="Times New Roman" w:hAnsi="Times New Roman" w:cs="Times New Roman"/>
          <w:i/>
          <w:sz w:val="24"/>
          <w:szCs w:val="24"/>
        </w:rPr>
        <w:t>The International Journal of Eating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46</w:t>
      </w:r>
      <w:r w:rsidRPr="000E4FE6">
        <w:rPr>
          <w:rFonts w:ascii="Times New Roman" w:hAnsi="Times New Roman" w:cs="Times New Roman"/>
          <w:sz w:val="24"/>
          <w:szCs w:val="24"/>
        </w:rPr>
        <w:t>(5), 462–469. https://doi.org/10.1002/eat.22103</w:t>
      </w:r>
    </w:p>
    <w:p w14:paraId="00000D7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Hays, N. P., </w:t>
      </w:r>
      <w:proofErr w:type="spellStart"/>
      <w:r w:rsidRPr="000E4FE6">
        <w:rPr>
          <w:rFonts w:ascii="Times New Roman" w:hAnsi="Times New Roman" w:cs="Times New Roman"/>
          <w:sz w:val="24"/>
          <w:szCs w:val="24"/>
        </w:rPr>
        <w:t>Bathalon</w:t>
      </w:r>
      <w:proofErr w:type="spellEnd"/>
      <w:r w:rsidRPr="000E4FE6">
        <w:rPr>
          <w:rFonts w:ascii="Times New Roman" w:hAnsi="Times New Roman" w:cs="Times New Roman"/>
          <w:sz w:val="24"/>
          <w:szCs w:val="24"/>
        </w:rPr>
        <w:t xml:space="preserve">, G. P., McCrory, M. A., </w:t>
      </w:r>
      <w:proofErr w:type="spellStart"/>
      <w:r w:rsidRPr="000E4FE6">
        <w:rPr>
          <w:rFonts w:ascii="Times New Roman" w:hAnsi="Times New Roman" w:cs="Times New Roman"/>
          <w:sz w:val="24"/>
          <w:szCs w:val="24"/>
        </w:rPr>
        <w:t>Roubenoff</w:t>
      </w:r>
      <w:proofErr w:type="spellEnd"/>
      <w:r w:rsidRPr="000E4FE6">
        <w:rPr>
          <w:rFonts w:ascii="Times New Roman" w:hAnsi="Times New Roman" w:cs="Times New Roman"/>
          <w:sz w:val="24"/>
          <w:szCs w:val="24"/>
        </w:rPr>
        <w:t xml:space="preserve">, R., Lipman, R., and Roberts, S. B. (2002).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correlates of adult weight gain and obesity in healthy women aged 55-65 y.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75</w:t>
      </w:r>
      <w:r w:rsidRPr="000E4FE6">
        <w:rPr>
          <w:rFonts w:ascii="Times New Roman" w:hAnsi="Times New Roman" w:cs="Times New Roman"/>
          <w:sz w:val="24"/>
          <w:szCs w:val="24"/>
        </w:rPr>
        <w:t>(3), 476–483. https://doi.org/10.1093/ajcn/75.3.476</w:t>
      </w:r>
    </w:p>
    <w:p w14:paraId="00000D7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Hays, N. P., and Roberts, S. B. (2008). Aspects of eating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“disinhibition” and “restraint” are related to weight gain and BMI in women.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(1), 52–58. https://doi.org/10.1038/oby.2007.12</w:t>
      </w:r>
    </w:p>
    <w:p w14:paraId="00000D7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He, J., Sun, S., </w:t>
      </w:r>
      <w:proofErr w:type="spellStart"/>
      <w:r w:rsidRPr="000E4FE6">
        <w:rPr>
          <w:rFonts w:ascii="Times New Roman" w:hAnsi="Times New Roman" w:cs="Times New Roman"/>
          <w:sz w:val="24"/>
          <w:szCs w:val="24"/>
        </w:rPr>
        <w:t>Zickgraf</w:t>
      </w:r>
      <w:proofErr w:type="spellEnd"/>
      <w:r w:rsidRPr="000E4FE6">
        <w:rPr>
          <w:rFonts w:ascii="Times New Roman" w:hAnsi="Times New Roman" w:cs="Times New Roman"/>
          <w:sz w:val="24"/>
          <w:szCs w:val="24"/>
        </w:rPr>
        <w:t xml:space="preserve">, H. F., Ellis, J. M., and Fan, X. (2021). Assessing appetitive traits among </w:t>
      </w:r>
      <w:proofErr w:type="spellStart"/>
      <w:r w:rsidRPr="000E4FE6">
        <w:rPr>
          <w:rFonts w:ascii="Times New Roman" w:hAnsi="Times New Roman" w:cs="Times New Roman"/>
          <w:sz w:val="24"/>
          <w:szCs w:val="24"/>
        </w:rPr>
        <w:t>chinese</w:t>
      </w:r>
      <w:proofErr w:type="spellEnd"/>
      <w:r w:rsidRPr="000E4FE6">
        <w:rPr>
          <w:rFonts w:ascii="Times New Roman" w:hAnsi="Times New Roman" w:cs="Times New Roman"/>
          <w:sz w:val="24"/>
          <w:szCs w:val="24"/>
        </w:rPr>
        <w:t xml:space="preserve"> young adults using the adult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questionnaire: factor structure, gender invariance and latent mean differences, and associations with BMI. </w:t>
      </w:r>
      <w:r w:rsidRPr="000E4FE6">
        <w:rPr>
          <w:rFonts w:ascii="Times New Roman" w:hAnsi="Times New Roman" w:cs="Times New Roman"/>
          <w:i/>
          <w:sz w:val="24"/>
          <w:szCs w:val="24"/>
        </w:rPr>
        <w:t>Assessment</w:t>
      </w:r>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(3), 877–889. https://doi.org/10.1177/1073191119864642</w:t>
      </w:r>
    </w:p>
    <w:p w14:paraId="00000D7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Heatherton, T. F., and Baumeister, R. F. (1991). Binge eating as escape from self-awareness. </w:t>
      </w:r>
      <w:r w:rsidRPr="000E4FE6">
        <w:rPr>
          <w:rFonts w:ascii="Times New Roman" w:hAnsi="Times New Roman" w:cs="Times New Roman"/>
          <w:i/>
          <w:sz w:val="24"/>
          <w:szCs w:val="24"/>
        </w:rPr>
        <w:t>Psychological Bulletin</w:t>
      </w:r>
      <w:r w:rsidRPr="000E4FE6">
        <w:rPr>
          <w:rFonts w:ascii="Times New Roman" w:hAnsi="Times New Roman" w:cs="Times New Roman"/>
          <w:sz w:val="24"/>
          <w:szCs w:val="24"/>
        </w:rPr>
        <w:t>, </w:t>
      </w:r>
      <w:r w:rsidRPr="000E4FE6">
        <w:rPr>
          <w:rFonts w:ascii="Times New Roman" w:hAnsi="Times New Roman" w:cs="Times New Roman"/>
          <w:i/>
          <w:sz w:val="24"/>
          <w:szCs w:val="24"/>
        </w:rPr>
        <w:t>110</w:t>
      </w:r>
      <w:r w:rsidRPr="000E4FE6">
        <w:rPr>
          <w:rFonts w:ascii="Times New Roman" w:hAnsi="Times New Roman" w:cs="Times New Roman"/>
          <w:sz w:val="24"/>
          <w:szCs w:val="24"/>
        </w:rPr>
        <w:t>(1), 86–108. https://doi.org/10.1037/0033-2909.110.1.86</w:t>
      </w:r>
    </w:p>
    <w:p w14:paraId="00000D7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Heinberg</w:t>
      </w:r>
      <w:proofErr w:type="spellEnd"/>
      <w:r w:rsidRPr="000E4FE6">
        <w:rPr>
          <w:rFonts w:ascii="Times New Roman" w:hAnsi="Times New Roman" w:cs="Times New Roman"/>
          <w:sz w:val="24"/>
          <w:szCs w:val="24"/>
        </w:rPr>
        <w:t>, L. J., and Thompson, J. K. (Eds.). (2009). </w:t>
      </w:r>
      <w:r w:rsidRPr="000E4FE6">
        <w:rPr>
          <w:rFonts w:ascii="Times New Roman" w:hAnsi="Times New Roman" w:cs="Times New Roman"/>
          <w:i/>
          <w:sz w:val="24"/>
          <w:szCs w:val="24"/>
        </w:rPr>
        <w:t>Obesity in youth: Causes, consequences, and cures.</w:t>
      </w:r>
      <w:r w:rsidRPr="000E4FE6">
        <w:rPr>
          <w:rFonts w:ascii="Times New Roman" w:hAnsi="Times New Roman" w:cs="Times New Roman"/>
          <w:sz w:val="24"/>
          <w:szCs w:val="24"/>
        </w:rPr>
        <w:t> Washington: American Psychological Association. https://doi.org/10.1037/11868-000</w:t>
      </w:r>
    </w:p>
    <w:p w14:paraId="00000D7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Heitmann</w:t>
      </w:r>
      <w:proofErr w:type="spellEnd"/>
      <w:r w:rsidRPr="000E4FE6">
        <w:rPr>
          <w:rFonts w:ascii="Times New Roman" w:hAnsi="Times New Roman" w:cs="Times New Roman"/>
          <w:sz w:val="24"/>
          <w:szCs w:val="24"/>
        </w:rPr>
        <w:t xml:space="preserve">, B. L., and </w:t>
      </w:r>
      <w:proofErr w:type="spellStart"/>
      <w:r w:rsidRPr="000E4FE6">
        <w:rPr>
          <w:rFonts w:ascii="Times New Roman" w:hAnsi="Times New Roman" w:cs="Times New Roman"/>
          <w:sz w:val="24"/>
          <w:szCs w:val="24"/>
        </w:rPr>
        <w:t>Lissner</w:t>
      </w:r>
      <w:proofErr w:type="spellEnd"/>
      <w:r w:rsidRPr="000E4FE6">
        <w:rPr>
          <w:rFonts w:ascii="Times New Roman" w:hAnsi="Times New Roman" w:cs="Times New Roman"/>
          <w:sz w:val="24"/>
          <w:szCs w:val="24"/>
        </w:rPr>
        <w:t>, L. (1995). Dietary underreporting by obese individuals--is it specific or non-specific? </w:t>
      </w:r>
      <w:r w:rsidRPr="000E4FE6">
        <w:rPr>
          <w:rFonts w:ascii="Times New Roman" w:hAnsi="Times New Roman" w:cs="Times New Roman"/>
          <w:i/>
          <w:sz w:val="24"/>
          <w:szCs w:val="24"/>
        </w:rPr>
        <w:t>BMJ (Clinical Research Ed.)</w:t>
      </w:r>
      <w:r w:rsidRPr="000E4FE6">
        <w:rPr>
          <w:rFonts w:ascii="Times New Roman" w:hAnsi="Times New Roman" w:cs="Times New Roman"/>
          <w:sz w:val="24"/>
          <w:szCs w:val="24"/>
        </w:rPr>
        <w:t>, </w:t>
      </w:r>
      <w:r w:rsidRPr="000E4FE6">
        <w:rPr>
          <w:rFonts w:ascii="Times New Roman" w:hAnsi="Times New Roman" w:cs="Times New Roman"/>
          <w:i/>
          <w:sz w:val="24"/>
          <w:szCs w:val="24"/>
        </w:rPr>
        <w:t>311</w:t>
      </w:r>
      <w:r w:rsidRPr="000E4FE6">
        <w:rPr>
          <w:rFonts w:ascii="Times New Roman" w:hAnsi="Times New Roman" w:cs="Times New Roman"/>
          <w:sz w:val="24"/>
          <w:szCs w:val="24"/>
        </w:rPr>
        <w:t>(7011), 986–989. https://doi.org/10.1136/bmj.311.7011.986</w:t>
      </w:r>
    </w:p>
    <w:p w14:paraId="00000D7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Hennink</w:t>
      </w:r>
      <w:proofErr w:type="spellEnd"/>
      <w:r w:rsidRPr="000E4FE6">
        <w:rPr>
          <w:rFonts w:ascii="Times New Roman" w:hAnsi="Times New Roman" w:cs="Times New Roman"/>
          <w:sz w:val="24"/>
          <w:szCs w:val="24"/>
        </w:rPr>
        <w:t>, M., and Kaiser, B. N. (2022). Sample sizes for saturation in qualitative research: A systematic review of empirical tests. </w:t>
      </w:r>
      <w:r w:rsidRPr="000E4FE6">
        <w:rPr>
          <w:rFonts w:ascii="Times New Roman" w:hAnsi="Times New Roman" w:cs="Times New Roman"/>
          <w:i/>
          <w:sz w:val="24"/>
          <w:szCs w:val="24"/>
        </w:rPr>
        <w:t>Social Science &amp; Medicine</w:t>
      </w:r>
      <w:r w:rsidRPr="000E4FE6">
        <w:rPr>
          <w:rFonts w:ascii="Times New Roman" w:hAnsi="Times New Roman" w:cs="Times New Roman"/>
          <w:sz w:val="24"/>
          <w:szCs w:val="24"/>
        </w:rPr>
        <w:t>, </w:t>
      </w:r>
      <w:r w:rsidRPr="000E4FE6">
        <w:rPr>
          <w:rFonts w:ascii="Times New Roman" w:hAnsi="Times New Roman" w:cs="Times New Roman"/>
          <w:i/>
          <w:sz w:val="24"/>
          <w:szCs w:val="24"/>
        </w:rPr>
        <w:t>292</w:t>
      </w:r>
      <w:r w:rsidRPr="000E4FE6">
        <w:rPr>
          <w:rFonts w:ascii="Times New Roman" w:hAnsi="Times New Roman" w:cs="Times New Roman"/>
          <w:sz w:val="24"/>
          <w:szCs w:val="24"/>
        </w:rPr>
        <w:t>, 114523. https://doi.org/10.1016/j.socscimed.2021.114523</w:t>
      </w:r>
    </w:p>
    <w:p w14:paraId="00000D7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Herman, C. P., and Mack, D. (1975). Restrained and unrestrained eating. </w:t>
      </w:r>
      <w:r w:rsidRPr="000E4FE6">
        <w:rPr>
          <w:rFonts w:ascii="Times New Roman" w:hAnsi="Times New Roman" w:cs="Times New Roman"/>
          <w:i/>
          <w:sz w:val="24"/>
          <w:szCs w:val="24"/>
        </w:rPr>
        <w:t>Journal of Personality</w:t>
      </w:r>
      <w:r w:rsidRPr="000E4FE6">
        <w:rPr>
          <w:rFonts w:ascii="Times New Roman" w:hAnsi="Times New Roman" w:cs="Times New Roman"/>
          <w:sz w:val="24"/>
          <w:szCs w:val="24"/>
        </w:rPr>
        <w:t>, </w:t>
      </w:r>
      <w:r w:rsidRPr="000E4FE6">
        <w:rPr>
          <w:rFonts w:ascii="Times New Roman" w:hAnsi="Times New Roman" w:cs="Times New Roman"/>
          <w:i/>
          <w:sz w:val="24"/>
          <w:szCs w:val="24"/>
        </w:rPr>
        <w:t>43</w:t>
      </w:r>
      <w:r w:rsidRPr="000E4FE6">
        <w:rPr>
          <w:rFonts w:ascii="Times New Roman" w:hAnsi="Times New Roman" w:cs="Times New Roman"/>
          <w:sz w:val="24"/>
          <w:szCs w:val="24"/>
        </w:rPr>
        <w:t>(4), 647–660.</w:t>
      </w:r>
    </w:p>
    <w:p w14:paraId="00000D79"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r w:rsidRPr="000E4FE6">
        <w:rPr>
          <w:rFonts w:ascii="Times New Roman" w:hAnsi="Times New Roman" w:cs="Times New Roman"/>
          <w:sz w:val="24"/>
          <w:szCs w:val="24"/>
        </w:rPr>
        <w:t xml:space="preserve">Herman, C. P., </w:t>
      </w:r>
      <w:proofErr w:type="spellStart"/>
      <w:r w:rsidRPr="000E4FE6">
        <w:rPr>
          <w:rFonts w:ascii="Times New Roman" w:hAnsi="Times New Roman" w:cs="Times New Roman"/>
          <w:sz w:val="24"/>
          <w:szCs w:val="24"/>
        </w:rPr>
        <w:t>Polivy</w:t>
      </w:r>
      <w:proofErr w:type="spellEnd"/>
      <w:r w:rsidRPr="000E4FE6">
        <w:rPr>
          <w:rFonts w:ascii="Times New Roman" w:hAnsi="Times New Roman" w:cs="Times New Roman"/>
          <w:sz w:val="24"/>
          <w:szCs w:val="24"/>
        </w:rPr>
        <w:t xml:space="preserve">, J., and </w:t>
      </w:r>
      <w:proofErr w:type="spellStart"/>
      <w:r w:rsidRPr="000E4FE6">
        <w:rPr>
          <w:rFonts w:ascii="Times New Roman" w:hAnsi="Times New Roman" w:cs="Times New Roman"/>
          <w:sz w:val="24"/>
          <w:szCs w:val="24"/>
        </w:rPr>
        <w:t>Esses</w:t>
      </w:r>
      <w:proofErr w:type="spellEnd"/>
      <w:r w:rsidRPr="000E4FE6">
        <w:rPr>
          <w:rFonts w:ascii="Times New Roman" w:hAnsi="Times New Roman" w:cs="Times New Roman"/>
          <w:sz w:val="24"/>
          <w:szCs w:val="24"/>
        </w:rPr>
        <w:t>, V. M. (1987). The illusion of counter-regulation. </w:t>
      </w:r>
      <w:proofErr w:type="spellStart"/>
      <w:r w:rsidRPr="000E4FE6">
        <w:rPr>
          <w:rFonts w:ascii="Times New Roman" w:hAnsi="Times New Roman" w:cs="Times New Roman"/>
          <w:i/>
          <w:sz w:val="24"/>
          <w:szCs w:val="24"/>
          <w:lang w:val="es-ES_tradnl"/>
        </w:rPr>
        <w:t>Appetite</w:t>
      </w:r>
      <w:proofErr w:type="spellEnd"/>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9</w:t>
      </w:r>
      <w:r w:rsidRPr="000E4FE6">
        <w:rPr>
          <w:rFonts w:ascii="Times New Roman" w:hAnsi="Times New Roman" w:cs="Times New Roman"/>
          <w:sz w:val="24"/>
          <w:szCs w:val="24"/>
          <w:lang w:val="es-ES_tradnl"/>
        </w:rPr>
        <w:t>(3), 161–169. https://doi.org/10.1016/s0195-6663(87)80010-7</w:t>
      </w:r>
    </w:p>
    <w:p w14:paraId="00000D7A"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r w:rsidRPr="000E4FE6">
        <w:rPr>
          <w:rFonts w:ascii="Times New Roman" w:hAnsi="Times New Roman" w:cs="Times New Roman"/>
          <w:sz w:val="24"/>
          <w:szCs w:val="24"/>
          <w:lang w:val="es-ES_tradnl"/>
        </w:rPr>
        <w:t>Hermenegildo, Y., López-García, E., García-Esquinas, E., Pérez-</w:t>
      </w:r>
      <w:proofErr w:type="spellStart"/>
      <w:r w:rsidRPr="000E4FE6">
        <w:rPr>
          <w:rFonts w:ascii="Times New Roman" w:hAnsi="Times New Roman" w:cs="Times New Roman"/>
          <w:sz w:val="24"/>
          <w:szCs w:val="24"/>
          <w:lang w:val="es-ES_tradnl"/>
        </w:rPr>
        <w:t>Tasigchana</w:t>
      </w:r>
      <w:proofErr w:type="spellEnd"/>
      <w:r w:rsidRPr="000E4FE6">
        <w:rPr>
          <w:rFonts w:ascii="Times New Roman" w:hAnsi="Times New Roman" w:cs="Times New Roman"/>
          <w:sz w:val="24"/>
          <w:szCs w:val="24"/>
          <w:lang w:val="es-ES_tradnl"/>
        </w:rPr>
        <w:t xml:space="preserve">, R. F., Rodríguez-Artalejo, F., and </w:t>
      </w:r>
      <w:proofErr w:type="spellStart"/>
      <w:r w:rsidRPr="000E4FE6">
        <w:rPr>
          <w:rFonts w:ascii="Times New Roman" w:hAnsi="Times New Roman" w:cs="Times New Roman"/>
          <w:sz w:val="24"/>
          <w:szCs w:val="24"/>
          <w:lang w:val="es-ES_tradnl"/>
        </w:rPr>
        <w:t>Guallar</w:t>
      </w:r>
      <w:proofErr w:type="spellEnd"/>
      <w:r w:rsidRPr="000E4FE6">
        <w:rPr>
          <w:rFonts w:ascii="Times New Roman" w:hAnsi="Times New Roman" w:cs="Times New Roman"/>
          <w:sz w:val="24"/>
          <w:szCs w:val="24"/>
          <w:lang w:val="es-ES_tradnl"/>
        </w:rPr>
        <w:t xml:space="preserve">-Castillón, P. (2016). </w:t>
      </w:r>
      <w:r w:rsidRPr="000E4FE6">
        <w:rPr>
          <w:rFonts w:ascii="Times New Roman" w:hAnsi="Times New Roman" w:cs="Times New Roman"/>
          <w:sz w:val="24"/>
          <w:szCs w:val="24"/>
        </w:rPr>
        <w:t>Distribution of energy intake throughout the day and weight gain: a population-based cohort study in Spain. </w:t>
      </w:r>
      <w:proofErr w:type="spellStart"/>
      <w:r w:rsidRPr="000E4FE6">
        <w:rPr>
          <w:rFonts w:ascii="Times New Roman" w:hAnsi="Times New Roman" w:cs="Times New Roman"/>
          <w:i/>
          <w:sz w:val="24"/>
          <w:szCs w:val="24"/>
          <w:lang w:val="es-ES_tradnl"/>
        </w:rPr>
        <w:t>The</w:t>
      </w:r>
      <w:proofErr w:type="spellEnd"/>
      <w:r w:rsidRPr="000E4FE6">
        <w:rPr>
          <w:rFonts w:ascii="Times New Roman" w:hAnsi="Times New Roman" w:cs="Times New Roman"/>
          <w:i/>
          <w:sz w:val="24"/>
          <w:szCs w:val="24"/>
          <w:lang w:val="es-ES_tradnl"/>
        </w:rPr>
        <w:t xml:space="preserve"> British </w:t>
      </w:r>
      <w:proofErr w:type="spellStart"/>
      <w:r w:rsidRPr="000E4FE6">
        <w:rPr>
          <w:rFonts w:ascii="Times New Roman" w:hAnsi="Times New Roman" w:cs="Times New Roman"/>
          <w:i/>
          <w:sz w:val="24"/>
          <w:szCs w:val="24"/>
          <w:lang w:val="es-ES_tradnl"/>
        </w:rPr>
        <w:t>Journal</w:t>
      </w:r>
      <w:proofErr w:type="spellEnd"/>
      <w:r w:rsidRPr="000E4FE6">
        <w:rPr>
          <w:rFonts w:ascii="Times New Roman" w:hAnsi="Times New Roman" w:cs="Times New Roman"/>
          <w:i/>
          <w:sz w:val="24"/>
          <w:szCs w:val="24"/>
          <w:lang w:val="es-ES_tradnl"/>
        </w:rPr>
        <w:t xml:space="preserve"> </w:t>
      </w:r>
      <w:proofErr w:type="spellStart"/>
      <w:r w:rsidRPr="000E4FE6">
        <w:rPr>
          <w:rFonts w:ascii="Times New Roman" w:hAnsi="Times New Roman" w:cs="Times New Roman"/>
          <w:i/>
          <w:sz w:val="24"/>
          <w:szCs w:val="24"/>
          <w:lang w:val="es-ES_tradnl"/>
        </w:rPr>
        <w:t>of</w:t>
      </w:r>
      <w:proofErr w:type="spellEnd"/>
      <w:r w:rsidRPr="000E4FE6">
        <w:rPr>
          <w:rFonts w:ascii="Times New Roman" w:hAnsi="Times New Roman" w:cs="Times New Roman"/>
          <w:i/>
          <w:sz w:val="24"/>
          <w:szCs w:val="24"/>
          <w:lang w:val="es-ES_tradnl"/>
        </w:rPr>
        <w:t xml:space="preserve"> </w:t>
      </w:r>
      <w:proofErr w:type="spellStart"/>
      <w:r w:rsidRPr="000E4FE6">
        <w:rPr>
          <w:rFonts w:ascii="Times New Roman" w:hAnsi="Times New Roman" w:cs="Times New Roman"/>
          <w:i/>
          <w:sz w:val="24"/>
          <w:szCs w:val="24"/>
          <w:lang w:val="es-ES_tradnl"/>
        </w:rPr>
        <w:t>Nutrition</w:t>
      </w:r>
      <w:proofErr w:type="spellEnd"/>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115</w:t>
      </w:r>
      <w:r w:rsidRPr="000E4FE6">
        <w:rPr>
          <w:rFonts w:ascii="Times New Roman" w:hAnsi="Times New Roman" w:cs="Times New Roman"/>
          <w:sz w:val="24"/>
          <w:szCs w:val="24"/>
          <w:lang w:val="es-ES_tradnl"/>
        </w:rPr>
        <w:t>(11), 2003–2010. https://doi.org/10.1017/S0007114516000891</w:t>
      </w:r>
    </w:p>
    <w:p w14:paraId="00000D7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Hernández Ruiz de </w:t>
      </w:r>
      <w:proofErr w:type="spellStart"/>
      <w:r w:rsidRPr="000E4FE6">
        <w:rPr>
          <w:rFonts w:ascii="Times New Roman" w:hAnsi="Times New Roman" w:cs="Times New Roman"/>
          <w:sz w:val="24"/>
          <w:szCs w:val="24"/>
          <w:lang w:val="es-ES_tradnl"/>
        </w:rPr>
        <w:t>Eguilaz</w:t>
      </w:r>
      <w:proofErr w:type="spellEnd"/>
      <w:r w:rsidRPr="000E4FE6">
        <w:rPr>
          <w:rFonts w:ascii="Times New Roman" w:hAnsi="Times New Roman" w:cs="Times New Roman"/>
          <w:sz w:val="24"/>
          <w:szCs w:val="24"/>
          <w:lang w:val="es-ES_tradnl"/>
        </w:rPr>
        <w:t xml:space="preserve">, M., Martínez de Morentin Aldabe, B., </w:t>
      </w:r>
      <w:proofErr w:type="spellStart"/>
      <w:r w:rsidRPr="000E4FE6">
        <w:rPr>
          <w:rFonts w:ascii="Times New Roman" w:hAnsi="Times New Roman" w:cs="Times New Roman"/>
          <w:sz w:val="24"/>
          <w:szCs w:val="24"/>
          <w:lang w:val="es-ES_tradnl"/>
        </w:rPr>
        <w:t>Almiron</w:t>
      </w:r>
      <w:proofErr w:type="spellEnd"/>
      <w:r w:rsidRPr="000E4FE6">
        <w:rPr>
          <w:rFonts w:ascii="Times New Roman" w:hAnsi="Times New Roman" w:cs="Times New Roman"/>
          <w:sz w:val="24"/>
          <w:szCs w:val="24"/>
          <w:lang w:val="es-ES_tradnl"/>
        </w:rPr>
        <w:t xml:space="preserve">-Roig, E., Pérez-Diez, S., San Cristóbal Blanco, R., Navas-Carretero, S., and Martínez, J. A. (2018). </w:t>
      </w:r>
      <w:r w:rsidRPr="000E4FE6">
        <w:rPr>
          <w:rFonts w:ascii="Times New Roman" w:hAnsi="Times New Roman" w:cs="Times New Roman"/>
          <w:sz w:val="24"/>
          <w:szCs w:val="24"/>
        </w:rPr>
        <w:t xml:space="preserve">Multisensory influence on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Hedonic consumption. </w:t>
      </w:r>
      <w:proofErr w:type="spellStart"/>
      <w:r w:rsidRPr="000E4FE6">
        <w:rPr>
          <w:rFonts w:ascii="Times New Roman" w:hAnsi="Times New Roman" w:cs="Times New Roman"/>
          <w:i/>
          <w:sz w:val="24"/>
          <w:szCs w:val="24"/>
        </w:rPr>
        <w:t>Endocrinología</w:t>
      </w:r>
      <w:proofErr w:type="spellEnd"/>
      <w:r w:rsidRPr="000E4FE6">
        <w:rPr>
          <w:rFonts w:ascii="Times New Roman" w:hAnsi="Times New Roman" w:cs="Times New Roman"/>
          <w:i/>
          <w:sz w:val="24"/>
          <w:szCs w:val="24"/>
        </w:rPr>
        <w:t xml:space="preserve">, Diabetes y </w:t>
      </w:r>
      <w:proofErr w:type="spellStart"/>
      <w:r w:rsidRPr="000E4FE6">
        <w:rPr>
          <w:rFonts w:ascii="Times New Roman" w:hAnsi="Times New Roman" w:cs="Times New Roman"/>
          <w:i/>
          <w:sz w:val="24"/>
          <w:szCs w:val="24"/>
        </w:rPr>
        <w:t>Nutrición</w:t>
      </w:r>
      <w:proofErr w:type="spellEnd"/>
      <w:r w:rsidRPr="000E4FE6">
        <w:rPr>
          <w:rFonts w:ascii="Times New Roman" w:hAnsi="Times New Roman" w:cs="Times New Roman"/>
          <w:i/>
          <w:sz w:val="24"/>
          <w:szCs w:val="24"/>
        </w:rPr>
        <w:t xml:space="preserve"> (English Ed.)</w:t>
      </w:r>
      <w:r w:rsidRPr="000E4FE6">
        <w:rPr>
          <w:rFonts w:ascii="Times New Roman" w:hAnsi="Times New Roman" w:cs="Times New Roman"/>
          <w:sz w:val="24"/>
          <w:szCs w:val="24"/>
        </w:rPr>
        <w:t>, </w:t>
      </w:r>
      <w:r w:rsidRPr="000E4FE6">
        <w:rPr>
          <w:rFonts w:ascii="Times New Roman" w:hAnsi="Times New Roman" w:cs="Times New Roman"/>
          <w:i/>
          <w:sz w:val="24"/>
          <w:szCs w:val="24"/>
        </w:rPr>
        <w:t>65</w:t>
      </w:r>
      <w:r w:rsidRPr="000E4FE6">
        <w:rPr>
          <w:rFonts w:ascii="Times New Roman" w:hAnsi="Times New Roman" w:cs="Times New Roman"/>
          <w:sz w:val="24"/>
          <w:szCs w:val="24"/>
        </w:rPr>
        <w:t>(2), 114–125. https://doi.org/10.1016/j.endien.2018.03.003</w:t>
      </w:r>
    </w:p>
    <w:p w14:paraId="00000D7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Hetherington, M. M., and MacDiarmid, J. I. (1993). “Chocolate addiction”: a preliminary study of its description and its relationship to problem eating.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(3), 233–246. https://doi.org/10.1006/appe.1993.1042</w:t>
      </w:r>
    </w:p>
    <w:p w14:paraId="00000D7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Hibi</w:t>
      </w:r>
      <w:proofErr w:type="spellEnd"/>
      <w:r w:rsidRPr="000E4FE6">
        <w:rPr>
          <w:rFonts w:ascii="Times New Roman" w:hAnsi="Times New Roman" w:cs="Times New Roman"/>
          <w:sz w:val="24"/>
          <w:szCs w:val="24"/>
        </w:rPr>
        <w:t xml:space="preserve">, M., Masumoto, A., Naito, Y., </w:t>
      </w:r>
      <w:proofErr w:type="spellStart"/>
      <w:r w:rsidRPr="000E4FE6">
        <w:rPr>
          <w:rFonts w:ascii="Times New Roman" w:hAnsi="Times New Roman" w:cs="Times New Roman"/>
          <w:sz w:val="24"/>
          <w:szCs w:val="24"/>
        </w:rPr>
        <w:t>Kiuchi</w:t>
      </w:r>
      <w:proofErr w:type="spellEnd"/>
      <w:r w:rsidRPr="000E4FE6">
        <w:rPr>
          <w:rFonts w:ascii="Times New Roman" w:hAnsi="Times New Roman" w:cs="Times New Roman"/>
          <w:sz w:val="24"/>
          <w:szCs w:val="24"/>
        </w:rPr>
        <w:t xml:space="preserve">, K., Yoshimoto, Y., Matsumoto, M., … </w:t>
      </w:r>
      <w:proofErr w:type="spellStart"/>
      <w:r w:rsidRPr="000E4FE6">
        <w:rPr>
          <w:rFonts w:ascii="Times New Roman" w:hAnsi="Times New Roman" w:cs="Times New Roman"/>
          <w:sz w:val="24"/>
          <w:szCs w:val="24"/>
        </w:rPr>
        <w:t>Ikemoto</w:t>
      </w:r>
      <w:proofErr w:type="spellEnd"/>
      <w:r w:rsidRPr="000E4FE6">
        <w:rPr>
          <w:rFonts w:ascii="Times New Roman" w:hAnsi="Times New Roman" w:cs="Times New Roman"/>
          <w:sz w:val="24"/>
          <w:szCs w:val="24"/>
        </w:rPr>
        <w:t xml:space="preserve">, S. (2013). </w:t>
      </w:r>
      <w:proofErr w:type="spellStart"/>
      <w:r w:rsidRPr="000E4FE6">
        <w:rPr>
          <w:rFonts w:ascii="Times New Roman" w:hAnsi="Times New Roman" w:cs="Times New Roman"/>
          <w:sz w:val="24"/>
          <w:szCs w:val="24"/>
        </w:rPr>
        <w:t>Nighttime</w:t>
      </w:r>
      <w:proofErr w:type="spellEnd"/>
      <w:r w:rsidRPr="000E4FE6">
        <w:rPr>
          <w:rFonts w:ascii="Times New Roman" w:hAnsi="Times New Roman" w:cs="Times New Roman"/>
          <w:sz w:val="24"/>
          <w:szCs w:val="24"/>
        </w:rPr>
        <w:t xml:space="preserve"> snacking reduces whole body fat oxidation and increases LDL cholesterol in healthy young women. </w:t>
      </w:r>
      <w:r w:rsidRPr="000E4FE6">
        <w:rPr>
          <w:rFonts w:ascii="Times New Roman" w:hAnsi="Times New Roman" w:cs="Times New Roman"/>
          <w:i/>
          <w:sz w:val="24"/>
          <w:szCs w:val="24"/>
        </w:rPr>
        <w:t xml:space="preserve">American Journal of Physiology. Regulatory, </w:t>
      </w:r>
      <w:r w:rsidRPr="000E4FE6">
        <w:rPr>
          <w:rFonts w:ascii="Times New Roman" w:hAnsi="Times New Roman" w:cs="Times New Roman"/>
          <w:i/>
          <w:sz w:val="24"/>
          <w:szCs w:val="24"/>
        </w:rPr>
        <w:lastRenderedPageBreak/>
        <w:t>Integrative and Comparative Physiology</w:t>
      </w:r>
      <w:r w:rsidRPr="000E4FE6">
        <w:rPr>
          <w:rFonts w:ascii="Times New Roman" w:hAnsi="Times New Roman" w:cs="Times New Roman"/>
          <w:sz w:val="24"/>
          <w:szCs w:val="24"/>
        </w:rPr>
        <w:t>, </w:t>
      </w:r>
      <w:r w:rsidRPr="000E4FE6">
        <w:rPr>
          <w:rFonts w:ascii="Times New Roman" w:hAnsi="Times New Roman" w:cs="Times New Roman"/>
          <w:i/>
          <w:sz w:val="24"/>
          <w:szCs w:val="24"/>
        </w:rPr>
        <w:t>304</w:t>
      </w:r>
      <w:r w:rsidRPr="000E4FE6">
        <w:rPr>
          <w:rFonts w:ascii="Times New Roman" w:hAnsi="Times New Roman" w:cs="Times New Roman"/>
          <w:sz w:val="24"/>
          <w:szCs w:val="24"/>
        </w:rPr>
        <w:t>(2), R94–R101. https://doi.org/10.1152/ajpregu.00115.2012</w:t>
      </w:r>
    </w:p>
    <w:p w14:paraId="00000D7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Hill, A J, Weaver, C. F., and Blundell, J. E. (1991). Food craving, dietary restraint and mood.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17</w:t>
      </w:r>
      <w:r w:rsidRPr="000E4FE6">
        <w:rPr>
          <w:rFonts w:ascii="Times New Roman" w:hAnsi="Times New Roman" w:cs="Times New Roman"/>
          <w:sz w:val="24"/>
          <w:szCs w:val="24"/>
        </w:rPr>
        <w:t>(3), 187–197. https://doi.org/10.1016/0195-6663(91)90021-j</w:t>
      </w:r>
    </w:p>
    <w:p w14:paraId="00000D7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Hill, Andrew J. (2007). The psychology of food craving. </w:t>
      </w:r>
      <w:r w:rsidRPr="000E4FE6">
        <w:rPr>
          <w:rFonts w:ascii="Times New Roman" w:hAnsi="Times New Roman" w:cs="Times New Roman"/>
          <w:i/>
          <w:sz w:val="24"/>
          <w:szCs w:val="24"/>
        </w:rPr>
        <w:t>The Proceedings of the Nutrition Society</w:t>
      </w:r>
      <w:r w:rsidRPr="000E4FE6">
        <w:rPr>
          <w:rFonts w:ascii="Times New Roman" w:hAnsi="Times New Roman" w:cs="Times New Roman"/>
          <w:sz w:val="24"/>
          <w:szCs w:val="24"/>
        </w:rPr>
        <w:t>, </w:t>
      </w:r>
      <w:r w:rsidRPr="000E4FE6">
        <w:rPr>
          <w:rFonts w:ascii="Times New Roman" w:hAnsi="Times New Roman" w:cs="Times New Roman"/>
          <w:i/>
          <w:sz w:val="24"/>
          <w:szCs w:val="24"/>
        </w:rPr>
        <w:t>66</w:t>
      </w:r>
      <w:r w:rsidRPr="000E4FE6">
        <w:rPr>
          <w:rFonts w:ascii="Times New Roman" w:hAnsi="Times New Roman" w:cs="Times New Roman"/>
          <w:sz w:val="24"/>
          <w:szCs w:val="24"/>
        </w:rPr>
        <w:t>(2), 277–285. https://doi.org/10.1017/S0029665107005502</w:t>
      </w:r>
    </w:p>
    <w:p w14:paraId="00000D8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Hill, D. C., Moss, R. H., Sykes-</w:t>
      </w:r>
      <w:proofErr w:type="spellStart"/>
      <w:r w:rsidRPr="000E4FE6">
        <w:rPr>
          <w:rFonts w:ascii="Times New Roman" w:hAnsi="Times New Roman" w:cs="Times New Roman"/>
          <w:sz w:val="24"/>
          <w:szCs w:val="24"/>
        </w:rPr>
        <w:t>Muskett</w:t>
      </w:r>
      <w:proofErr w:type="spellEnd"/>
      <w:r w:rsidRPr="000E4FE6">
        <w:rPr>
          <w:rFonts w:ascii="Times New Roman" w:hAnsi="Times New Roman" w:cs="Times New Roman"/>
          <w:sz w:val="24"/>
          <w:szCs w:val="24"/>
        </w:rPr>
        <w:t xml:space="preserve">, B., Conner, M., and O’Connor, D. B. (2018). Stress and eating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in children and adolescents: Systematic review and meta-analysis.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123</w:t>
      </w:r>
      <w:r w:rsidRPr="000E4FE6">
        <w:rPr>
          <w:rFonts w:ascii="Times New Roman" w:hAnsi="Times New Roman" w:cs="Times New Roman"/>
          <w:sz w:val="24"/>
          <w:szCs w:val="24"/>
        </w:rPr>
        <w:t>, 14–22. https://doi.org/10.1016/j.appet.2017.11.109</w:t>
      </w:r>
    </w:p>
    <w:p w14:paraId="00000D8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Hill, J. O., Wyatt, H. R., and Peters, J. C. (2012). Energy balance and obesity. </w:t>
      </w:r>
      <w:r w:rsidRPr="000E4FE6">
        <w:rPr>
          <w:rFonts w:ascii="Times New Roman" w:hAnsi="Times New Roman" w:cs="Times New Roman"/>
          <w:i/>
          <w:sz w:val="24"/>
          <w:szCs w:val="24"/>
        </w:rPr>
        <w:t>Circulation</w:t>
      </w:r>
      <w:r w:rsidRPr="000E4FE6">
        <w:rPr>
          <w:rFonts w:ascii="Times New Roman" w:hAnsi="Times New Roman" w:cs="Times New Roman"/>
          <w:sz w:val="24"/>
          <w:szCs w:val="24"/>
        </w:rPr>
        <w:t>, </w:t>
      </w:r>
      <w:r w:rsidRPr="000E4FE6">
        <w:rPr>
          <w:rFonts w:ascii="Times New Roman" w:hAnsi="Times New Roman" w:cs="Times New Roman"/>
          <w:i/>
          <w:sz w:val="24"/>
          <w:szCs w:val="24"/>
        </w:rPr>
        <w:t>126</w:t>
      </w:r>
      <w:r w:rsidRPr="000E4FE6">
        <w:rPr>
          <w:rFonts w:ascii="Times New Roman" w:hAnsi="Times New Roman" w:cs="Times New Roman"/>
          <w:sz w:val="24"/>
          <w:szCs w:val="24"/>
        </w:rPr>
        <w:t>(1), 126–132. https://doi.org/10.1161/CIRCULATIONAHA.111.087213</w:t>
      </w:r>
    </w:p>
    <w:p w14:paraId="00000D8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Hill, J. O., Wyatt, H. R., and Peters, J. C. (2013). The importance of energy balance. </w:t>
      </w:r>
      <w:r w:rsidRPr="000E4FE6">
        <w:rPr>
          <w:rFonts w:ascii="Times New Roman" w:hAnsi="Times New Roman" w:cs="Times New Roman"/>
          <w:i/>
          <w:sz w:val="24"/>
          <w:szCs w:val="24"/>
        </w:rPr>
        <w:t>European Endocrinology</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(2), 111–115. https://doi.org/10.17925/EE.2013.09.02.111</w:t>
      </w:r>
    </w:p>
    <w:p w14:paraId="00000D8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Hill, J. O., Wyatt, H. R., Reed, G. W., and Peters, J. C. (2003). Obesity and the environment: where do we go from here? </w:t>
      </w:r>
      <w:r w:rsidRPr="000E4FE6">
        <w:rPr>
          <w:rFonts w:ascii="Times New Roman" w:hAnsi="Times New Roman" w:cs="Times New Roman"/>
          <w:i/>
          <w:sz w:val="24"/>
          <w:szCs w:val="24"/>
        </w:rPr>
        <w:t>Science</w:t>
      </w:r>
      <w:r w:rsidRPr="000E4FE6">
        <w:rPr>
          <w:rFonts w:ascii="Times New Roman" w:hAnsi="Times New Roman" w:cs="Times New Roman"/>
          <w:sz w:val="24"/>
          <w:szCs w:val="24"/>
        </w:rPr>
        <w:t>, </w:t>
      </w:r>
      <w:r w:rsidRPr="000E4FE6">
        <w:rPr>
          <w:rFonts w:ascii="Times New Roman" w:hAnsi="Times New Roman" w:cs="Times New Roman"/>
          <w:i/>
          <w:sz w:val="24"/>
          <w:szCs w:val="24"/>
        </w:rPr>
        <w:t>299</w:t>
      </w:r>
      <w:r w:rsidRPr="000E4FE6">
        <w:rPr>
          <w:rFonts w:ascii="Times New Roman" w:hAnsi="Times New Roman" w:cs="Times New Roman"/>
          <w:sz w:val="24"/>
          <w:szCs w:val="24"/>
        </w:rPr>
        <w:t>(5608), 853–855. https://doi.org/10.1126/science.1079857</w:t>
      </w:r>
    </w:p>
    <w:p w14:paraId="00000D8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Hillier, S. E., and Olander, E. K. (2017). Women’s dietary changes before and during pregnancy: A systematic review. </w:t>
      </w:r>
      <w:r w:rsidRPr="000E4FE6">
        <w:rPr>
          <w:rFonts w:ascii="Times New Roman" w:hAnsi="Times New Roman" w:cs="Times New Roman"/>
          <w:i/>
          <w:sz w:val="24"/>
          <w:szCs w:val="24"/>
        </w:rPr>
        <w:t>Midwifery</w:t>
      </w:r>
      <w:r w:rsidRPr="000E4FE6">
        <w:rPr>
          <w:rFonts w:ascii="Times New Roman" w:hAnsi="Times New Roman" w:cs="Times New Roman"/>
          <w:sz w:val="24"/>
          <w:szCs w:val="24"/>
        </w:rPr>
        <w:t>, </w:t>
      </w:r>
      <w:r w:rsidRPr="000E4FE6">
        <w:rPr>
          <w:rFonts w:ascii="Times New Roman" w:hAnsi="Times New Roman" w:cs="Times New Roman"/>
          <w:i/>
          <w:sz w:val="24"/>
          <w:szCs w:val="24"/>
        </w:rPr>
        <w:t>49</w:t>
      </w:r>
      <w:r w:rsidRPr="000E4FE6">
        <w:rPr>
          <w:rFonts w:ascii="Times New Roman" w:hAnsi="Times New Roman" w:cs="Times New Roman"/>
          <w:sz w:val="24"/>
          <w:szCs w:val="24"/>
        </w:rPr>
        <w:t>, 19–31. https://doi.org/10.1016/j.midw.2017.01.014</w:t>
      </w:r>
    </w:p>
    <w:p w14:paraId="00000D8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Hoehner</w:t>
      </w:r>
      <w:proofErr w:type="spellEnd"/>
      <w:r w:rsidRPr="000E4FE6">
        <w:rPr>
          <w:rFonts w:ascii="Times New Roman" w:hAnsi="Times New Roman" w:cs="Times New Roman"/>
          <w:sz w:val="24"/>
          <w:szCs w:val="24"/>
        </w:rPr>
        <w:t xml:space="preserve">, C. M., Barlow, C. E., Allen, P., and </w:t>
      </w:r>
      <w:proofErr w:type="spellStart"/>
      <w:r w:rsidRPr="000E4FE6">
        <w:rPr>
          <w:rFonts w:ascii="Times New Roman" w:hAnsi="Times New Roman" w:cs="Times New Roman"/>
          <w:sz w:val="24"/>
          <w:szCs w:val="24"/>
        </w:rPr>
        <w:t>Schootman</w:t>
      </w:r>
      <w:proofErr w:type="spellEnd"/>
      <w:r w:rsidRPr="000E4FE6">
        <w:rPr>
          <w:rFonts w:ascii="Times New Roman" w:hAnsi="Times New Roman" w:cs="Times New Roman"/>
          <w:sz w:val="24"/>
          <w:szCs w:val="24"/>
        </w:rPr>
        <w:t>, M. (2012). Commuting distance, cardiorespiratory fitness, and metabolic risk. </w:t>
      </w:r>
      <w:r w:rsidRPr="000E4FE6">
        <w:rPr>
          <w:rFonts w:ascii="Times New Roman" w:hAnsi="Times New Roman" w:cs="Times New Roman"/>
          <w:i/>
          <w:sz w:val="24"/>
          <w:szCs w:val="24"/>
        </w:rPr>
        <w:t>American Journal of Preventive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42</w:t>
      </w:r>
      <w:r w:rsidRPr="000E4FE6">
        <w:rPr>
          <w:rFonts w:ascii="Times New Roman" w:hAnsi="Times New Roman" w:cs="Times New Roman"/>
          <w:sz w:val="24"/>
          <w:szCs w:val="24"/>
        </w:rPr>
        <w:t>(6), 571–578. https://doi.org/10.1016/j.amepre.2012.02.020</w:t>
      </w:r>
    </w:p>
    <w:p w14:paraId="00000D8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Hofmann, S. G., </w:t>
      </w:r>
      <w:proofErr w:type="spellStart"/>
      <w:r w:rsidRPr="000E4FE6">
        <w:rPr>
          <w:rFonts w:ascii="Times New Roman" w:hAnsi="Times New Roman" w:cs="Times New Roman"/>
          <w:sz w:val="24"/>
          <w:szCs w:val="24"/>
        </w:rPr>
        <w:t>Asnaani</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Vonk</w:t>
      </w:r>
      <w:proofErr w:type="spellEnd"/>
      <w:r w:rsidRPr="000E4FE6">
        <w:rPr>
          <w:rFonts w:ascii="Times New Roman" w:hAnsi="Times New Roman" w:cs="Times New Roman"/>
          <w:sz w:val="24"/>
          <w:szCs w:val="24"/>
        </w:rPr>
        <w:t xml:space="preserve">, I. J. J., Sawyer, A. T., and Fang, A. (2012). The Efficacy of Cognitive </w:t>
      </w:r>
      <w:proofErr w:type="spellStart"/>
      <w:r w:rsidRPr="000E4FE6">
        <w:rPr>
          <w:rFonts w:ascii="Times New Roman" w:hAnsi="Times New Roman" w:cs="Times New Roman"/>
          <w:sz w:val="24"/>
          <w:szCs w:val="24"/>
        </w:rPr>
        <w:t>Behavioral</w:t>
      </w:r>
      <w:proofErr w:type="spellEnd"/>
      <w:r w:rsidRPr="000E4FE6">
        <w:rPr>
          <w:rFonts w:ascii="Times New Roman" w:hAnsi="Times New Roman" w:cs="Times New Roman"/>
          <w:sz w:val="24"/>
          <w:szCs w:val="24"/>
        </w:rPr>
        <w:t xml:space="preserve"> Therapy: A Review of Meta-analyses. </w:t>
      </w:r>
      <w:r w:rsidRPr="000E4FE6">
        <w:rPr>
          <w:rFonts w:ascii="Times New Roman" w:hAnsi="Times New Roman" w:cs="Times New Roman"/>
          <w:i/>
          <w:sz w:val="24"/>
          <w:szCs w:val="24"/>
        </w:rPr>
        <w:t>Cognitive Therapy and Research</w:t>
      </w:r>
      <w:r w:rsidRPr="000E4FE6">
        <w:rPr>
          <w:rFonts w:ascii="Times New Roman" w:hAnsi="Times New Roman" w:cs="Times New Roman"/>
          <w:sz w:val="24"/>
          <w:szCs w:val="24"/>
        </w:rPr>
        <w:t>, </w:t>
      </w:r>
      <w:r w:rsidRPr="000E4FE6">
        <w:rPr>
          <w:rFonts w:ascii="Times New Roman" w:hAnsi="Times New Roman" w:cs="Times New Roman"/>
          <w:i/>
          <w:sz w:val="24"/>
          <w:szCs w:val="24"/>
        </w:rPr>
        <w:t>36</w:t>
      </w:r>
      <w:r w:rsidRPr="000E4FE6">
        <w:rPr>
          <w:rFonts w:ascii="Times New Roman" w:hAnsi="Times New Roman" w:cs="Times New Roman"/>
          <w:sz w:val="24"/>
          <w:szCs w:val="24"/>
        </w:rPr>
        <w:t>(5), 427–440. https://doi.org/10.1007/s10608-012-9476-1</w:t>
      </w:r>
    </w:p>
    <w:p w14:paraId="00000D8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Holloway, I., and </w:t>
      </w:r>
      <w:proofErr w:type="spellStart"/>
      <w:r w:rsidRPr="000E4FE6">
        <w:rPr>
          <w:rFonts w:ascii="Times New Roman" w:hAnsi="Times New Roman" w:cs="Times New Roman"/>
          <w:sz w:val="24"/>
          <w:szCs w:val="24"/>
        </w:rPr>
        <w:t>Todres</w:t>
      </w:r>
      <w:proofErr w:type="spellEnd"/>
      <w:r w:rsidRPr="000E4FE6">
        <w:rPr>
          <w:rFonts w:ascii="Times New Roman" w:hAnsi="Times New Roman" w:cs="Times New Roman"/>
          <w:sz w:val="24"/>
          <w:szCs w:val="24"/>
        </w:rPr>
        <w:t>, L. (2003). The status of method: flexibility, consistency and coherence. </w:t>
      </w:r>
      <w:r w:rsidRPr="000E4FE6">
        <w:rPr>
          <w:rFonts w:ascii="Times New Roman" w:hAnsi="Times New Roman" w:cs="Times New Roman"/>
          <w:i/>
          <w:sz w:val="24"/>
          <w:szCs w:val="24"/>
        </w:rPr>
        <w:t>Qualitative Research</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(3), 345–357. https://doi.org/10.1177/1468794103033004</w:t>
      </w:r>
    </w:p>
    <w:p w14:paraId="00000D8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Holmbäck</w:t>
      </w:r>
      <w:proofErr w:type="spellEnd"/>
      <w:r w:rsidRPr="000E4FE6">
        <w:rPr>
          <w:rFonts w:ascii="Times New Roman" w:hAnsi="Times New Roman" w:cs="Times New Roman"/>
          <w:sz w:val="24"/>
          <w:szCs w:val="24"/>
        </w:rPr>
        <w:t xml:space="preserve">, I., Ericson, U., </w:t>
      </w:r>
      <w:proofErr w:type="spellStart"/>
      <w:r w:rsidRPr="000E4FE6">
        <w:rPr>
          <w:rFonts w:ascii="Times New Roman" w:hAnsi="Times New Roman" w:cs="Times New Roman"/>
          <w:sz w:val="24"/>
          <w:szCs w:val="24"/>
        </w:rPr>
        <w:t>Gullberg</w:t>
      </w:r>
      <w:proofErr w:type="spellEnd"/>
      <w:r w:rsidRPr="000E4FE6">
        <w:rPr>
          <w:rFonts w:ascii="Times New Roman" w:hAnsi="Times New Roman" w:cs="Times New Roman"/>
          <w:sz w:val="24"/>
          <w:szCs w:val="24"/>
        </w:rPr>
        <w:t xml:space="preserve">, B., and </w:t>
      </w:r>
      <w:proofErr w:type="spellStart"/>
      <w:r w:rsidRPr="000E4FE6">
        <w:rPr>
          <w:rFonts w:ascii="Times New Roman" w:hAnsi="Times New Roman" w:cs="Times New Roman"/>
          <w:sz w:val="24"/>
          <w:szCs w:val="24"/>
        </w:rPr>
        <w:t>Wirfält</w:t>
      </w:r>
      <w:proofErr w:type="spellEnd"/>
      <w:r w:rsidRPr="000E4FE6">
        <w:rPr>
          <w:rFonts w:ascii="Times New Roman" w:hAnsi="Times New Roman" w:cs="Times New Roman"/>
          <w:sz w:val="24"/>
          <w:szCs w:val="24"/>
        </w:rPr>
        <w:t>, E. (2010). A high eating frequency is associated with an overall healthy lifestyle in middle-aged men and women and reduced likelihood of general and central obesity in men.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104</w:t>
      </w:r>
      <w:r w:rsidRPr="000E4FE6">
        <w:rPr>
          <w:rFonts w:ascii="Times New Roman" w:hAnsi="Times New Roman" w:cs="Times New Roman"/>
          <w:sz w:val="24"/>
          <w:szCs w:val="24"/>
        </w:rPr>
        <w:t>(7), 1065–1073. https://doi.org/10.1017/S0007114510001753</w:t>
      </w:r>
    </w:p>
    <w:p w14:paraId="00000D8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Hopkins, M., Beaulieu, K., Gibbons, C., and Halford, J. C. G. (2015). </w:t>
      </w:r>
      <w:r w:rsidRPr="000E4FE6">
        <w:rPr>
          <w:rFonts w:ascii="Times New Roman" w:hAnsi="Times New Roman" w:cs="Times New Roman"/>
          <w:i/>
          <w:sz w:val="24"/>
          <w:szCs w:val="24"/>
        </w:rPr>
        <w:t>The control of food intake in humans</w:t>
      </w:r>
      <w:r w:rsidRPr="000E4FE6">
        <w:rPr>
          <w:rFonts w:ascii="Times New Roman" w:hAnsi="Times New Roman" w:cs="Times New Roman"/>
          <w:sz w:val="24"/>
          <w:szCs w:val="24"/>
        </w:rPr>
        <w:t>.</w:t>
      </w:r>
    </w:p>
    <w:p w14:paraId="00000D8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Horne, J. A., and </w:t>
      </w:r>
      <w:proofErr w:type="spellStart"/>
      <w:r w:rsidRPr="000E4FE6">
        <w:rPr>
          <w:rFonts w:ascii="Times New Roman" w:hAnsi="Times New Roman" w:cs="Times New Roman"/>
          <w:sz w:val="24"/>
          <w:szCs w:val="24"/>
        </w:rPr>
        <w:t>Ostberg</w:t>
      </w:r>
      <w:proofErr w:type="spellEnd"/>
      <w:r w:rsidRPr="000E4FE6">
        <w:rPr>
          <w:rFonts w:ascii="Times New Roman" w:hAnsi="Times New Roman" w:cs="Times New Roman"/>
          <w:sz w:val="24"/>
          <w:szCs w:val="24"/>
        </w:rPr>
        <w:t xml:space="preserve">, O. (1976). A self-assessment questionnaire to determine </w:t>
      </w:r>
      <w:proofErr w:type="spellStart"/>
      <w:r w:rsidRPr="000E4FE6">
        <w:rPr>
          <w:rFonts w:ascii="Times New Roman" w:hAnsi="Times New Roman" w:cs="Times New Roman"/>
          <w:sz w:val="24"/>
          <w:szCs w:val="24"/>
        </w:rPr>
        <w:t>morningness-eveningness</w:t>
      </w:r>
      <w:proofErr w:type="spellEnd"/>
      <w:r w:rsidRPr="000E4FE6">
        <w:rPr>
          <w:rFonts w:ascii="Times New Roman" w:hAnsi="Times New Roman" w:cs="Times New Roman"/>
          <w:sz w:val="24"/>
          <w:szCs w:val="24"/>
        </w:rPr>
        <w:t xml:space="preserve"> in human circadian rhythms. </w:t>
      </w:r>
      <w:r w:rsidRPr="000E4FE6">
        <w:rPr>
          <w:rFonts w:ascii="Times New Roman" w:hAnsi="Times New Roman" w:cs="Times New Roman"/>
          <w:i/>
          <w:sz w:val="24"/>
          <w:szCs w:val="24"/>
        </w:rPr>
        <w:t>International Journal of Chronobiology</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(2), 97–110.</w:t>
      </w:r>
    </w:p>
    <w:p w14:paraId="00000D8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Howarth, N. C., Huang, T. T. K., Roberts, S. B., Lin, B. H., and McCrory, M. A. (2007). Eating patterns and dietary composition in relation to BMI in younger and older adults.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31</w:t>
      </w:r>
      <w:r w:rsidRPr="000E4FE6">
        <w:rPr>
          <w:rFonts w:ascii="Times New Roman" w:hAnsi="Times New Roman" w:cs="Times New Roman"/>
          <w:sz w:val="24"/>
          <w:szCs w:val="24"/>
        </w:rPr>
        <w:t>(4), 675–684. https://doi.org/10.1038/sj.ijo.0803456</w:t>
      </w:r>
    </w:p>
    <w:p w14:paraId="00000D8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Howden, J. A., Chong, Y. H., Leung, S. F., </w:t>
      </w:r>
      <w:proofErr w:type="spellStart"/>
      <w:r w:rsidRPr="000E4FE6">
        <w:rPr>
          <w:rFonts w:ascii="Times New Roman" w:hAnsi="Times New Roman" w:cs="Times New Roman"/>
          <w:sz w:val="24"/>
          <w:szCs w:val="24"/>
        </w:rPr>
        <w:t>Rabuco</w:t>
      </w:r>
      <w:proofErr w:type="spellEnd"/>
      <w:r w:rsidRPr="000E4FE6">
        <w:rPr>
          <w:rFonts w:ascii="Times New Roman" w:hAnsi="Times New Roman" w:cs="Times New Roman"/>
          <w:sz w:val="24"/>
          <w:szCs w:val="24"/>
        </w:rPr>
        <w:t xml:space="preserve">, L. B., Sakamoto, M., </w:t>
      </w:r>
      <w:proofErr w:type="spellStart"/>
      <w:r w:rsidRPr="000E4FE6">
        <w:rPr>
          <w:rFonts w:ascii="Times New Roman" w:hAnsi="Times New Roman" w:cs="Times New Roman"/>
          <w:sz w:val="24"/>
          <w:szCs w:val="24"/>
        </w:rPr>
        <w:t>Tchai</w:t>
      </w:r>
      <w:proofErr w:type="spellEnd"/>
      <w:r w:rsidRPr="000E4FE6">
        <w:rPr>
          <w:rFonts w:ascii="Times New Roman" w:hAnsi="Times New Roman" w:cs="Times New Roman"/>
          <w:sz w:val="24"/>
          <w:szCs w:val="24"/>
        </w:rPr>
        <w:t>, B. S., … Yap, M. (1993). Breakfast practices in the Asian region. </w:t>
      </w:r>
      <w:r w:rsidRPr="000E4FE6">
        <w:rPr>
          <w:rFonts w:ascii="Times New Roman" w:hAnsi="Times New Roman" w:cs="Times New Roman"/>
          <w:i/>
          <w:sz w:val="24"/>
          <w:szCs w:val="24"/>
        </w:rPr>
        <w:t xml:space="preserve">Asia Pac J Clin </w:t>
      </w:r>
      <w:proofErr w:type="spellStart"/>
      <w:r w:rsidRPr="000E4FE6">
        <w:rPr>
          <w:rFonts w:ascii="Times New Roman" w:hAnsi="Times New Roman" w:cs="Times New Roman"/>
          <w:i/>
          <w:sz w:val="24"/>
          <w:szCs w:val="24"/>
        </w:rPr>
        <w:t>Nutr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w:t>
      </w:r>
      <w:r w:rsidRPr="000E4FE6">
        <w:rPr>
          <w:rFonts w:ascii="Times New Roman" w:hAnsi="Times New Roman" w:cs="Times New Roman"/>
          <w:sz w:val="24"/>
          <w:szCs w:val="24"/>
        </w:rPr>
        <w:t>(2), 77–84.</w:t>
      </w:r>
    </w:p>
    <w:p w14:paraId="00000D8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Hristova</w:t>
      </w:r>
      <w:proofErr w:type="spellEnd"/>
      <w:r w:rsidRPr="000E4FE6">
        <w:rPr>
          <w:rFonts w:ascii="Times New Roman" w:hAnsi="Times New Roman" w:cs="Times New Roman"/>
          <w:sz w:val="24"/>
          <w:szCs w:val="24"/>
        </w:rPr>
        <w:t>, V. (2019). Psychometric properties of the Bulgarian version of the Adult Eating Behaviour Questionnaire. </w:t>
      </w:r>
      <w:r w:rsidRPr="000E4FE6">
        <w:rPr>
          <w:rFonts w:ascii="Times New Roman" w:hAnsi="Times New Roman" w:cs="Times New Roman"/>
          <w:i/>
          <w:sz w:val="24"/>
          <w:szCs w:val="24"/>
        </w:rPr>
        <w:t xml:space="preserve">Int. </w:t>
      </w:r>
      <w:proofErr w:type="spellStart"/>
      <w:r w:rsidRPr="000E4FE6">
        <w:rPr>
          <w:rFonts w:ascii="Times New Roman" w:hAnsi="Times New Roman" w:cs="Times New Roman"/>
          <w:i/>
          <w:sz w:val="24"/>
          <w:szCs w:val="24"/>
        </w:rPr>
        <w:t>Themat</w:t>
      </w:r>
      <w:proofErr w:type="spellEnd"/>
      <w:r w:rsidRPr="000E4FE6">
        <w:rPr>
          <w:rFonts w:ascii="Times New Roman" w:hAnsi="Times New Roman" w:cs="Times New Roman"/>
          <w:i/>
          <w:sz w:val="24"/>
          <w:szCs w:val="24"/>
        </w:rPr>
        <w:t xml:space="preserve"> </w:t>
      </w:r>
      <w:proofErr w:type="spellStart"/>
      <w:r w:rsidRPr="000E4FE6">
        <w:rPr>
          <w:rFonts w:ascii="Times New Roman" w:hAnsi="Times New Roman" w:cs="Times New Roman"/>
          <w:i/>
          <w:sz w:val="24"/>
          <w:szCs w:val="24"/>
        </w:rPr>
        <w:t>Proceedia</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 89–100.</w:t>
      </w:r>
    </w:p>
    <w:p w14:paraId="00000D8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Hruby, A., Manson, J. E., Qi, L., Malik, V. S., </w:t>
      </w:r>
      <w:proofErr w:type="spellStart"/>
      <w:r w:rsidRPr="000E4FE6">
        <w:rPr>
          <w:rFonts w:ascii="Times New Roman" w:hAnsi="Times New Roman" w:cs="Times New Roman"/>
          <w:sz w:val="24"/>
          <w:szCs w:val="24"/>
        </w:rPr>
        <w:t>Rimm</w:t>
      </w:r>
      <w:proofErr w:type="spellEnd"/>
      <w:r w:rsidRPr="000E4FE6">
        <w:rPr>
          <w:rFonts w:ascii="Times New Roman" w:hAnsi="Times New Roman" w:cs="Times New Roman"/>
          <w:sz w:val="24"/>
          <w:szCs w:val="24"/>
        </w:rPr>
        <w:t>, E. B., Sun, Q., … Hu, F. B. (2016). Determinants and consequences of obesity. </w:t>
      </w:r>
      <w:r w:rsidRPr="000E4FE6">
        <w:rPr>
          <w:rFonts w:ascii="Times New Roman" w:hAnsi="Times New Roman" w:cs="Times New Roman"/>
          <w:i/>
          <w:sz w:val="24"/>
          <w:szCs w:val="24"/>
        </w:rPr>
        <w:t>American Journal of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106</w:t>
      </w:r>
      <w:r w:rsidRPr="000E4FE6">
        <w:rPr>
          <w:rFonts w:ascii="Times New Roman" w:hAnsi="Times New Roman" w:cs="Times New Roman"/>
          <w:sz w:val="24"/>
          <w:szCs w:val="24"/>
        </w:rPr>
        <w:t>(9), 1656–1662. https://doi.org/10.2105/AJPH.2016.303326</w:t>
      </w:r>
    </w:p>
    <w:p w14:paraId="00000D8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Hsieh, S. D., Muto, T., </w:t>
      </w:r>
      <w:proofErr w:type="spellStart"/>
      <w:r w:rsidRPr="000E4FE6">
        <w:rPr>
          <w:rFonts w:ascii="Times New Roman" w:hAnsi="Times New Roman" w:cs="Times New Roman"/>
          <w:sz w:val="24"/>
          <w:szCs w:val="24"/>
        </w:rPr>
        <w:t>Murase</w:t>
      </w:r>
      <w:proofErr w:type="spellEnd"/>
      <w:r w:rsidRPr="000E4FE6">
        <w:rPr>
          <w:rFonts w:ascii="Times New Roman" w:hAnsi="Times New Roman" w:cs="Times New Roman"/>
          <w:sz w:val="24"/>
          <w:szCs w:val="24"/>
        </w:rPr>
        <w:t xml:space="preserve">, T., Tsuji, H., and Arase, Y. (2011). Association of short sleep duration with obesity, diabetes, fatty liver and </w:t>
      </w:r>
      <w:proofErr w:type="spellStart"/>
      <w:r w:rsidRPr="000E4FE6">
        <w:rPr>
          <w:rFonts w:ascii="Times New Roman" w:hAnsi="Times New Roman" w:cs="Times New Roman"/>
          <w:sz w:val="24"/>
          <w:szCs w:val="24"/>
        </w:rPr>
        <w:t>behavioral</w:t>
      </w:r>
      <w:proofErr w:type="spellEnd"/>
      <w:r w:rsidRPr="000E4FE6">
        <w:rPr>
          <w:rFonts w:ascii="Times New Roman" w:hAnsi="Times New Roman" w:cs="Times New Roman"/>
          <w:sz w:val="24"/>
          <w:szCs w:val="24"/>
        </w:rPr>
        <w:t xml:space="preserve"> factors in Japanese men. </w:t>
      </w:r>
      <w:r w:rsidRPr="000E4FE6">
        <w:rPr>
          <w:rFonts w:ascii="Times New Roman" w:hAnsi="Times New Roman" w:cs="Times New Roman"/>
          <w:i/>
          <w:sz w:val="24"/>
          <w:szCs w:val="24"/>
        </w:rPr>
        <w:t>Internal Medicine</w:t>
      </w:r>
      <w:r w:rsidRPr="000E4FE6">
        <w:rPr>
          <w:rFonts w:ascii="Times New Roman" w:hAnsi="Times New Roman" w:cs="Times New Roman"/>
          <w:sz w:val="24"/>
          <w:szCs w:val="24"/>
        </w:rPr>
        <w:t>, </w:t>
      </w:r>
      <w:r w:rsidRPr="000E4FE6">
        <w:rPr>
          <w:rFonts w:ascii="Times New Roman" w:hAnsi="Times New Roman" w:cs="Times New Roman"/>
          <w:i/>
          <w:sz w:val="24"/>
          <w:szCs w:val="24"/>
        </w:rPr>
        <w:t>50</w:t>
      </w:r>
      <w:r w:rsidRPr="000E4FE6">
        <w:rPr>
          <w:rFonts w:ascii="Times New Roman" w:hAnsi="Times New Roman" w:cs="Times New Roman"/>
          <w:sz w:val="24"/>
          <w:szCs w:val="24"/>
        </w:rPr>
        <w:t>(21), 2499–2502. https://doi.org/10.2169/internalmedicine.50.5844</w:t>
      </w:r>
    </w:p>
    <w:p w14:paraId="00000D9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Huang, L., Chen, Y., Wen, S., Lu, D., Shen, X., Deng, H., and Xu, L. (2023). Is time-restricted eating (8/16) beneficial for body weight and metabolism of obese and overweight adults? A systematic review and meta-analysis of randomized controlled trials. </w:t>
      </w:r>
      <w:r w:rsidRPr="000E4FE6">
        <w:rPr>
          <w:rFonts w:ascii="Times New Roman" w:hAnsi="Times New Roman" w:cs="Times New Roman"/>
          <w:i/>
          <w:sz w:val="24"/>
          <w:szCs w:val="24"/>
        </w:rPr>
        <w:t>Food Science &amp;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(3), 1187–1200. https://doi.org/10.1002/fsn3.3194</w:t>
      </w:r>
    </w:p>
    <w:p w14:paraId="00000D9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Huang, T. T.-K., Roberts, S. B., Howarth, N. C., and McCrory, M. A. (2005). Effect of screening out implausible energy intake reports on relationships between diet and BMI. </w:t>
      </w:r>
      <w:r w:rsidRPr="000E4FE6">
        <w:rPr>
          <w:rFonts w:ascii="Times New Roman" w:hAnsi="Times New Roman" w:cs="Times New Roman"/>
          <w:i/>
          <w:sz w:val="24"/>
          <w:szCs w:val="24"/>
        </w:rPr>
        <w:t>Obesity Research</w:t>
      </w:r>
      <w:r w:rsidRPr="000E4FE6">
        <w:rPr>
          <w:rFonts w:ascii="Times New Roman" w:hAnsi="Times New Roman" w:cs="Times New Roman"/>
          <w:sz w:val="24"/>
          <w:szCs w:val="24"/>
        </w:rPr>
        <w:t>, </w:t>
      </w:r>
      <w:r w:rsidRPr="000E4FE6">
        <w:rPr>
          <w:rFonts w:ascii="Times New Roman" w:hAnsi="Times New Roman" w:cs="Times New Roman"/>
          <w:i/>
          <w:sz w:val="24"/>
          <w:szCs w:val="24"/>
        </w:rPr>
        <w:t>13</w:t>
      </w:r>
      <w:r w:rsidRPr="000E4FE6">
        <w:rPr>
          <w:rFonts w:ascii="Times New Roman" w:hAnsi="Times New Roman" w:cs="Times New Roman"/>
          <w:sz w:val="24"/>
          <w:szCs w:val="24"/>
        </w:rPr>
        <w:t>(7), 1205–1217. https://doi.org/10.1038/oby.2005.143</w:t>
      </w:r>
    </w:p>
    <w:p w14:paraId="00000D9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Huh, J., </w:t>
      </w:r>
      <w:proofErr w:type="spellStart"/>
      <w:r w:rsidRPr="000E4FE6">
        <w:rPr>
          <w:rFonts w:ascii="Times New Roman" w:hAnsi="Times New Roman" w:cs="Times New Roman"/>
          <w:sz w:val="24"/>
          <w:szCs w:val="24"/>
        </w:rPr>
        <w:t>Shiyko</w:t>
      </w:r>
      <w:proofErr w:type="spellEnd"/>
      <w:r w:rsidRPr="000E4FE6">
        <w:rPr>
          <w:rFonts w:ascii="Times New Roman" w:hAnsi="Times New Roman" w:cs="Times New Roman"/>
          <w:sz w:val="24"/>
          <w:szCs w:val="24"/>
        </w:rPr>
        <w:t xml:space="preserve">, M., Keller, S., Dunton, G., and </w:t>
      </w:r>
      <w:proofErr w:type="spellStart"/>
      <w:r w:rsidRPr="000E4FE6">
        <w:rPr>
          <w:rFonts w:ascii="Times New Roman" w:hAnsi="Times New Roman" w:cs="Times New Roman"/>
          <w:sz w:val="24"/>
          <w:szCs w:val="24"/>
        </w:rPr>
        <w:t>Schembre</w:t>
      </w:r>
      <w:proofErr w:type="spellEnd"/>
      <w:r w:rsidRPr="000E4FE6">
        <w:rPr>
          <w:rFonts w:ascii="Times New Roman" w:hAnsi="Times New Roman" w:cs="Times New Roman"/>
          <w:sz w:val="24"/>
          <w:szCs w:val="24"/>
        </w:rPr>
        <w:t>, S. M. (2015). The time-varying association between perceived stress and hunger within and between days.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89</w:t>
      </w:r>
      <w:r w:rsidRPr="000E4FE6">
        <w:rPr>
          <w:rFonts w:ascii="Times New Roman" w:hAnsi="Times New Roman" w:cs="Times New Roman"/>
          <w:sz w:val="24"/>
          <w:szCs w:val="24"/>
        </w:rPr>
        <w:t>, 145–151. https://doi.org/10.1016/j.appet.2015.02.001</w:t>
      </w:r>
    </w:p>
    <w:p w14:paraId="00000D93"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proofErr w:type="spellStart"/>
      <w:r w:rsidRPr="000E4FE6">
        <w:rPr>
          <w:rFonts w:ascii="Times New Roman" w:hAnsi="Times New Roman" w:cs="Times New Roman"/>
          <w:sz w:val="24"/>
          <w:szCs w:val="24"/>
        </w:rPr>
        <w:t>Hunot</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Fildes</w:t>
      </w:r>
      <w:proofErr w:type="spellEnd"/>
      <w:r w:rsidRPr="000E4FE6">
        <w:rPr>
          <w:rFonts w:ascii="Times New Roman" w:hAnsi="Times New Roman" w:cs="Times New Roman"/>
          <w:sz w:val="24"/>
          <w:szCs w:val="24"/>
        </w:rPr>
        <w:t xml:space="preserve">, A., Croker, H., Llewellyn, C. H., Wardle, J., and </w:t>
      </w:r>
      <w:proofErr w:type="spellStart"/>
      <w:r w:rsidRPr="000E4FE6">
        <w:rPr>
          <w:rFonts w:ascii="Times New Roman" w:hAnsi="Times New Roman" w:cs="Times New Roman"/>
          <w:sz w:val="24"/>
          <w:szCs w:val="24"/>
        </w:rPr>
        <w:t>Beeken</w:t>
      </w:r>
      <w:proofErr w:type="spellEnd"/>
      <w:r w:rsidRPr="000E4FE6">
        <w:rPr>
          <w:rFonts w:ascii="Times New Roman" w:hAnsi="Times New Roman" w:cs="Times New Roman"/>
          <w:sz w:val="24"/>
          <w:szCs w:val="24"/>
        </w:rPr>
        <w:t>, R. J. (2016). Appetitive traits and relationships with BMI in adults: Development of the Adult Eating Behaviour Questionnaire. </w:t>
      </w:r>
      <w:proofErr w:type="spellStart"/>
      <w:r w:rsidRPr="000E4FE6">
        <w:rPr>
          <w:rFonts w:ascii="Times New Roman" w:hAnsi="Times New Roman" w:cs="Times New Roman"/>
          <w:i/>
          <w:sz w:val="24"/>
          <w:szCs w:val="24"/>
          <w:lang w:val="es-ES_tradnl"/>
        </w:rPr>
        <w:t>Appetite</w:t>
      </w:r>
      <w:proofErr w:type="spellEnd"/>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105</w:t>
      </w:r>
      <w:r w:rsidRPr="000E4FE6">
        <w:rPr>
          <w:rFonts w:ascii="Times New Roman" w:hAnsi="Times New Roman" w:cs="Times New Roman"/>
          <w:sz w:val="24"/>
          <w:szCs w:val="24"/>
          <w:lang w:val="es-ES_tradnl"/>
        </w:rPr>
        <w:t>, 356–363. https://doi.org/10.1016/j.appet.2016.05.024</w:t>
      </w:r>
    </w:p>
    <w:p w14:paraId="00000D9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lang w:val="es-ES_tradnl"/>
        </w:rPr>
        <w:t>Hunot</w:t>
      </w:r>
      <w:proofErr w:type="spellEnd"/>
      <w:r w:rsidRPr="000E4FE6">
        <w:rPr>
          <w:rFonts w:ascii="Times New Roman" w:hAnsi="Times New Roman" w:cs="Times New Roman"/>
          <w:sz w:val="24"/>
          <w:szCs w:val="24"/>
          <w:lang w:val="es-ES_tradnl"/>
        </w:rPr>
        <w:t xml:space="preserve">-Alexander, C., Arellano-Gómez, L. P., Smith, A. D., </w:t>
      </w:r>
      <w:proofErr w:type="spellStart"/>
      <w:r w:rsidRPr="000E4FE6">
        <w:rPr>
          <w:rFonts w:ascii="Times New Roman" w:hAnsi="Times New Roman" w:cs="Times New Roman"/>
          <w:sz w:val="24"/>
          <w:szCs w:val="24"/>
          <w:lang w:val="es-ES_tradnl"/>
        </w:rPr>
        <w:t>Kaufer</w:t>
      </w:r>
      <w:proofErr w:type="spellEnd"/>
      <w:r w:rsidRPr="000E4FE6">
        <w:rPr>
          <w:rFonts w:ascii="Times New Roman" w:hAnsi="Times New Roman" w:cs="Times New Roman"/>
          <w:sz w:val="24"/>
          <w:szCs w:val="24"/>
          <w:lang w:val="es-ES_tradnl"/>
        </w:rPr>
        <w:t xml:space="preserve">-Horwitz, M., Vásquez-Garibay, E. M., Romero-Velarde, E., … </w:t>
      </w:r>
      <w:proofErr w:type="spellStart"/>
      <w:r w:rsidRPr="000E4FE6">
        <w:rPr>
          <w:rFonts w:ascii="Times New Roman" w:hAnsi="Times New Roman" w:cs="Times New Roman"/>
          <w:sz w:val="24"/>
          <w:szCs w:val="24"/>
        </w:rPr>
        <w:t>Beeken</w:t>
      </w:r>
      <w:proofErr w:type="spellEnd"/>
      <w:r w:rsidRPr="000E4FE6">
        <w:rPr>
          <w:rFonts w:ascii="Times New Roman" w:hAnsi="Times New Roman" w:cs="Times New Roman"/>
          <w:sz w:val="24"/>
          <w:szCs w:val="24"/>
        </w:rPr>
        <w:t>, R. J. (2022). Examining the validity and consistency of the Adult Eating Behaviour Questionnaire-</w:t>
      </w:r>
      <w:proofErr w:type="spellStart"/>
      <w:r w:rsidRPr="000E4FE6">
        <w:rPr>
          <w:rFonts w:ascii="Times New Roman" w:hAnsi="Times New Roman" w:cs="Times New Roman"/>
          <w:sz w:val="24"/>
          <w:szCs w:val="24"/>
        </w:rPr>
        <w:t>Español</w:t>
      </w:r>
      <w:proofErr w:type="spellEnd"/>
      <w:r w:rsidRPr="000E4FE6">
        <w:rPr>
          <w:rFonts w:ascii="Times New Roman" w:hAnsi="Times New Roman" w:cs="Times New Roman"/>
          <w:sz w:val="24"/>
          <w:szCs w:val="24"/>
        </w:rPr>
        <w:t xml:space="preserve"> (AEBQ-</w:t>
      </w:r>
      <w:proofErr w:type="spellStart"/>
      <w:r w:rsidRPr="000E4FE6">
        <w:rPr>
          <w:rFonts w:ascii="Times New Roman" w:hAnsi="Times New Roman" w:cs="Times New Roman"/>
          <w:sz w:val="24"/>
          <w:szCs w:val="24"/>
        </w:rPr>
        <w:t>Esp</w:t>
      </w:r>
      <w:proofErr w:type="spellEnd"/>
      <w:r w:rsidRPr="000E4FE6">
        <w:rPr>
          <w:rFonts w:ascii="Times New Roman" w:hAnsi="Times New Roman" w:cs="Times New Roman"/>
          <w:sz w:val="24"/>
          <w:szCs w:val="24"/>
        </w:rPr>
        <w:t xml:space="preserve">) </w:t>
      </w:r>
      <w:r w:rsidRPr="000E4FE6">
        <w:rPr>
          <w:rFonts w:ascii="Times New Roman" w:hAnsi="Times New Roman" w:cs="Times New Roman"/>
          <w:sz w:val="24"/>
          <w:szCs w:val="24"/>
        </w:rPr>
        <w:lastRenderedPageBreak/>
        <w:t>and its relationship to BMI in a Mexican population. </w:t>
      </w:r>
      <w:r w:rsidRPr="000E4FE6">
        <w:rPr>
          <w:rFonts w:ascii="Times New Roman" w:hAnsi="Times New Roman" w:cs="Times New Roman"/>
          <w:i/>
          <w:sz w:val="24"/>
          <w:szCs w:val="24"/>
        </w:rPr>
        <w:t>Eating and Weight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(2), 651–663. https://doi.org/10.1007/s40519-021-01201-9</w:t>
      </w:r>
    </w:p>
    <w:p w14:paraId="00000D9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Hutchison, A. T., </w:t>
      </w:r>
      <w:proofErr w:type="spellStart"/>
      <w:r w:rsidRPr="000E4FE6">
        <w:rPr>
          <w:rFonts w:ascii="Times New Roman" w:hAnsi="Times New Roman" w:cs="Times New Roman"/>
          <w:sz w:val="24"/>
          <w:szCs w:val="24"/>
        </w:rPr>
        <w:t>Regmi</w:t>
      </w:r>
      <w:proofErr w:type="spellEnd"/>
      <w:r w:rsidRPr="000E4FE6">
        <w:rPr>
          <w:rFonts w:ascii="Times New Roman" w:hAnsi="Times New Roman" w:cs="Times New Roman"/>
          <w:sz w:val="24"/>
          <w:szCs w:val="24"/>
        </w:rPr>
        <w:t xml:space="preserve">, P., Manoogian, E. N. C., Fleischer, J. G., </w:t>
      </w:r>
      <w:proofErr w:type="spellStart"/>
      <w:r w:rsidRPr="000E4FE6">
        <w:rPr>
          <w:rFonts w:ascii="Times New Roman" w:hAnsi="Times New Roman" w:cs="Times New Roman"/>
          <w:sz w:val="24"/>
          <w:szCs w:val="24"/>
        </w:rPr>
        <w:t>Wittert</w:t>
      </w:r>
      <w:proofErr w:type="spellEnd"/>
      <w:r w:rsidRPr="000E4FE6">
        <w:rPr>
          <w:rFonts w:ascii="Times New Roman" w:hAnsi="Times New Roman" w:cs="Times New Roman"/>
          <w:sz w:val="24"/>
          <w:szCs w:val="24"/>
        </w:rPr>
        <w:t>, G. A., Panda, S., and Heilbronn, L. K. (2019). Time-Restricted Feeding Improves Glucose Tolerance in Men at Risk for Type 2 Diabetes: A Randomized Crossover Trial.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(5), 724–732. https://doi.org/10.1002/oby.22449</w:t>
      </w:r>
    </w:p>
    <w:p w14:paraId="00000D9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Hwalla</w:t>
      </w:r>
      <w:proofErr w:type="spellEnd"/>
      <w:r w:rsidRPr="000E4FE6">
        <w:rPr>
          <w:rFonts w:ascii="Times New Roman" w:hAnsi="Times New Roman" w:cs="Times New Roman"/>
          <w:sz w:val="24"/>
          <w:szCs w:val="24"/>
        </w:rPr>
        <w:t>, N., and Jaafar, Z. (2020). Dietary management of obesity: A review of the evidence. </w:t>
      </w:r>
      <w:r w:rsidRPr="000E4FE6">
        <w:rPr>
          <w:rFonts w:ascii="Times New Roman" w:hAnsi="Times New Roman" w:cs="Times New Roman"/>
          <w:i/>
          <w:sz w:val="24"/>
          <w:szCs w:val="24"/>
        </w:rPr>
        <w:t>Diagnostics (Basel)</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(1). https://doi.org/10.3390/diagnostics11010024</w:t>
      </w:r>
    </w:p>
    <w:p w14:paraId="00000D9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Illner</w:t>
      </w:r>
      <w:proofErr w:type="spellEnd"/>
      <w:r w:rsidRPr="000E4FE6">
        <w:rPr>
          <w:rFonts w:ascii="Times New Roman" w:hAnsi="Times New Roman" w:cs="Times New Roman"/>
          <w:sz w:val="24"/>
          <w:szCs w:val="24"/>
        </w:rPr>
        <w:t xml:space="preserve">, A. K., </w:t>
      </w:r>
      <w:proofErr w:type="spellStart"/>
      <w:r w:rsidRPr="000E4FE6">
        <w:rPr>
          <w:rFonts w:ascii="Times New Roman" w:hAnsi="Times New Roman" w:cs="Times New Roman"/>
          <w:sz w:val="24"/>
          <w:szCs w:val="24"/>
        </w:rPr>
        <w:t>Freisling</w:t>
      </w:r>
      <w:proofErr w:type="spellEnd"/>
      <w:r w:rsidRPr="000E4FE6">
        <w:rPr>
          <w:rFonts w:ascii="Times New Roman" w:hAnsi="Times New Roman" w:cs="Times New Roman"/>
          <w:sz w:val="24"/>
          <w:szCs w:val="24"/>
        </w:rPr>
        <w:t xml:space="preserve">, H., Boeing, H., Huybrechts, I., </w:t>
      </w:r>
      <w:proofErr w:type="spellStart"/>
      <w:r w:rsidRPr="000E4FE6">
        <w:rPr>
          <w:rFonts w:ascii="Times New Roman" w:hAnsi="Times New Roman" w:cs="Times New Roman"/>
          <w:sz w:val="24"/>
          <w:szCs w:val="24"/>
        </w:rPr>
        <w:t>Crispim</w:t>
      </w:r>
      <w:proofErr w:type="spellEnd"/>
      <w:r w:rsidRPr="000E4FE6">
        <w:rPr>
          <w:rFonts w:ascii="Times New Roman" w:hAnsi="Times New Roman" w:cs="Times New Roman"/>
          <w:sz w:val="24"/>
          <w:szCs w:val="24"/>
        </w:rPr>
        <w:t>, S. P., and Slimani, N. (2012). Review and evaluation of innovative technologies for measuring diet in nutritional epidemiology. </w:t>
      </w:r>
      <w:r w:rsidRPr="000E4FE6">
        <w:rPr>
          <w:rFonts w:ascii="Times New Roman" w:hAnsi="Times New Roman" w:cs="Times New Roman"/>
          <w:i/>
          <w:sz w:val="24"/>
          <w:szCs w:val="24"/>
        </w:rPr>
        <w:t>International Journal of Epidemiology</w:t>
      </w:r>
      <w:r w:rsidRPr="000E4FE6">
        <w:rPr>
          <w:rFonts w:ascii="Times New Roman" w:hAnsi="Times New Roman" w:cs="Times New Roman"/>
          <w:sz w:val="24"/>
          <w:szCs w:val="24"/>
        </w:rPr>
        <w:t>, </w:t>
      </w:r>
      <w:r w:rsidRPr="000E4FE6">
        <w:rPr>
          <w:rFonts w:ascii="Times New Roman" w:hAnsi="Times New Roman" w:cs="Times New Roman"/>
          <w:i/>
          <w:sz w:val="24"/>
          <w:szCs w:val="24"/>
        </w:rPr>
        <w:t>41</w:t>
      </w:r>
      <w:r w:rsidRPr="000E4FE6">
        <w:rPr>
          <w:rFonts w:ascii="Times New Roman" w:hAnsi="Times New Roman" w:cs="Times New Roman"/>
          <w:sz w:val="24"/>
          <w:szCs w:val="24"/>
        </w:rPr>
        <w:t>(4), 1187–1203. https://doi.org/10.1093/ije/dys105</w:t>
      </w:r>
    </w:p>
    <w:p w14:paraId="00000D9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Irala-Estévez</w:t>
      </w:r>
      <w:proofErr w:type="spellEnd"/>
      <w:r w:rsidRPr="000E4FE6">
        <w:rPr>
          <w:rFonts w:ascii="Times New Roman" w:hAnsi="Times New Roman" w:cs="Times New Roman"/>
          <w:sz w:val="24"/>
          <w:szCs w:val="24"/>
        </w:rPr>
        <w:t xml:space="preserve">, J. D., </w:t>
      </w:r>
      <w:proofErr w:type="spellStart"/>
      <w:r w:rsidRPr="000E4FE6">
        <w:rPr>
          <w:rFonts w:ascii="Times New Roman" w:hAnsi="Times New Roman" w:cs="Times New Roman"/>
          <w:sz w:val="24"/>
          <w:szCs w:val="24"/>
        </w:rPr>
        <w:t>Groth</w:t>
      </w:r>
      <w:proofErr w:type="spellEnd"/>
      <w:r w:rsidRPr="000E4FE6">
        <w:rPr>
          <w:rFonts w:ascii="Times New Roman" w:hAnsi="Times New Roman" w:cs="Times New Roman"/>
          <w:sz w:val="24"/>
          <w:szCs w:val="24"/>
        </w:rPr>
        <w:t xml:space="preserve">, M., Johansson, L., </w:t>
      </w:r>
      <w:proofErr w:type="spellStart"/>
      <w:r w:rsidRPr="000E4FE6">
        <w:rPr>
          <w:rFonts w:ascii="Times New Roman" w:hAnsi="Times New Roman" w:cs="Times New Roman"/>
          <w:sz w:val="24"/>
          <w:szCs w:val="24"/>
        </w:rPr>
        <w:t>Oltersdorf</w:t>
      </w:r>
      <w:proofErr w:type="spellEnd"/>
      <w:r w:rsidRPr="000E4FE6">
        <w:rPr>
          <w:rFonts w:ascii="Times New Roman" w:hAnsi="Times New Roman" w:cs="Times New Roman"/>
          <w:sz w:val="24"/>
          <w:szCs w:val="24"/>
        </w:rPr>
        <w:t xml:space="preserve">, U., </w:t>
      </w:r>
      <w:proofErr w:type="spellStart"/>
      <w:r w:rsidRPr="000E4FE6">
        <w:rPr>
          <w:rFonts w:ascii="Times New Roman" w:hAnsi="Times New Roman" w:cs="Times New Roman"/>
          <w:sz w:val="24"/>
          <w:szCs w:val="24"/>
        </w:rPr>
        <w:t>Prättälä</w:t>
      </w:r>
      <w:proofErr w:type="spellEnd"/>
      <w:r w:rsidRPr="000E4FE6">
        <w:rPr>
          <w:rFonts w:ascii="Times New Roman" w:hAnsi="Times New Roman" w:cs="Times New Roman"/>
          <w:sz w:val="24"/>
          <w:szCs w:val="24"/>
        </w:rPr>
        <w:t>, R., and Martínez-González, M. A. (2000). A systematic review of socio-economic differences in food habits in Europe: consumption of fruit and vegetables. </w:t>
      </w:r>
      <w:r w:rsidRPr="000E4FE6">
        <w:rPr>
          <w:rFonts w:ascii="Times New Roman" w:hAnsi="Times New Roman" w:cs="Times New Roman"/>
          <w:i/>
          <w:sz w:val="24"/>
          <w:szCs w:val="24"/>
        </w:rPr>
        <w:t>European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54</w:t>
      </w:r>
      <w:r w:rsidRPr="000E4FE6">
        <w:rPr>
          <w:rFonts w:ascii="Times New Roman" w:hAnsi="Times New Roman" w:cs="Times New Roman"/>
          <w:sz w:val="24"/>
          <w:szCs w:val="24"/>
        </w:rPr>
        <w:t>(9), 706–714.</w:t>
      </w:r>
    </w:p>
    <w:p w14:paraId="00000D9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Itzhacki</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Te</w:t>
      </w:r>
      <w:proofErr w:type="spellEnd"/>
      <w:r w:rsidRPr="000E4FE6">
        <w:rPr>
          <w:rFonts w:ascii="Times New Roman" w:hAnsi="Times New Roman" w:cs="Times New Roman"/>
          <w:sz w:val="24"/>
          <w:szCs w:val="24"/>
        </w:rPr>
        <w:t xml:space="preserve"> </w:t>
      </w:r>
      <w:proofErr w:type="spellStart"/>
      <w:r w:rsidRPr="000E4FE6">
        <w:rPr>
          <w:rFonts w:ascii="Times New Roman" w:hAnsi="Times New Roman" w:cs="Times New Roman"/>
          <w:sz w:val="24"/>
          <w:szCs w:val="24"/>
        </w:rPr>
        <w:t>Lindert</w:t>
      </w:r>
      <w:proofErr w:type="spellEnd"/>
      <w:r w:rsidRPr="000E4FE6">
        <w:rPr>
          <w:rFonts w:ascii="Times New Roman" w:hAnsi="Times New Roman" w:cs="Times New Roman"/>
          <w:sz w:val="24"/>
          <w:szCs w:val="24"/>
        </w:rPr>
        <w:t xml:space="preserve">, B. H. W., van der </w:t>
      </w:r>
      <w:proofErr w:type="spellStart"/>
      <w:r w:rsidRPr="000E4FE6">
        <w:rPr>
          <w:rFonts w:ascii="Times New Roman" w:hAnsi="Times New Roman" w:cs="Times New Roman"/>
          <w:sz w:val="24"/>
          <w:szCs w:val="24"/>
        </w:rPr>
        <w:t>Meijden</w:t>
      </w:r>
      <w:proofErr w:type="spellEnd"/>
      <w:r w:rsidRPr="000E4FE6">
        <w:rPr>
          <w:rFonts w:ascii="Times New Roman" w:hAnsi="Times New Roman" w:cs="Times New Roman"/>
          <w:sz w:val="24"/>
          <w:szCs w:val="24"/>
        </w:rPr>
        <w:t xml:space="preserve">, W. P., </w:t>
      </w:r>
      <w:proofErr w:type="spellStart"/>
      <w:r w:rsidRPr="000E4FE6">
        <w:rPr>
          <w:rFonts w:ascii="Times New Roman" w:hAnsi="Times New Roman" w:cs="Times New Roman"/>
          <w:sz w:val="24"/>
          <w:szCs w:val="24"/>
        </w:rPr>
        <w:t>Kringelbach</w:t>
      </w:r>
      <w:proofErr w:type="spellEnd"/>
      <w:r w:rsidRPr="000E4FE6">
        <w:rPr>
          <w:rFonts w:ascii="Times New Roman" w:hAnsi="Times New Roman" w:cs="Times New Roman"/>
          <w:sz w:val="24"/>
          <w:szCs w:val="24"/>
        </w:rPr>
        <w:t xml:space="preserve">, M. L., Mendoza, J., and Van </w:t>
      </w:r>
      <w:proofErr w:type="spellStart"/>
      <w:r w:rsidRPr="000E4FE6">
        <w:rPr>
          <w:rFonts w:ascii="Times New Roman" w:hAnsi="Times New Roman" w:cs="Times New Roman"/>
          <w:sz w:val="24"/>
          <w:szCs w:val="24"/>
        </w:rPr>
        <w:t>Someren</w:t>
      </w:r>
      <w:proofErr w:type="spellEnd"/>
      <w:r w:rsidRPr="000E4FE6">
        <w:rPr>
          <w:rFonts w:ascii="Times New Roman" w:hAnsi="Times New Roman" w:cs="Times New Roman"/>
          <w:sz w:val="24"/>
          <w:szCs w:val="24"/>
        </w:rPr>
        <w:t>, E. J. W. (2019). Environmental light and time of day modulate subjective liking and wanting. </w:t>
      </w:r>
      <w:r w:rsidRPr="000E4FE6">
        <w:rPr>
          <w:rFonts w:ascii="Times New Roman" w:hAnsi="Times New Roman" w:cs="Times New Roman"/>
          <w:i/>
          <w:sz w:val="24"/>
          <w:szCs w:val="24"/>
        </w:rPr>
        <w:t>Emotion</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(1), 10–20. https://doi.org/10.1037/emo0000402</w:t>
      </w:r>
    </w:p>
    <w:p w14:paraId="00000D9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Jabs, J., and Devine, C. M. (2006). Time scarcity and food choices: an overview.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47</w:t>
      </w:r>
      <w:r w:rsidRPr="000E4FE6">
        <w:rPr>
          <w:rFonts w:ascii="Times New Roman" w:hAnsi="Times New Roman" w:cs="Times New Roman"/>
          <w:sz w:val="24"/>
          <w:szCs w:val="24"/>
        </w:rPr>
        <w:t>(2), 196–204. https://doi.org/10.1016/j.appet.2006.02.014</w:t>
      </w:r>
    </w:p>
    <w:p w14:paraId="00000D9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Jabs, J., Devine, C. M., </w:t>
      </w:r>
      <w:proofErr w:type="spellStart"/>
      <w:r w:rsidRPr="000E4FE6">
        <w:rPr>
          <w:rFonts w:ascii="Times New Roman" w:hAnsi="Times New Roman" w:cs="Times New Roman"/>
          <w:sz w:val="24"/>
          <w:szCs w:val="24"/>
        </w:rPr>
        <w:t>Bisogni</w:t>
      </w:r>
      <w:proofErr w:type="spellEnd"/>
      <w:r w:rsidRPr="000E4FE6">
        <w:rPr>
          <w:rFonts w:ascii="Times New Roman" w:hAnsi="Times New Roman" w:cs="Times New Roman"/>
          <w:sz w:val="24"/>
          <w:szCs w:val="24"/>
        </w:rPr>
        <w:t xml:space="preserve">, C. A., Farrell, T. J., </w:t>
      </w:r>
      <w:proofErr w:type="spellStart"/>
      <w:r w:rsidRPr="000E4FE6">
        <w:rPr>
          <w:rFonts w:ascii="Times New Roman" w:hAnsi="Times New Roman" w:cs="Times New Roman"/>
          <w:sz w:val="24"/>
          <w:szCs w:val="24"/>
        </w:rPr>
        <w:t>Jastran</w:t>
      </w:r>
      <w:proofErr w:type="spellEnd"/>
      <w:r w:rsidRPr="000E4FE6">
        <w:rPr>
          <w:rFonts w:ascii="Times New Roman" w:hAnsi="Times New Roman" w:cs="Times New Roman"/>
          <w:sz w:val="24"/>
          <w:szCs w:val="24"/>
        </w:rPr>
        <w:t xml:space="preserve">, M., and Wethington, E. (2007). Trying to find the quickest way: employed mothers’ constructions of time for </w:t>
      </w:r>
      <w:r w:rsidRPr="000E4FE6">
        <w:rPr>
          <w:rFonts w:ascii="Times New Roman" w:hAnsi="Times New Roman" w:cs="Times New Roman"/>
          <w:sz w:val="24"/>
          <w:szCs w:val="24"/>
        </w:rPr>
        <w:lastRenderedPageBreak/>
        <w:t>food. </w:t>
      </w:r>
      <w:r w:rsidRPr="000E4FE6">
        <w:rPr>
          <w:rFonts w:ascii="Times New Roman" w:hAnsi="Times New Roman" w:cs="Times New Roman"/>
          <w:i/>
          <w:sz w:val="24"/>
          <w:szCs w:val="24"/>
        </w:rPr>
        <w:t xml:space="preserve">Journal of Nutrition Education and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39</w:t>
      </w:r>
      <w:r w:rsidRPr="000E4FE6">
        <w:rPr>
          <w:rFonts w:ascii="Times New Roman" w:hAnsi="Times New Roman" w:cs="Times New Roman"/>
          <w:sz w:val="24"/>
          <w:szCs w:val="24"/>
        </w:rPr>
        <w:t>(1), 18–25. https://doi.org/10.1016/j.jneb.2006.08.011</w:t>
      </w:r>
    </w:p>
    <w:p w14:paraId="00000D9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Jacob, R., Drapeau, V., Tremblay, A., Provencher, V., Bouchard, C., and </w:t>
      </w:r>
      <w:proofErr w:type="spellStart"/>
      <w:r w:rsidRPr="000E4FE6">
        <w:rPr>
          <w:rFonts w:ascii="Times New Roman" w:hAnsi="Times New Roman" w:cs="Times New Roman"/>
          <w:sz w:val="24"/>
          <w:szCs w:val="24"/>
        </w:rPr>
        <w:t>Pérusse</w:t>
      </w:r>
      <w:proofErr w:type="spellEnd"/>
      <w:r w:rsidRPr="000E4FE6">
        <w:rPr>
          <w:rFonts w:ascii="Times New Roman" w:hAnsi="Times New Roman" w:cs="Times New Roman"/>
          <w:sz w:val="24"/>
          <w:szCs w:val="24"/>
        </w:rPr>
        <w:t xml:space="preserve">, L. (2018). The role of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traits in mediating genetic susceptibility to obesity.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108</w:t>
      </w:r>
      <w:r w:rsidRPr="000E4FE6">
        <w:rPr>
          <w:rFonts w:ascii="Times New Roman" w:hAnsi="Times New Roman" w:cs="Times New Roman"/>
          <w:sz w:val="24"/>
          <w:szCs w:val="24"/>
        </w:rPr>
        <w:t>(3), 445–452. https://doi.org/10.1093/ajcn/nqy130</w:t>
      </w:r>
    </w:p>
    <w:p w14:paraId="00000D9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Jacob, R., Tremblay, A., </w:t>
      </w:r>
      <w:proofErr w:type="spellStart"/>
      <w:r w:rsidRPr="000E4FE6">
        <w:rPr>
          <w:rFonts w:ascii="Times New Roman" w:hAnsi="Times New Roman" w:cs="Times New Roman"/>
          <w:sz w:val="24"/>
          <w:szCs w:val="24"/>
        </w:rPr>
        <w:t>Fildes</w:t>
      </w:r>
      <w:proofErr w:type="spellEnd"/>
      <w:r w:rsidRPr="000E4FE6">
        <w:rPr>
          <w:rFonts w:ascii="Times New Roman" w:hAnsi="Times New Roman" w:cs="Times New Roman"/>
          <w:sz w:val="24"/>
          <w:szCs w:val="24"/>
        </w:rPr>
        <w:t xml:space="preserve">, A., Llewellyn, C., </w:t>
      </w:r>
      <w:proofErr w:type="spellStart"/>
      <w:r w:rsidRPr="000E4FE6">
        <w:rPr>
          <w:rFonts w:ascii="Times New Roman" w:hAnsi="Times New Roman" w:cs="Times New Roman"/>
          <w:sz w:val="24"/>
          <w:szCs w:val="24"/>
        </w:rPr>
        <w:t>Beeken</w:t>
      </w:r>
      <w:proofErr w:type="spellEnd"/>
      <w:r w:rsidRPr="000E4FE6">
        <w:rPr>
          <w:rFonts w:ascii="Times New Roman" w:hAnsi="Times New Roman" w:cs="Times New Roman"/>
          <w:sz w:val="24"/>
          <w:szCs w:val="24"/>
        </w:rPr>
        <w:t>, R. J., Panahi, S., … Drapeau, V. (2022). Validation of the Adult Eating Behaviour Questionnaire adapted for the French-speaking Canadian population. </w:t>
      </w:r>
      <w:r w:rsidRPr="000E4FE6">
        <w:rPr>
          <w:rFonts w:ascii="Times New Roman" w:hAnsi="Times New Roman" w:cs="Times New Roman"/>
          <w:i/>
          <w:sz w:val="24"/>
          <w:szCs w:val="24"/>
        </w:rPr>
        <w:t>Eating and Weight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(3), 1163–1179. https://doi.org/10.1007/s40519-021-01229-x</w:t>
      </w:r>
    </w:p>
    <w:p w14:paraId="00000D9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Jacob, R., Tremblay, A., Panahi, S., Provencher, V., and Drapeau, V. (2020). Is the timing of food intake a potential indicator of low weight loss responders? A secondary analysis of three weight loss studies. </w:t>
      </w:r>
      <w:r w:rsidRPr="000E4FE6">
        <w:rPr>
          <w:rFonts w:ascii="Times New Roman" w:hAnsi="Times New Roman" w:cs="Times New Roman"/>
          <w:i/>
          <w:sz w:val="24"/>
          <w:szCs w:val="24"/>
        </w:rPr>
        <w:t>Clinical Obesity</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(3), e12360. https://doi.org/10.1111/cob.12360</w:t>
      </w:r>
    </w:p>
    <w:p w14:paraId="00000D9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Jacob, R., Tremblay, A., Provencher, V., Panahi, S., Mathieu, M.-È., and Drapeau, V. (2023). Associations of timing of food intake with energy intake, eating behaviour traits and psychosocial factors in adults with overweight and obesity. </w:t>
      </w:r>
      <w:r w:rsidRPr="000E4FE6">
        <w:rPr>
          <w:rFonts w:ascii="Times New Roman" w:hAnsi="Times New Roman" w:cs="Times New Roman"/>
          <w:i/>
          <w:sz w:val="24"/>
          <w:szCs w:val="24"/>
        </w:rPr>
        <w:t>Frontiers in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 1155971. https://doi.org/10.3389/fnut.2023.1155971</w:t>
      </w:r>
    </w:p>
    <w:p w14:paraId="00000DA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Jacobi, D., Perrin, A.-E., </w:t>
      </w:r>
      <w:proofErr w:type="spellStart"/>
      <w:r w:rsidRPr="000E4FE6">
        <w:rPr>
          <w:rFonts w:ascii="Times New Roman" w:hAnsi="Times New Roman" w:cs="Times New Roman"/>
          <w:sz w:val="24"/>
          <w:szCs w:val="24"/>
        </w:rPr>
        <w:t>Grosman</w:t>
      </w:r>
      <w:proofErr w:type="spellEnd"/>
      <w:r w:rsidRPr="000E4FE6">
        <w:rPr>
          <w:rFonts w:ascii="Times New Roman" w:hAnsi="Times New Roman" w:cs="Times New Roman"/>
          <w:sz w:val="24"/>
          <w:szCs w:val="24"/>
        </w:rPr>
        <w:t xml:space="preserve">, N., </w:t>
      </w:r>
      <w:proofErr w:type="spellStart"/>
      <w:r w:rsidRPr="000E4FE6">
        <w:rPr>
          <w:rFonts w:ascii="Times New Roman" w:hAnsi="Times New Roman" w:cs="Times New Roman"/>
          <w:sz w:val="24"/>
          <w:szCs w:val="24"/>
        </w:rPr>
        <w:t>Doré</w:t>
      </w:r>
      <w:proofErr w:type="spellEnd"/>
      <w:r w:rsidRPr="000E4FE6">
        <w:rPr>
          <w:rFonts w:ascii="Times New Roman" w:hAnsi="Times New Roman" w:cs="Times New Roman"/>
          <w:sz w:val="24"/>
          <w:szCs w:val="24"/>
        </w:rPr>
        <w:t xml:space="preserve">, M.-F., Normand, S., </w:t>
      </w:r>
      <w:proofErr w:type="spellStart"/>
      <w:r w:rsidRPr="000E4FE6">
        <w:rPr>
          <w:rFonts w:ascii="Times New Roman" w:hAnsi="Times New Roman" w:cs="Times New Roman"/>
          <w:sz w:val="24"/>
          <w:szCs w:val="24"/>
        </w:rPr>
        <w:t>Oppert</w:t>
      </w:r>
      <w:proofErr w:type="spellEnd"/>
      <w:r w:rsidRPr="000E4FE6">
        <w:rPr>
          <w:rFonts w:ascii="Times New Roman" w:hAnsi="Times New Roman" w:cs="Times New Roman"/>
          <w:sz w:val="24"/>
          <w:szCs w:val="24"/>
        </w:rPr>
        <w:t xml:space="preserve">, J.-M., and Simon, C. (2007). Physical activity-related energy expenditure with the RT3 and </w:t>
      </w:r>
      <w:proofErr w:type="spellStart"/>
      <w:r w:rsidRPr="000E4FE6">
        <w:rPr>
          <w:rFonts w:ascii="Times New Roman" w:hAnsi="Times New Roman" w:cs="Times New Roman"/>
          <w:sz w:val="24"/>
          <w:szCs w:val="24"/>
        </w:rPr>
        <w:t>TriTrac</w:t>
      </w:r>
      <w:proofErr w:type="spellEnd"/>
      <w:r w:rsidRPr="000E4FE6">
        <w:rPr>
          <w:rFonts w:ascii="Times New Roman" w:hAnsi="Times New Roman" w:cs="Times New Roman"/>
          <w:sz w:val="24"/>
          <w:szCs w:val="24"/>
        </w:rPr>
        <w:t xml:space="preserve"> accelerometers in overweight adults.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(4), 950–956. https://doi.org/10.1038/oby.2007.605</w:t>
      </w:r>
    </w:p>
    <w:p w14:paraId="00000DA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Jahedi</w:t>
      </w:r>
      <w:proofErr w:type="spellEnd"/>
      <w:r w:rsidRPr="000E4FE6">
        <w:rPr>
          <w:rFonts w:ascii="Times New Roman" w:hAnsi="Times New Roman" w:cs="Times New Roman"/>
          <w:sz w:val="24"/>
          <w:szCs w:val="24"/>
        </w:rPr>
        <w:t>, S., and Méndez, F. (2014). On the advantages and disadvantages of subjective measures. </w:t>
      </w:r>
      <w:r w:rsidRPr="000E4FE6">
        <w:rPr>
          <w:rFonts w:ascii="Times New Roman" w:hAnsi="Times New Roman" w:cs="Times New Roman"/>
          <w:i/>
          <w:sz w:val="24"/>
          <w:szCs w:val="24"/>
        </w:rPr>
        <w:t xml:space="preserve">Journal of Economic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i/>
          <w:sz w:val="24"/>
          <w:szCs w:val="24"/>
        </w:rPr>
        <w:t xml:space="preserve"> &amp; Organization</w:t>
      </w:r>
      <w:r w:rsidRPr="000E4FE6">
        <w:rPr>
          <w:rFonts w:ascii="Times New Roman" w:hAnsi="Times New Roman" w:cs="Times New Roman"/>
          <w:sz w:val="24"/>
          <w:szCs w:val="24"/>
        </w:rPr>
        <w:t>, </w:t>
      </w:r>
      <w:r w:rsidRPr="000E4FE6">
        <w:rPr>
          <w:rFonts w:ascii="Times New Roman" w:hAnsi="Times New Roman" w:cs="Times New Roman"/>
          <w:i/>
          <w:sz w:val="24"/>
          <w:szCs w:val="24"/>
        </w:rPr>
        <w:t>98</w:t>
      </w:r>
      <w:r w:rsidRPr="000E4FE6">
        <w:rPr>
          <w:rFonts w:ascii="Times New Roman" w:hAnsi="Times New Roman" w:cs="Times New Roman"/>
          <w:sz w:val="24"/>
          <w:szCs w:val="24"/>
        </w:rPr>
        <w:t>, 97–114. https://doi.org/10.1016/j.jebo.2013.12.016</w:t>
      </w:r>
    </w:p>
    <w:p w14:paraId="00000DA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Jakubowicz</w:t>
      </w:r>
      <w:proofErr w:type="spellEnd"/>
      <w:r w:rsidRPr="000E4FE6">
        <w:rPr>
          <w:rFonts w:ascii="Times New Roman" w:hAnsi="Times New Roman" w:cs="Times New Roman"/>
          <w:sz w:val="24"/>
          <w:szCs w:val="24"/>
        </w:rPr>
        <w:t xml:space="preserve">, D., </w:t>
      </w:r>
      <w:proofErr w:type="spellStart"/>
      <w:r w:rsidRPr="000E4FE6">
        <w:rPr>
          <w:rFonts w:ascii="Times New Roman" w:hAnsi="Times New Roman" w:cs="Times New Roman"/>
          <w:sz w:val="24"/>
          <w:szCs w:val="24"/>
        </w:rPr>
        <w:t>Barnea</w:t>
      </w:r>
      <w:proofErr w:type="spellEnd"/>
      <w:r w:rsidRPr="000E4FE6">
        <w:rPr>
          <w:rFonts w:ascii="Times New Roman" w:hAnsi="Times New Roman" w:cs="Times New Roman"/>
          <w:sz w:val="24"/>
          <w:szCs w:val="24"/>
        </w:rPr>
        <w:t xml:space="preserve">, M., Wainstein, J., and </w:t>
      </w:r>
      <w:proofErr w:type="spellStart"/>
      <w:r w:rsidRPr="000E4FE6">
        <w:rPr>
          <w:rFonts w:ascii="Times New Roman" w:hAnsi="Times New Roman" w:cs="Times New Roman"/>
          <w:sz w:val="24"/>
          <w:szCs w:val="24"/>
        </w:rPr>
        <w:t>Froy</w:t>
      </w:r>
      <w:proofErr w:type="spellEnd"/>
      <w:r w:rsidRPr="000E4FE6">
        <w:rPr>
          <w:rFonts w:ascii="Times New Roman" w:hAnsi="Times New Roman" w:cs="Times New Roman"/>
          <w:sz w:val="24"/>
          <w:szCs w:val="24"/>
        </w:rPr>
        <w:t>, O. (2013). High caloric intake at breakfast vs. dinner differentially influences weight loss of overweight and obese women.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(12), 2504–2512. https://doi.org/10.1002/oby.20460</w:t>
      </w:r>
    </w:p>
    <w:p w14:paraId="00000DA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Jansen, A. (1998). A learning model of binge </w:t>
      </w:r>
      <w:proofErr w:type="gramStart"/>
      <w:r w:rsidRPr="000E4FE6">
        <w:rPr>
          <w:rFonts w:ascii="Times New Roman" w:hAnsi="Times New Roman" w:cs="Times New Roman"/>
          <w:sz w:val="24"/>
          <w:szCs w:val="24"/>
        </w:rPr>
        <w:t>eating:</w:t>
      </w:r>
      <w:proofErr w:type="gramEnd"/>
      <w:r w:rsidRPr="000E4FE6">
        <w:rPr>
          <w:rFonts w:ascii="Times New Roman" w:hAnsi="Times New Roman" w:cs="Times New Roman"/>
          <w:sz w:val="24"/>
          <w:szCs w:val="24"/>
        </w:rPr>
        <w:t xml:space="preserve"> cue reactivity and cue exposure. </w:t>
      </w:r>
      <w:r w:rsidRPr="000E4FE6">
        <w:rPr>
          <w:rFonts w:ascii="Times New Roman" w:hAnsi="Times New Roman" w:cs="Times New Roman"/>
          <w:i/>
          <w:sz w:val="24"/>
          <w:szCs w:val="24"/>
        </w:rPr>
        <w:t>Behaviour Research and Therapy</w:t>
      </w:r>
      <w:r w:rsidRPr="000E4FE6">
        <w:rPr>
          <w:rFonts w:ascii="Times New Roman" w:hAnsi="Times New Roman" w:cs="Times New Roman"/>
          <w:sz w:val="24"/>
          <w:szCs w:val="24"/>
        </w:rPr>
        <w:t>, </w:t>
      </w:r>
      <w:r w:rsidRPr="000E4FE6">
        <w:rPr>
          <w:rFonts w:ascii="Times New Roman" w:hAnsi="Times New Roman" w:cs="Times New Roman"/>
          <w:i/>
          <w:sz w:val="24"/>
          <w:szCs w:val="24"/>
        </w:rPr>
        <w:t>36</w:t>
      </w:r>
      <w:r w:rsidRPr="000E4FE6">
        <w:rPr>
          <w:rFonts w:ascii="Times New Roman" w:hAnsi="Times New Roman" w:cs="Times New Roman"/>
          <w:sz w:val="24"/>
          <w:szCs w:val="24"/>
        </w:rPr>
        <w:t>(3), 257–272. https://doi.org/10.1016/s0005-7967(98)00055-2</w:t>
      </w:r>
    </w:p>
    <w:p w14:paraId="00000DA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Janssen, I., </w:t>
      </w:r>
      <w:proofErr w:type="spellStart"/>
      <w:r w:rsidRPr="000E4FE6">
        <w:rPr>
          <w:rFonts w:ascii="Times New Roman" w:hAnsi="Times New Roman" w:cs="Times New Roman"/>
          <w:sz w:val="24"/>
          <w:szCs w:val="24"/>
        </w:rPr>
        <w:t>Katzmarzyk</w:t>
      </w:r>
      <w:proofErr w:type="spellEnd"/>
      <w:r w:rsidRPr="000E4FE6">
        <w:rPr>
          <w:rFonts w:ascii="Times New Roman" w:hAnsi="Times New Roman" w:cs="Times New Roman"/>
          <w:sz w:val="24"/>
          <w:szCs w:val="24"/>
        </w:rPr>
        <w:t>, P. T., and Ross, R. (2004). Waist circumference and not body mass index explains obesity-related health risk.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79</w:t>
      </w:r>
      <w:r w:rsidRPr="000E4FE6">
        <w:rPr>
          <w:rFonts w:ascii="Times New Roman" w:hAnsi="Times New Roman" w:cs="Times New Roman"/>
          <w:sz w:val="24"/>
          <w:szCs w:val="24"/>
        </w:rPr>
        <w:t>(3), 379–384. https://doi.org/10.1093/ajcn/79.3.379</w:t>
      </w:r>
    </w:p>
    <w:p w14:paraId="00000DA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Jeffery, R. W., Rydell, S., Dunn, C. L., </w:t>
      </w:r>
      <w:proofErr w:type="spellStart"/>
      <w:r w:rsidRPr="000E4FE6">
        <w:rPr>
          <w:rFonts w:ascii="Times New Roman" w:hAnsi="Times New Roman" w:cs="Times New Roman"/>
          <w:sz w:val="24"/>
          <w:szCs w:val="24"/>
        </w:rPr>
        <w:t>Harnack</w:t>
      </w:r>
      <w:proofErr w:type="spellEnd"/>
      <w:r w:rsidRPr="000E4FE6">
        <w:rPr>
          <w:rFonts w:ascii="Times New Roman" w:hAnsi="Times New Roman" w:cs="Times New Roman"/>
          <w:sz w:val="24"/>
          <w:szCs w:val="24"/>
        </w:rPr>
        <w:t>, L. J., Levine, A. S., Pentel, P. R., … Walsh, E. M. (2007). Effects of portion size on chronic energy intake. </w:t>
      </w:r>
      <w:r w:rsidRPr="000E4FE6">
        <w:rPr>
          <w:rFonts w:ascii="Times New Roman" w:hAnsi="Times New Roman" w:cs="Times New Roman"/>
          <w:i/>
          <w:sz w:val="24"/>
          <w:szCs w:val="24"/>
        </w:rPr>
        <w:t xml:space="preserve">The International Journal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Nutrition and Physical Activity</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 27. https://doi.org/10.1186/1479-5868-4-27</w:t>
      </w:r>
    </w:p>
    <w:p w14:paraId="00000DA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Johnstone, A. M., </w:t>
      </w:r>
      <w:proofErr w:type="spellStart"/>
      <w:r w:rsidRPr="000E4FE6">
        <w:rPr>
          <w:rFonts w:ascii="Times New Roman" w:hAnsi="Times New Roman" w:cs="Times New Roman"/>
          <w:sz w:val="24"/>
          <w:szCs w:val="24"/>
        </w:rPr>
        <w:t>Murison</w:t>
      </w:r>
      <w:proofErr w:type="spellEnd"/>
      <w:r w:rsidRPr="000E4FE6">
        <w:rPr>
          <w:rFonts w:ascii="Times New Roman" w:hAnsi="Times New Roman" w:cs="Times New Roman"/>
          <w:sz w:val="24"/>
          <w:szCs w:val="24"/>
        </w:rPr>
        <w:t xml:space="preserve">, S. D., Duncan, J. S., </w:t>
      </w:r>
      <w:proofErr w:type="spellStart"/>
      <w:r w:rsidRPr="000E4FE6">
        <w:rPr>
          <w:rFonts w:ascii="Times New Roman" w:hAnsi="Times New Roman" w:cs="Times New Roman"/>
          <w:sz w:val="24"/>
          <w:szCs w:val="24"/>
        </w:rPr>
        <w:t>Rance</w:t>
      </w:r>
      <w:proofErr w:type="spellEnd"/>
      <w:r w:rsidRPr="000E4FE6">
        <w:rPr>
          <w:rFonts w:ascii="Times New Roman" w:hAnsi="Times New Roman" w:cs="Times New Roman"/>
          <w:sz w:val="24"/>
          <w:szCs w:val="24"/>
        </w:rPr>
        <w:t>, K. A., and Speakman, J. R. (2005). Factors influencing variation in basal metabolic rate include fat-free mass, fat mass, age, and circulating thyroxine but not sex, circulating leptin, or triiodothyronine.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82</w:t>
      </w:r>
      <w:r w:rsidRPr="000E4FE6">
        <w:rPr>
          <w:rFonts w:ascii="Times New Roman" w:hAnsi="Times New Roman" w:cs="Times New Roman"/>
          <w:sz w:val="24"/>
          <w:szCs w:val="24"/>
        </w:rPr>
        <w:t>(5), 941–948. https://doi.org/10.1093/ajcn/82.5.941</w:t>
      </w:r>
    </w:p>
    <w:p w14:paraId="00000DA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Jylhä</w:t>
      </w:r>
      <w:proofErr w:type="spellEnd"/>
      <w:r w:rsidRPr="000E4FE6">
        <w:rPr>
          <w:rFonts w:ascii="Times New Roman" w:hAnsi="Times New Roman" w:cs="Times New Roman"/>
          <w:sz w:val="24"/>
          <w:szCs w:val="24"/>
        </w:rPr>
        <w:t>, M. (2009). What is self-rated health and why does it predict mortality? Towards a unified conceptual model. </w:t>
      </w:r>
      <w:r w:rsidRPr="000E4FE6">
        <w:rPr>
          <w:rFonts w:ascii="Times New Roman" w:hAnsi="Times New Roman" w:cs="Times New Roman"/>
          <w:i/>
          <w:sz w:val="24"/>
          <w:szCs w:val="24"/>
        </w:rPr>
        <w:t>Social Science &amp; Medicine</w:t>
      </w:r>
      <w:r w:rsidRPr="000E4FE6">
        <w:rPr>
          <w:rFonts w:ascii="Times New Roman" w:hAnsi="Times New Roman" w:cs="Times New Roman"/>
          <w:sz w:val="24"/>
          <w:szCs w:val="24"/>
        </w:rPr>
        <w:t>, </w:t>
      </w:r>
      <w:r w:rsidRPr="000E4FE6">
        <w:rPr>
          <w:rFonts w:ascii="Times New Roman" w:hAnsi="Times New Roman" w:cs="Times New Roman"/>
          <w:i/>
          <w:sz w:val="24"/>
          <w:szCs w:val="24"/>
        </w:rPr>
        <w:t>69</w:t>
      </w:r>
      <w:r w:rsidRPr="000E4FE6">
        <w:rPr>
          <w:rFonts w:ascii="Times New Roman" w:hAnsi="Times New Roman" w:cs="Times New Roman"/>
          <w:sz w:val="24"/>
          <w:szCs w:val="24"/>
        </w:rPr>
        <w:t>(3), 307–316. https://doi.org/10.1016/j.socscimed.2009.05.013</w:t>
      </w:r>
    </w:p>
    <w:p w14:paraId="00000DA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Kahleova</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Lloren</w:t>
      </w:r>
      <w:proofErr w:type="spellEnd"/>
      <w:r w:rsidRPr="000E4FE6">
        <w:rPr>
          <w:rFonts w:ascii="Times New Roman" w:hAnsi="Times New Roman" w:cs="Times New Roman"/>
          <w:sz w:val="24"/>
          <w:szCs w:val="24"/>
        </w:rPr>
        <w:t xml:space="preserve">, J. I., </w:t>
      </w:r>
      <w:proofErr w:type="spellStart"/>
      <w:r w:rsidRPr="000E4FE6">
        <w:rPr>
          <w:rFonts w:ascii="Times New Roman" w:hAnsi="Times New Roman" w:cs="Times New Roman"/>
          <w:sz w:val="24"/>
          <w:szCs w:val="24"/>
        </w:rPr>
        <w:t>Mashchak</w:t>
      </w:r>
      <w:proofErr w:type="spellEnd"/>
      <w:r w:rsidRPr="000E4FE6">
        <w:rPr>
          <w:rFonts w:ascii="Times New Roman" w:hAnsi="Times New Roman" w:cs="Times New Roman"/>
          <w:sz w:val="24"/>
          <w:szCs w:val="24"/>
        </w:rPr>
        <w:t>, A., Hill, M., and Fraser, G. E. (2017). Meal Frequency and Timing Are Associated with Changes in Body Mass Index in Adventist Health Study 2. </w:t>
      </w:r>
      <w:r w:rsidRPr="000E4FE6">
        <w:rPr>
          <w:rFonts w:ascii="Times New Roman" w:hAnsi="Times New Roman" w:cs="Times New Roman"/>
          <w:i/>
          <w:sz w:val="24"/>
          <w:szCs w:val="24"/>
        </w:rPr>
        <w:t>The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147</w:t>
      </w:r>
      <w:r w:rsidRPr="000E4FE6">
        <w:rPr>
          <w:rFonts w:ascii="Times New Roman" w:hAnsi="Times New Roman" w:cs="Times New Roman"/>
          <w:sz w:val="24"/>
          <w:szCs w:val="24"/>
        </w:rPr>
        <w:t>(9), 1722–1728. https://doi.org/10.3945/jn.116.244749</w:t>
      </w:r>
    </w:p>
    <w:p w14:paraId="00000DA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Kakoschke</w:t>
      </w:r>
      <w:proofErr w:type="spellEnd"/>
      <w:r w:rsidRPr="000E4FE6">
        <w:rPr>
          <w:rFonts w:ascii="Times New Roman" w:hAnsi="Times New Roman" w:cs="Times New Roman"/>
          <w:sz w:val="24"/>
          <w:szCs w:val="24"/>
        </w:rPr>
        <w:t>, N., Kemps, E., and Tiggemann, M. (2015). External eating mediates the relationship between impulsivity and unhealthy food intake.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147</w:t>
      </w:r>
      <w:r w:rsidRPr="000E4FE6">
        <w:rPr>
          <w:rFonts w:ascii="Times New Roman" w:hAnsi="Times New Roman" w:cs="Times New Roman"/>
          <w:sz w:val="24"/>
          <w:szCs w:val="24"/>
        </w:rPr>
        <w:t>, 117–121. https://doi.org/10.1016/j.physbeh.2015.04.030</w:t>
      </w:r>
    </w:p>
    <w:p w14:paraId="00000DA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Kanerva</w:t>
      </w:r>
      <w:proofErr w:type="spellEnd"/>
      <w:r w:rsidRPr="000E4FE6">
        <w:rPr>
          <w:rFonts w:ascii="Times New Roman" w:hAnsi="Times New Roman" w:cs="Times New Roman"/>
          <w:sz w:val="24"/>
          <w:szCs w:val="24"/>
        </w:rPr>
        <w:t xml:space="preserve">, N., </w:t>
      </w:r>
      <w:proofErr w:type="spellStart"/>
      <w:r w:rsidRPr="000E4FE6">
        <w:rPr>
          <w:rFonts w:ascii="Times New Roman" w:hAnsi="Times New Roman" w:cs="Times New Roman"/>
          <w:sz w:val="24"/>
          <w:szCs w:val="24"/>
        </w:rPr>
        <w:t>Kronholm</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Partonen</w:t>
      </w:r>
      <w:proofErr w:type="spellEnd"/>
      <w:r w:rsidRPr="000E4FE6">
        <w:rPr>
          <w:rFonts w:ascii="Times New Roman" w:hAnsi="Times New Roman" w:cs="Times New Roman"/>
          <w:sz w:val="24"/>
          <w:szCs w:val="24"/>
        </w:rPr>
        <w:t xml:space="preserve">, T., </w:t>
      </w:r>
      <w:proofErr w:type="spellStart"/>
      <w:r w:rsidRPr="000E4FE6">
        <w:rPr>
          <w:rFonts w:ascii="Times New Roman" w:hAnsi="Times New Roman" w:cs="Times New Roman"/>
          <w:sz w:val="24"/>
          <w:szCs w:val="24"/>
        </w:rPr>
        <w:t>Ovaskainen</w:t>
      </w:r>
      <w:proofErr w:type="spellEnd"/>
      <w:r w:rsidRPr="000E4FE6">
        <w:rPr>
          <w:rFonts w:ascii="Times New Roman" w:hAnsi="Times New Roman" w:cs="Times New Roman"/>
          <w:sz w:val="24"/>
          <w:szCs w:val="24"/>
        </w:rPr>
        <w:t xml:space="preserve">, M.-L., </w:t>
      </w:r>
      <w:proofErr w:type="spellStart"/>
      <w:r w:rsidRPr="000E4FE6">
        <w:rPr>
          <w:rFonts w:ascii="Times New Roman" w:hAnsi="Times New Roman" w:cs="Times New Roman"/>
          <w:sz w:val="24"/>
          <w:szCs w:val="24"/>
        </w:rPr>
        <w:t>Kaartinen</w:t>
      </w:r>
      <w:proofErr w:type="spellEnd"/>
      <w:r w:rsidRPr="000E4FE6">
        <w:rPr>
          <w:rFonts w:ascii="Times New Roman" w:hAnsi="Times New Roman" w:cs="Times New Roman"/>
          <w:sz w:val="24"/>
          <w:szCs w:val="24"/>
        </w:rPr>
        <w:t xml:space="preserve">, N. E., </w:t>
      </w:r>
      <w:proofErr w:type="spellStart"/>
      <w:r w:rsidRPr="000E4FE6">
        <w:rPr>
          <w:rFonts w:ascii="Times New Roman" w:hAnsi="Times New Roman" w:cs="Times New Roman"/>
          <w:sz w:val="24"/>
          <w:szCs w:val="24"/>
        </w:rPr>
        <w:t>Konttinen</w:t>
      </w:r>
      <w:proofErr w:type="spellEnd"/>
      <w:r w:rsidRPr="000E4FE6">
        <w:rPr>
          <w:rFonts w:ascii="Times New Roman" w:hAnsi="Times New Roman" w:cs="Times New Roman"/>
          <w:sz w:val="24"/>
          <w:szCs w:val="24"/>
        </w:rPr>
        <w:t xml:space="preserve">, H., … </w:t>
      </w:r>
      <w:proofErr w:type="spellStart"/>
      <w:r w:rsidRPr="000E4FE6">
        <w:rPr>
          <w:rFonts w:ascii="Times New Roman" w:hAnsi="Times New Roman" w:cs="Times New Roman"/>
          <w:sz w:val="24"/>
          <w:szCs w:val="24"/>
        </w:rPr>
        <w:t>Männistö</w:t>
      </w:r>
      <w:proofErr w:type="spellEnd"/>
      <w:r w:rsidRPr="000E4FE6">
        <w:rPr>
          <w:rFonts w:ascii="Times New Roman" w:hAnsi="Times New Roman" w:cs="Times New Roman"/>
          <w:sz w:val="24"/>
          <w:szCs w:val="24"/>
        </w:rPr>
        <w:t xml:space="preserve">, S. (2012). Tendency toward </w:t>
      </w:r>
      <w:proofErr w:type="spellStart"/>
      <w:r w:rsidRPr="000E4FE6">
        <w:rPr>
          <w:rFonts w:ascii="Times New Roman" w:hAnsi="Times New Roman" w:cs="Times New Roman"/>
          <w:sz w:val="24"/>
          <w:szCs w:val="24"/>
        </w:rPr>
        <w:t>eveningness</w:t>
      </w:r>
      <w:proofErr w:type="spellEnd"/>
      <w:r w:rsidRPr="000E4FE6">
        <w:rPr>
          <w:rFonts w:ascii="Times New Roman" w:hAnsi="Times New Roman" w:cs="Times New Roman"/>
          <w:sz w:val="24"/>
          <w:szCs w:val="24"/>
        </w:rPr>
        <w:t xml:space="preserve"> is associated with unhealthy dietary habits. </w:t>
      </w:r>
      <w:r w:rsidRPr="000E4FE6">
        <w:rPr>
          <w:rFonts w:ascii="Times New Roman" w:hAnsi="Times New Roman" w:cs="Times New Roman"/>
          <w:i/>
          <w:sz w:val="24"/>
          <w:szCs w:val="24"/>
        </w:rPr>
        <w:t>Chronobiology International</w:t>
      </w:r>
      <w:r w:rsidRPr="000E4FE6">
        <w:rPr>
          <w:rFonts w:ascii="Times New Roman" w:hAnsi="Times New Roman" w:cs="Times New Roman"/>
          <w:sz w:val="24"/>
          <w:szCs w:val="24"/>
        </w:rPr>
        <w:t>, </w:t>
      </w:r>
      <w:r w:rsidRPr="000E4FE6">
        <w:rPr>
          <w:rFonts w:ascii="Times New Roman" w:hAnsi="Times New Roman" w:cs="Times New Roman"/>
          <w:i/>
          <w:sz w:val="24"/>
          <w:szCs w:val="24"/>
        </w:rPr>
        <w:t>29</w:t>
      </w:r>
      <w:r w:rsidRPr="000E4FE6">
        <w:rPr>
          <w:rFonts w:ascii="Times New Roman" w:hAnsi="Times New Roman" w:cs="Times New Roman"/>
          <w:sz w:val="24"/>
          <w:szCs w:val="24"/>
        </w:rPr>
        <w:t>(7), 920–927. https://doi.org/10.3109/07420528.2012.699128</w:t>
      </w:r>
    </w:p>
    <w:p w14:paraId="00000DA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Kant, A K, </w:t>
      </w:r>
      <w:proofErr w:type="spellStart"/>
      <w:r w:rsidRPr="000E4FE6">
        <w:rPr>
          <w:rFonts w:ascii="Times New Roman" w:hAnsi="Times New Roman" w:cs="Times New Roman"/>
          <w:sz w:val="24"/>
          <w:szCs w:val="24"/>
        </w:rPr>
        <w:t>Schatzkin</w:t>
      </w:r>
      <w:proofErr w:type="spellEnd"/>
      <w:r w:rsidRPr="000E4FE6">
        <w:rPr>
          <w:rFonts w:ascii="Times New Roman" w:hAnsi="Times New Roman" w:cs="Times New Roman"/>
          <w:sz w:val="24"/>
          <w:szCs w:val="24"/>
        </w:rPr>
        <w:t>, A., and Ballard-</w:t>
      </w:r>
      <w:proofErr w:type="spellStart"/>
      <w:r w:rsidRPr="000E4FE6">
        <w:rPr>
          <w:rFonts w:ascii="Times New Roman" w:hAnsi="Times New Roman" w:cs="Times New Roman"/>
          <w:sz w:val="24"/>
          <w:szCs w:val="24"/>
        </w:rPr>
        <w:t>Barbash</w:t>
      </w:r>
      <w:proofErr w:type="spellEnd"/>
      <w:r w:rsidRPr="000E4FE6">
        <w:rPr>
          <w:rFonts w:ascii="Times New Roman" w:hAnsi="Times New Roman" w:cs="Times New Roman"/>
          <w:sz w:val="24"/>
          <w:szCs w:val="24"/>
        </w:rPr>
        <w:t>, R. (1997). Evening eating and subsequent long-term weight change in a national cohort.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(5), 407–412. https://doi.org/10.1038/sj.ijo.0800422</w:t>
      </w:r>
    </w:p>
    <w:p w14:paraId="00000DA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Kant, Ashima K, and </w:t>
      </w:r>
      <w:proofErr w:type="spellStart"/>
      <w:r w:rsidRPr="000E4FE6">
        <w:rPr>
          <w:rFonts w:ascii="Times New Roman" w:hAnsi="Times New Roman" w:cs="Times New Roman"/>
          <w:sz w:val="24"/>
          <w:szCs w:val="24"/>
        </w:rPr>
        <w:t>Graubard</w:t>
      </w:r>
      <w:proofErr w:type="spellEnd"/>
      <w:r w:rsidRPr="000E4FE6">
        <w:rPr>
          <w:rFonts w:ascii="Times New Roman" w:hAnsi="Times New Roman" w:cs="Times New Roman"/>
          <w:sz w:val="24"/>
          <w:szCs w:val="24"/>
        </w:rPr>
        <w:t>, B. I. (2006). Secular trends in patterns of self-reported food consumption of adult Americans: NHANES 1971-1975 to NHANES 1999-2002.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84</w:t>
      </w:r>
      <w:r w:rsidRPr="000E4FE6">
        <w:rPr>
          <w:rFonts w:ascii="Times New Roman" w:hAnsi="Times New Roman" w:cs="Times New Roman"/>
          <w:sz w:val="24"/>
          <w:szCs w:val="24"/>
        </w:rPr>
        <w:t>(5), 1215–1223. https://doi.org/10.1093/ajcn/84.5.1215</w:t>
      </w:r>
    </w:p>
    <w:p w14:paraId="00000DA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Kant, Ashima K, and </w:t>
      </w:r>
      <w:proofErr w:type="spellStart"/>
      <w:r w:rsidRPr="000E4FE6">
        <w:rPr>
          <w:rFonts w:ascii="Times New Roman" w:hAnsi="Times New Roman" w:cs="Times New Roman"/>
          <w:sz w:val="24"/>
          <w:szCs w:val="24"/>
        </w:rPr>
        <w:t>Graubard</w:t>
      </w:r>
      <w:proofErr w:type="spellEnd"/>
      <w:r w:rsidRPr="000E4FE6">
        <w:rPr>
          <w:rFonts w:ascii="Times New Roman" w:hAnsi="Times New Roman" w:cs="Times New Roman"/>
          <w:sz w:val="24"/>
          <w:szCs w:val="24"/>
        </w:rPr>
        <w:t xml:space="preserve">, B. I. (2015). Within-person comparison of eating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time of eating, and dietary intake on days with and without breakfast: NHANES 2005-2010.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102</w:t>
      </w:r>
      <w:r w:rsidRPr="000E4FE6">
        <w:rPr>
          <w:rFonts w:ascii="Times New Roman" w:hAnsi="Times New Roman" w:cs="Times New Roman"/>
          <w:sz w:val="24"/>
          <w:szCs w:val="24"/>
        </w:rPr>
        <w:t>(3), 661–670. https://doi.org/10.3945/ajcn.115.110262</w:t>
      </w:r>
    </w:p>
    <w:p w14:paraId="00000DA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Karl, J. P., and Roberts, S. B. (2014). Energy density, energy intake, and body weight regulation in adults. </w:t>
      </w:r>
      <w:r w:rsidRPr="000E4FE6">
        <w:rPr>
          <w:rFonts w:ascii="Times New Roman" w:hAnsi="Times New Roman" w:cs="Times New Roman"/>
          <w:i/>
          <w:sz w:val="24"/>
          <w:szCs w:val="24"/>
        </w:rPr>
        <w:t>Advances in Nutrition (Bethesda, Md.)</w:t>
      </w:r>
      <w:r w:rsidRPr="000E4FE6">
        <w:rPr>
          <w:rFonts w:ascii="Times New Roman" w:hAnsi="Times New Roman" w:cs="Times New Roman"/>
          <w:sz w:val="24"/>
          <w:szCs w:val="24"/>
        </w:rPr>
        <w:t>, </w:t>
      </w:r>
      <w:r w:rsidRPr="000E4FE6">
        <w:rPr>
          <w:rFonts w:ascii="Times New Roman" w:hAnsi="Times New Roman" w:cs="Times New Roman"/>
          <w:i/>
          <w:sz w:val="24"/>
          <w:szCs w:val="24"/>
        </w:rPr>
        <w:t>5</w:t>
      </w:r>
      <w:r w:rsidRPr="000E4FE6">
        <w:rPr>
          <w:rFonts w:ascii="Times New Roman" w:hAnsi="Times New Roman" w:cs="Times New Roman"/>
          <w:sz w:val="24"/>
          <w:szCs w:val="24"/>
        </w:rPr>
        <w:t>(6), 835–850. https://doi.org/10.3945/an.114.007112</w:t>
      </w:r>
    </w:p>
    <w:p w14:paraId="00000DA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Karlsson, J., </w:t>
      </w:r>
      <w:proofErr w:type="spellStart"/>
      <w:r w:rsidRPr="000E4FE6">
        <w:rPr>
          <w:rFonts w:ascii="Times New Roman" w:hAnsi="Times New Roman" w:cs="Times New Roman"/>
          <w:sz w:val="24"/>
          <w:szCs w:val="24"/>
        </w:rPr>
        <w:t>Hallgren</w:t>
      </w:r>
      <w:proofErr w:type="spellEnd"/>
      <w:r w:rsidRPr="000E4FE6">
        <w:rPr>
          <w:rFonts w:ascii="Times New Roman" w:hAnsi="Times New Roman" w:cs="Times New Roman"/>
          <w:sz w:val="24"/>
          <w:szCs w:val="24"/>
        </w:rPr>
        <w:t xml:space="preserve">, P., </w:t>
      </w:r>
      <w:proofErr w:type="spellStart"/>
      <w:r w:rsidRPr="000E4FE6">
        <w:rPr>
          <w:rFonts w:ascii="Times New Roman" w:hAnsi="Times New Roman" w:cs="Times New Roman"/>
          <w:sz w:val="24"/>
          <w:szCs w:val="24"/>
        </w:rPr>
        <w:t>Kral</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Lindroos</w:t>
      </w:r>
      <w:proofErr w:type="spellEnd"/>
      <w:r w:rsidRPr="000E4FE6">
        <w:rPr>
          <w:rFonts w:ascii="Times New Roman" w:hAnsi="Times New Roman" w:cs="Times New Roman"/>
          <w:sz w:val="24"/>
          <w:szCs w:val="24"/>
        </w:rPr>
        <w:t xml:space="preserve">, A. K., </w:t>
      </w:r>
      <w:proofErr w:type="spellStart"/>
      <w:r w:rsidRPr="000E4FE6">
        <w:rPr>
          <w:rFonts w:ascii="Times New Roman" w:hAnsi="Times New Roman" w:cs="Times New Roman"/>
          <w:sz w:val="24"/>
          <w:szCs w:val="24"/>
        </w:rPr>
        <w:t>Sjöström</w:t>
      </w:r>
      <w:proofErr w:type="spellEnd"/>
      <w:r w:rsidRPr="000E4FE6">
        <w:rPr>
          <w:rFonts w:ascii="Times New Roman" w:hAnsi="Times New Roman" w:cs="Times New Roman"/>
          <w:sz w:val="24"/>
          <w:szCs w:val="24"/>
        </w:rPr>
        <w:t>, L., and Sullivan, M. (1994). Predictors and effects of long-term dieting on mental well-being and weight loss in obese women.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(1), 15–26. https://doi.org/10.1006/appe.1994.1031</w:t>
      </w:r>
    </w:p>
    <w:p w14:paraId="00000DB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Karlsson, J., Persson, L. O., </w:t>
      </w:r>
      <w:proofErr w:type="spellStart"/>
      <w:r w:rsidRPr="000E4FE6">
        <w:rPr>
          <w:rFonts w:ascii="Times New Roman" w:hAnsi="Times New Roman" w:cs="Times New Roman"/>
          <w:sz w:val="24"/>
          <w:szCs w:val="24"/>
        </w:rPr>
        <w:t>Sjöström</w:t>
      </w:r>
      <w:proofErr w:type="spellEnd"/>
      <w:r w:rsidRPr="000E4FE6">
        <w:rPr>
          <w:rFonts w:ascii="Times New Roman" w:hAnsi="Times New Roman" w:cs="Times New Roman"/>
          <w:sz w:val="24"/>
          <w:szCs w:val="24"/>
        </w:rPr>
        <w:t>, L., and Sullivan, M. (2000). Psychometric properties and factor structure of the Three-Factor Eating Questionnaire (TFEQ) in obese men and women. Results from the Swedish Obese Subjects (SOS) study.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24</w:t>
      </w:r>
      <w:r w:rsidRPr="000E4FE6">
        <w:rPr>
          <w:rFonts w:ascii="Times New Roman" w:hAnsi="Times New Roman" w:cs="Times New Roman"/>
          <w:sz w:val="24"/>
          <w:szCs w:val="24"/>
        </w:rPr>
        <w:t>(12), 1715–1725. https://doi.org/10.1038/sj.ijo.0801442</w:t>
      </w:r>
    </w:p>
    <w:p w14:paraId="00000DB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Kebede, A. S., </w:t>
      </w:r>
      <w:proofErr w:type="spellStart"/>
      <w:r w:rsidRPr="000E4FE6">
        <w:rPr>
          <w:rFonts w:ascii="Times New Roman" w:hAnsi="Times New Roman" w:cs="Times New Roman"/>
          <w:sz w:val="24"/>
          <w:szCs w:val="24"/>
        </w:rPr>
        <w:t>Ozolins</w:t>
      </w:r>
      <w:proofErr w:type="spellEnd"/>
      <w:r w:rsidRPr="000E4FE6">
        <w:rPr>
          <w:rFonts w:ascii="Times New Roman" w:hAnsi="Times New Roman" w:cs="Times New Roman"/>
          <w:sz w:val="24"/>
          <w:szCs w:val="24"/>
        </w:rPr>
        <w:t>, L.-L., Holst, H., and Galvin, K. (2022). Digital engagement of older adults: scoping review. </w:t>
      </w:r>
      <w:r w:rsidRPr="000E4FE6">
        <w:rPr>
          <w:rFonts w:ascii="Times New Roman" w:hAnsi="Times New Roman" w:cs="Times New Roman"/>
          <w:i/>
          <w:sz w:val="24"/>
          <w:szCs w:val="24"/>
        </w:rPr>
        <w:t>Journal of Medical Internet Research</w:t>
      </w:r>
      <w:r w:rsidRPr="000E4FE6">
        <w:rPr>
          <w:rFonts w:ascii="Times New Roman" w:hAnsi="Times New Roman" w:cs="Times New Roman"/>
          <w:sz w:val="24"/>
          <w:szCs w:val="24"/>
        </w:rPr>
        <w:t>, </w:t>
      </w:r>
      <w:r w:rsidRPr="000E4FE6">
        <w:rPr>
          <w:rFonts w:ascii="Times New Roman" w:hAnsi="Times New Roman" w:cs="Times New Roman"/>
          <w:i/>
          <w:sz w:val="24"/>
          <w:szCs w:val="24"/>
        </w:rPr>
        <w:t>24</w:t>
      </w:r>
      <w:r w:rsidRPr="000E4FE6">
        <w:rPr>
          <w:rFonts w:ascii="Times New Roman" w:hAnsi="Times New Roman" w:cs="Times New Roman"/>
          <w:sz w:val="24"/>
          <w:szCs w:val="24"/>
        </w:rPr>
        <w:t>(12), e40192. https://doi.org/10.2196/40192</w:t>
      </w:r>
    </w:p>
    <w:p w14:paraId="00000DB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Kelly, M. T., Wallace, J. M. W., Robson, P. J., Rennie, K. L., Welch, R. W., Hannon-Fletcher, M. P., … Livingstone, M. B. E. (2009). Increased portion size leads to a sustained increase in energy intake over 4 d in normal-weight and overweight men and women.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102</w:t>
      </w:r>
      <w:r w:rsidRPr="000E4FE6">
        <w:rPr>
          <w:rFonts w:ascii="Times New Roman" w:hAnsi="Times New Roman" w:cs="Times New Roman"/>
          <w:sz w:val="24"/>
          <w:szCs w:val="24"/>
        </w:rPr>
        <w:t>(3), 470–477. https://doi.org/10.1017/S0007114508201960</w:t>
      </w:r>
    </w:p>
    <w:p w14:paraId="00000DB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Kelly-Schwartz, A. C., </w:t>
      </w:r>
      <w:proofErr w:type="spellStart"/>
      <w:r w:rsidRPr="000E4FE6">
        <w:rPr>
          <w:rFonts w:ascii="Times New Roman" w:hAnsi="Times New Roman" w:cs="Times New Roman"/>
          <w:sz w:val="24"/>
          <w:szCs w:val="24"/>
        </w:rPr>
        <w:t>Stockard</w:t>
      </w:r>
      <w:proofErr w:type="spellEnd"/>
      <w:r w:rsidRPr="000E4FE6">
        <w:rPr>
          <w:rFonts w:ascii="Times New Roman" w:hAnsi="Times New Roman" w:cs="Times New Roman"/>
          <w:sz w:val="24"/>
          <w:szCs w:val="24"/>
        </w:rPr>
        <w:t>, J., Doyle, S., and Schlossberg, M. (2004). Is sprawl unhealthy? A multilevel analysis of the relationship of metropolitan sprawl to the health of individuals. </w:t>
      </w:r>
      <w:r w:rsidRPr="000E4FE6">
        <w:rPr>
          <w:rFonts w:ascii="Times New Roman" w:hAnsi="Times New Roman" w:cs="Times New Roman"/>
          <w:i/>
          <w:sz w:val="24"/>
          <w:szCs w:val="24"/>
        </w:rPr>
        <w:t>Journal of Planning Education and Research</w:t>
      </w:r>
      <w:r w:rsidRPr="000E4FE6">
        <w:rPr>
          <w:rFonts w:ascii="Times New Roman" w:hAnsi="Times New Roman" w:cs="Times New Roman"/>
          <w:sz w:val="24"/>
          <w:szCs w:val="24"/>
        </w:rPr>
        <w:t>, </w:t>
      </w:r>
      <w:r w:rsidRPr="000E4FE6">
        <w:rPr>
          <w:rFonts w:ascii="Times New Roman" w:hAnsi="Times New Roman" w:cs="Times New Roman"/>
          <w:i/>
          <w:sz w:val="24"/>
          <w:szCs w:val="24"/>
        </w:rPr>
        <w:t>24</w:t>
      </w:r>
      <w:r w:rsidRPr="000E4FE6">
        <w:rPr>
          <w:rFonts w:ascii="Times New Roman" w:hAnsi="Times New Roman" w:cs="Times New Roman"/>
          <w:sz w:val="24"/>
          <w:szCs w:val="24"/>
        </w:rPr>
        <w:t>(2), 184–196.</w:t>
      </w:r>
    </w:p>
    <w:p w14:paraId="00000DB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Khanna, N., Eicher-Miller, H. A., Boushey, C. J., Gelfand, S. B., and </w:t>
      </w:r>
      <w:proofErr w:type="spellStart"/>
      <w:r w:rsidRPr="000E4FE6">
        <w:rPr>
          <w:rFonts w:ascii="Times New Roman" w:hAnsi="Times New Roman" w:cs="Times New Roman"/>
          <w:sz w:val="24"/>
          <w:szCs w:val="24"/>
        </w:rPr>
        <w:t>Delp</w:t>
      </w:r>
      <w:proofErr w:type="spellEnd"/>
      <w:r w:rsidRPr="000E4FE6">
        <w:rPr>
          <w:rFonts w:ascii="Times New Roman" w:hAnsi="Times New Roman" w:cs="Times New Roman"/>
          <w:sz w:val="24"/>
          <w:szCs w:val="24"/>
        </w:rPr>
        <w:t>, E. J. (2011). Temporal Dietary Patterns Using Kernel k-Means Clustering. </w:t>
      </w:r>
      <w:r w:rsidRPr="000E4FE6">
        <w:rPr>
          <w:rFonts w:ascii="Times New Roman" w:hAnsi="Times New Roman" w:cs="Times New Roman"/>
          <w:i/>
          <w:sz w:val="24"/>
          <w:szCs w:val="24"/>
        </w:rPr>
        <w:t xml:space="preserve">ISM </w:t>
      </w:r>
      <w:proofErr w:type="gramStart"/>
      <w:r w:rsidRPr="000E4FE6">
        <w:rPr>
          <w:rFonts w:ascii="Times New Roman" w:hAnsi="Times New Roman" w:cs="Times New Roman"/>
          <w:i/>
          <w:sz w:val="24"/>
          <w:szCs w:val="24"/>
        </w:rPr>
        <w:t>... :</w:t>
      </w:r>
      <w:proofErr w:type="gramEnd"/>
      <w:r w:rsidRPr="000E4FE6">
        <w:rPr>
          <w:rFonts w:ascii="Times New Roman" w:hAnsi="Times New Roman" w:cs="Times New Roman"/>
          <w:i/>
          <w:sz w:val="24"/>
          <w:szCs w:val="24"/>
        </w:rPr>
        <w:t xml:space="preserve"> ... IEEE International Symposium on Multimedia ... : Proceedings. IEEE International Symposium on Multimedia</w:t>
      </w:r>
      <w:r w:rsidRPr="000E4FE6">
        <w:rPr>
          <w:rFonts w:ascii="Times New Roman" w:hAnsi="Times New Roman" w:cs="Times New Roman"/>
          <w:sz w:val="24"/>
          <w:szCs w:val="24"/>
        </w:rPr>
        <w:t>, </w:t>
      </w:r>
      <w:r w:rsidRPr="000E4FE6">
        <w:rPr>
          <w:rFonts w:ascii="Times New Roman" w:hAnsi="Times New Roman" w:cs="Times New Roman"/>
          <w:i/>
          <w:sz w:val="24"/>
          <w:szCs w:val="24"/>
        </w:rPr>
        <w:t>2011</w:t>
      </w:r>
      <w:r w:rsidRPr="000E4FE6">
        <w:rPr>
          <w:rFonts w:ascii="Times New Roman" w:hAnsi="Times New Roman" w:cs="Times New Roman"/>
          <w:sz w:val="24"/>
          <w:szCs w:val="24"/>
        </w:rPr>
        <w:t>, 375–380. https://doi.org/10.1109/ISM.2011.68</w:t>
      </w:r>
    </w:p>
    <w:p w14:paraId="00000DB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Kim, D., Hou, W., Wang, F., and </w:t>
      </w:r>
      <w:proofErr w:type="spellStart"/>
      <w:r w:rsidRPr="000E4FE6">
        <w:rPr>
          <w:rFonts w:ascii="Times New Roman" w:hAnsi="Times New Roman" w:cs="Times New Roman"/>
          <w:sz w:val="24"/>
          <w:szCs w:val="24"/>
        </w:rPr>
        <w:t>Arcan</w:t>
      </w:r>
      <w:proofErr w:type="spellEnd"/>
      <w:r w:rsidRPr="000E4FE6">
        <w:rPr>
          <w:rFonts w:ascii="Times New Roman" w:hAnsi="Times New Roman" w:cs="Times New Roman"/>
          <w:sz w:val="24"/>
          <w:szCs w:val="24"/>
        </w:rPr>
        <w:t>, C. (2019). Factors affecting obesity and waist circumference among US adults. </w:t>
      </w:r>
      <w:r w:rsidRPr="000E4FE6">
        <w:rPr>
          <w:rFonts w:ascii="Times New Roman" w:hAnsi="Times New Roman" w:cs="Times New Roman"/>
          <w:i/>
          <w:sz w:val="24"/>
          <w:szCs w:val="24"/>
        </w:rPr>
        <w:t>Preventing Chronic Disease</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 E02. https://doi.org/10.5888/pcd16.180220</w:t>
      </w:r>
    </w:p>
    <w:p w14:paraId="00000DB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Kinlen</w:t>
      </w:r>
      <w:proofErr w:type="spellEnd"/>
      <w:r w:rsidRPr="000E4FE6">
        <w:rPr>
          <w:rFonts w:ascii="Times New Roman" w:hAnsi="Times New Roman" w:cs="Times New Roman"/>
          <w:sz w:val="24"/>
          <w:szCs w:val="24"/>
        </w:rPr>
        <w:t>, D., Cody, D., and O’Shea, D. (2018). Complications of obesity. </w:t>
      </w:r>
      <w:r w:rsidRPr="000E4FE6">
        <w:rPr>
          <w:rFonts w:ascii="Times New Roman" w:hAnsi="Times New Roman" w:cs="Times New Roman"/>
          <w:i/>
          <w:sz w:val="24"/>
          <w:szCs w:val="24"/>
        </w:rPr>
        <w:t>QJM: Monthly Journal of the Association of Physicians</w:t>
      </w:r>
      <w:r w:rsidRPr="000E4FE6">
        <w:rPr>
          <w:rFonts w:ascii="Times New Roman" w:hAnsi="Times New Roman" w:cs="Times New Roman"/>
          <w:sz w:val="24"/>
          <w:szCs w:val="24"/>
        </w:rPr>
        <w:t>, </w:t>
      </w:r>
      <w:r w:rsidRPr="000E4FE6">
        <w:rPr>
          <w:rFonts w:ascii="Times New Roman" w:hAnsi="Times New Roman" w:cs="Times New Roman"/>
          <w:i/>
          <w:sz w:val="24"/>
          <w:szCs w:val="24"/>
        </w:rPr>
        <w:t>111</w:t>
      </w:r>
      <w:r w:rsidRPr="000E4FE6">
        <w:rPr>
          <w:rFonts w:ascii="Times New Roman" w:hAnsi="Times New Roman" w:cs="Times New Roman"/>
          <w:sz w:val="24"/>
          <w:szCs w:val="24"/>
        </w:rPr>
        <w:t>(7), 437–443. https://doi.org/10.1093/qjmed/hcx152</w:t>
      </w:r>
    </w:p>
    <w:p w14:paraId="00000DB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Kito</w:t>
      </w:r>
      <w:proofErr w:type="spellEnd"/>
      <w:r w:rsidRPr="000E4FE6">
        <w:rPr>
          <w:rFonts w:ascii="Times New Roman" w:hAnsi="Times New Roman" w:cs="Times New Roman"/>
          <w:sz w:val="24"/>
          <w:szCs w:val="24"/>
        </w:rPr>
        <w:t xml:space="preserve">, K., </w:t>
      </w:r>
      <w:proofErr w:type="spellStart"/>
      <w:r w:rsidRPr="000E4FE6">
        <w:rPr>
          <w:rFonts w:ascii="Times New Roman" w:hAnsi="Times New Roman" w:cs="Times New Roman"/>
          <w:sz w:val="24"/>
          <w:szCs w:val="24"/>
        </w:rPr>
        <w:t>Kuriyama</w:t>
      </w:r>
      <w:proofErr w:type="spellEnd"/>
      <w:r w:rsidRPr="000E4FE6">
        <w:rPr>
          <w:rFonts w:ascii="Times New Roman" w:hAnsi="Times New Roman" w:cs="Times New Roman"/>
          <w:sz w:val="24"/>
          <w:szCs w:val="24"/>
        </w:rPr>
        <w:t>, A., Takahashi, Y., and Nakayama, T. (2019). Impacts of skipping breakfast and late dinner on the incidence of being overweight: a 3-year retrospective cohort study of men aged 20-49 years. </w:t>
      </w:r>
      <w:r w:rsidRPr="000E4FE6">
        <w:rPr>
          <w:rFonts w:ascii="Times New Roman" w:hAnsi="Times New Roman" w:cs="Times New Roman"/>
          <w:i/>
          <w:sz w:val="24"/>
          <w:szCs w:val="24"/>
        </w:rPr>
        <w:t xml:space="preserve">Journal of Human Nutrition and </w:t>
      </w:r>
      <w:proofErr w:type="gramStart"/>
      <w:r w:rsidRPr="000E4FE6">
        <w:rPr>
          <w:rFonts w:ascii="Times New Roman" w:hAnsi="Times New Roman" w:cs="Times New Roman"/>
          <w:i/>
          <w:sz w:val="24"/>
          <w:szCs w:val="24"/>
        </w:rPr>
        <w:t>Dietetics :</w:t>
      </w:r>
      <w:proofErr w:type="gramEnd"/>
      <w:r w:rsidRPr="000E4FE6">
        <w:rPr>
          <w:rFonts w:ascii="Times New Roman" w:hAnsi="Times New Roman" w:cs="Times New Roman"/>
          <w:i/>
          <w:sz w:val="24"/>
          <w:szCs w:val="24"/>
        </w:rPr>
        <w:t xml:space="preserve"> The Official Journal of the British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32</w:t>
      </w:r>
      <w:r w:rsidRPr="000E4FE6">
        <w:rPr>
          <w:rFonts w:ascii="Times New Roman" w:hAnsi="Times New Roman" w:cs="Times New Roman"/>
          <w:sz w:val="24"/>
          <w:szCs w:val="24"/>
        </w:rPr>
        <w:t>(3), 349–355. https://doi.org/10.1111/jhn.12640</w:t>
      </w:r>
    </w:p>
    <w:p w14:paraId="00000DB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Klein, O., Hardwicke, T. E., </w:t>
      </w:r>
      <w:proofErr w:type="spellStart"/>
      <w:r w:rsidRPr="000E4FE6">
        <w:rPr>
          <w:rFonts w:ascii="Times New Roman" w:hAnsi="Times New Roman" w:cs="Times New Roman"/>
          <w:sz w:val="24"/>
          <w:szCs w:val="24"/>
        </w:rPr>
        <w:t>Aust</w:t>
      </w:r>
      <w:proofErr w:type="spellEnd"/>
      <w:r w:rsidRPr="000E4FE6">
        <w:rPr>
          <w:rFonts w:ascii="Times New Roman" w:hAnsi="Times New Roman" w:cs="Times New Roman"/>
          <w:sz w:val="24"/>
          <w:szCs w:val="24"/>
        </w:rPr>
        <w:t xml:space="preserve">, F., Breuer, J., Danielsson, H., </w:t>
      </w:r>
      <w:proofErr w:type="spellStart"/>
      <w:r w:rsidRPr="000E4FE6">
        <w:rPr>
          <w:rFonts w:ascii="Times New Roman" w:hAnsi="Times New Roman" w:cs="Times New Roman"/>
          <w:sz w:val="24"/>
          <w:szCs w:val="24"/>
        </w:rPr>
        <w:t>Hofelich</w:t>
      </w:r>
      <w:proofErr w:type="spellEnd"/>
      <w:r w:rsidRPr="000E4FE6">
        <w:rPr>
          <w:rFonts w:ascii="Times New Roman" w:hAnsi="Times New Roman" w:cs="Times New Roman"/>
          <w:sz w:val="24"/>
          <w:szCs w:val="24"/>
        </w:rPr>
        <w:t xml:space="preserve"> Mohr, A., … Frank, M. C. (2018). A practical guide for transparency in psychological science. </w:t>
      </w:r>
      <w:r w:rsidRPr="000E4FE6">
        <w:rPr>
          <w:rFonts w:ascii="Times New Roman" w:hAnsi="Times New Roman" w:cs="Times New Roman"/>
          <w:i/>
          <w:sz w:val="24"/>
          <w:szCs w:val="24"/>
        </w:rPr>
        <w:t>Collabra: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(1), 20. https://doi.org/10.1525/collabra.158</w:t>
      </w:r>
    </w:p>
    <w:p w14:paraId="00000DB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Knudson, D. V., and Lindsey, C. (2014). Type I and type II errors in correlations of various sample sizes. </w:t>
      </w:r>
      <w:r w:rsidRPr="000E4FE6">
        <w:rPr>
          <w:rFonts w:ascii="Times New Roman" w:hAnsi="Times New Roman" w:cs="Times New Roman"/>
          <w:i/>
          <w:sz w:val="24"/>
          <w:szCs w:val="24"/>
        </w:rPr>
        <w:t>Comprehensive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 xml:space="preserve">, </w:t>
      </w:r>
      <w:proofErr w:type="gramStart"/>
      <w:r w:rsidRPr="000E4FE6">
        <w:rPr>
          <w:rFonts w:ascii="Times New Roman" w:hAnsi="Times New Roman" w:cs="Times New Roman"/>
          <w:sz w:val="24"/>
          <w:szCs w:val="24"/>
        </w:rPr>
        <w:t>03.CP.</w:t>
      </w:r>
      <w:proofErr w:type="gramEnd"/>
      <w:r w:rsidRPr="000E4FE6">
        <w:rPr>
          <w:rFonts w:ascii="Times New Roman" w:hAnsi="Times New Roman" w:cs="Times New Roman"/>
          <w:sz w:val="24"/>
          <w:szCs w:val="24"/>
        </w:rPr>
        <w:t>3.1. https://doi.org/10.2466/03.CP.3.1</w:t>
      </w:r>
    </w:p>
    <w:p w14:paraId="00000DB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Kohl, H. W., Fulton, J. E., and Caspersen, C. J. (2000). Assessment of Physical Activity among Children and Adolescents: A Review and Synthesis. </w:t>
      </w:r>
      <w:r w:rsidRPr="000E4FE6">
        <w:rPr>
          <w:rFonts w:ascii="Times New Roman" w:hAnsi="Times New Roman" w:cs="Times New Roman"/>
          <w:i/>
          <w:sz w:val="24"/>
          <w:szCs w:val="24"/>
        </w:rPr>
        <w:t>Preventive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31</w:t>
      </w:r>
      <w:r w:rsidRPr="000E4FE6">
        <w:rPr>
          <w:rFonts w:ascii="Times New Roman" w:hAnsi="Times New Roman" w:cs="Times New Roman"/>
          <w:sz w:val="24"/>
          <w:szCs w:val="24"/>
        </w:rPr>
        <w:t>(2), S54–S76. https://doi.org/10.1006/pmed.1999.0542</w:t>
      </w:r>
    </w:p>
    <w:p w14:paraId="00000DB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Koletzko</w:t>
      </w:r>
      <w:proofErr w:type="spellEnd"/>
      <w:r w:rsidRPr="000E4FE6">
        <w:rPr>
          <w:rFonts w:ascii="Times New Roman" w:hAnsi="Times New Roman" w:cs="Times New Roman"/>
          <w:sz w:val="24"/>
          <w:szCs w:val="24"/>
        </w:rPr>
        <w:t>, B., Cetin, I., Brenna, J. T., Perinatal Lipid Intake Working Group, Child Health Foundation, Diabetic Pregnancy Study Group, … International Society for the Study of Fatty Acids and Lipids. (2007). Dietary fat intakes for pregnant and lactating women.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98</w:t>
      </w:r>
      <w:r w:rsidRPr="000E4FE6">
        <w:rPr>
          <w:rFonts w:ascii="Times New Roman" w:hAnsi="Times New Roman" w:cs="Times New Roman"/>
          <w:sz w:val="24"/>
          <w:szCs w:val="24"/>
        </w:rPr>
        <w:t>(5), 873–877. https://doi.org/10.1017/S0007114507764747</w:t>
      </w:r>
    </w:p>
    <w:p w14:paraId="00000DB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Konttinen</w:t>
      </w:r>
      <w:proofErr w:type="spellEnd"/>
      <w:r w:rsidRPr="000E4FE6">
        <w:rPr>
          <w:rFonts w:ascii="Times New Roman" w:hAnsi="Times New Roman" w:cs="Times New Roman"/>
          <w:sz w:val="24"/>
          <w:szCs w:val="24"/>
        </w:rPr>
        <w:t>, H. (2020). Emotional eating and obesity in adults: the role of depression, sleep and genes. </w:t>
      </w:r>
      <w:r w:rsidRPr="000E4FE6">
        <w:rPr>
          <w:rFonts w:ascii="Times New Roman" w:hAnsi="Times New Roman" w:cs="Times New Roman"/>
          <w:i/>
          <w:sz w:val="24"/>
          <w:szCs w:val="24"/>
        </w:rPr>
        <w:t>The Proceedings of the Nutrition Society</w:t>
      </w:r>
      <w:r w:rsidRPr="000E4FE6">
        <w:rPr>
          <w:rFonts w:ascii="Times New Roman" w:hAnsi="Times New Roman" w:cs="Times New Roman"/>
          <w:sz w:val="24"/>
          <w:szCs w:val="24"/>
        </w:rPr>
        <w:t>, </w:t>
      </w:r>
      <w:r w:rsidRPr="000E4FE6">
        <w:rPr>
          <w:rFonts w:ascii="Times New Roman" w:hAnsi="Times New Roman" w:cs="Times New Roman"/>
          <w:i/>
          <w:sz w:val="24"/>
          <w:szCs w:val="24"/>
        </w:rPr>
        <w:t>79</w:t>
      </w:r>
      <w:r w:rsidRPr="000E4FE6">
        <w:rPr>
          <w:rFonts w:ascii="Times New Roman" w:hAnsi="Times New Roman" w:cs="Times New Roman"/>
          <w:sz w:val="24"/>
          <w:szCs w:val="24"/>
        </w:rPr>
        <w:t>(3), 283–289. https://doi.org/10.1017/S0029665120000166</w:t>
      </w:r>
    </w:p>
    <w:p w14:paraId="00000DB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Konttinen</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Kronholm</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Partonen</w:t>
      </w:r>
      <w:proofErr w:type="spellEnd"/>
      <w:r w:rsidRPr="000E4FE6">
        <w:rPr>
          <w:rFonts w:ascii="Times New Roman" w:hAnsi="Times New Roman" w:cs="Times New Roman"/>
          <w:sz w:val="24"/>
          <w:szCs w:val="24"/>
        </w:rPr>
        <w:t xml:space="preserve">, T., </w:t>
      </w:r>
      <w:proofErr w:type="spellStart"/>
      <w:r w:rsidRPr="000E4FE6">
        <w:rPr>
          <w:rFonts w:ascii="Times New Roman" w:hAnsi="Times New Roman" w:cs="Times New Roman"/>
          <w:sz w:val="24"/>
          <w:szCs w:val="24"/>
        </w:rPr>
        <w:t>Kanerva</w:t>
      </w:r>
      <w:proofErr w:type="spellEnd"/>
      <w:r w:rsidRPr="000E4FE6">
        <w:rPr>
          <w:rFonts w:ascii="Times New Roman" w:hAnsi="Times New Roman" w:cs="Times New Roman"/>
          <w:sz w:val="24"/>
          <w:szCs w:val="24"/>
        </w:rPr>
        <w:t xml:space="preserve">, N., </w:t>
      </w:r>
      <w:proofErr w:type="spellStart"/>
      <w:r w:rsidRPr="000E4FE6">
        <w:rPr>
          <w:rFonts w:ascii="Times New Roman" w:hAnsi="Times New Roman" w:cs="Times New Roman"/>
          <w:sz w:val="24"/>
          <w:szCs w:val="24"/>
        </w:rPr>
        <w:t>Männistö</w:t>
      </w:r>
      <w:proofErr w:type="spellEnd"/>
      <w:r w:rsidRPr="000E4FE6">
        <w:rPr>
          <w:rFonts w:ascii="Times New Roman" w:hAnsi="Times New Roman" w:cs="Times New Roman"/>
          <w:sz w:val="24"/>
          <w:szCs w:val="24"/>
        </w:rPr>
        <w:t xml:space="preserve">, S., and </w:t>
      </w:r>
      <w:proofErr w:type="spellStart"/>
      <w:r w:rsidRPr="000E4FE6">
        <w:rPr>
          <w:rFonts w:ascii="Times New Roman" w:hAnsi="Times New Roman" w:cs="Times New Roman"/>
          <w:sz w:val="24"/>
          <w:szCs w:val="24"/>
        </w:rPr>
        <w:t>Haukkala</w:t>
      </w:r>
      <w:proofErr w:type="spellEnd"/>
      <w:r w:rsidRPr="000E4FE6">
        <w:rPr>
          <w:rFonts w:ascii="Times New Roman" w:hAnsi="Times New Roman" w:cs="Times New Roman"/>
          <w:sz w:val="24"/>
          <w:szCs w:val="24"/>
        </w:rPr>
        <w:t xml:space="preserve">, A. (2014). </w:t>
      </w:r>
      <w:proofErr w:type="spellStart"/>
      <w:r w:rsidRPr="000E4FE6">
        <w:rPr>
          <w:rFonts w:ascii="Times New Roman" w:hAnsi="Times New Roman" w:cs="Times New Roman"/>
          <w:sz w:val="24"/>
          <w:szCs w:val="24"/>
        </w:rPr>
        <w:t>Morningness-eveningness</w:t>
      </w:r>
      <w:proofErr w:type="spellEnd"/>
      <w:r w:rsidRPr="000E4FE6">
        <w:rPr>
          <w:rFonts w:ascii="Times New Roman" w:hAnsi="Times New Roman" w:cs="Times New Roman"/>
          <w:sz w:val="24"/>
          <w:szCs w:val="24"/>
        </w:rPr>
        <w:t>, depressive symptoms, and emotional eating: a population-based study. </w:t>
      </w:r>
      <w:r w:rsidRPr="000E4FE6">
        <w:rPr>
          <w:rFonts w:ascii="Times New Roman" w:hAnsi="Times New Roman" w:cs="Times New Roman"/>
          <w:i/>
          <w:sz w:val="24"/>
          <w:szCs w:val="24"/>
        </w:rPr>
        <w:t>Chronobiology International</w:t>
      </w:r>
      <w:r w:rsidRPr="000E4FE6">
        <w:rPr>
          <w:rFonts w:ascii="Times New Roman" w:hAnsi="Times New Roman" w:cs="Times New Roman"/>
          <w:sz w:val="24"/>
          <w:szCs w:val="24"/>
        </w:rPr>
        <w:t>, </w:t>
      </w:r>
      <w:r w:rsidRPr="000E4FE6">
        <w:rPr>
          <w:rFonts w:ascii="Times New Roman" w:hAnsi="Times New Roman" w:cs="Times New Roman"/>
          <w:i/>
          <w:sz w:val="24"/>
          <w:szCs w:val="24"/>
        </w:rPr>
        <w:t>31</w:t>
      </w:r>
      <w:r w:rsidRPr="000E4FE6">
        <w:rPr>
          <w:rFonts w:ascii="Times New Roman" w:hAnsi="Times New Roman" w:cs="Times New Roman"/>
          <w:sz w:val="24"/>
          <w:szCs w:val="24"/>
        </w:rPr>
        <w:t>(4), 554–563. https://doi.org/10.3109/07420528.2013.877922</w:t>
      </w:r>
    </w:p>
    <w:p w14:paraId="00000DB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Konttinen</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Männistö</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Sarlio-Lähteenkorva</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Silventoinen</w:t>
      </w:r>
      <w:proofErr w:type="spellEnd"/>
      <w:r w:rsidRPr="000E4FE6">
        <w:rPr>
          <w:rFonts w:ascii="Times New Roman" w:hAnsi="Times New Roman" w:cs="Times New Roman"/>
          <w:sz w:val="24"/>
          <w:szCs w:val="24"/>
        </w:rPr>
        <w:t xml:space="preserve">, K., and </w:t>
      </w:r>
      <w:proofErr w:type="spellStart"/>
      <w:r w:rsidRPr="000E4FE6">
        <w:rPr>
          <w:rFonts w:ascii="Times New Roman" w:hAnsi="Times New Roman" w:cs="Times New Roman"/>
          <w:sz w:val="24"/>
          <w:szCs w:val="24"/>
        </w:rPr>
        <w:t>Haukkala</w:t>
      </w:r>
      <w:proofErr w:type="spellEnd"/>
      <w:r w:rsidRPr="000E4FE6">
        <w:rPr>
          <w:rFonts w:ascii="Times New Roman" w:hAnsi="Times New Roman" w:cs="Times New Roman"/>
          <w:sz w:val="24"/>
          <w:szCs w:val="24"/>
        </w:rPr>
        <w:t>, A. (2010). Emotional eating, depressive symptoms and self-reported food consumption. A population-based study.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54</w:t>
      </w:r>
      <w:r w:rsidRPr="000E4FE6">
        <w:rPr>
          <w:rFonts w:ascii="Times New Roman" w:hAnsi="Times New Roman" w:cs="Times New Roman"/>
          <w:sz w:val="24"/>
          <w:szCs w:val="24"/>
        </w:rPr>
        <w:t>(3), 473–479. https://doi.org/10.1016/j.appet.2010.01.014</w:t>
      </w:r>
    </w:p>
    <w:p w14:paraId="00000DB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Krall, E. A., Dwyer, J. T., and Ann Coleman, K. (1988). Factors influencing accuracy of dietary recall. </w:t>
      </w:r>
      <w:r w:rsidRPr="000E4FE6">
        <w:rPr>
          <w:rFonts w:ascii="Times New Roman" w:hAnsi="Times New Roman" w:cs="Times New Roman"/>
          <w:i/>
          <w:sz w:val="24"/>
          <w:szCs w:val="24"/>
        </w:rPr>
        <w:t>Nutrition Research</w:t>
      </w:r>
      <w:r w:rsidRPr="000E4FE6">
        <w:rPr>
          <w:rFonts w:ascii="Times New Roman" w:hAnsi="Times New Roman" w:cs="Times New Roman"/>
          <w:sz w:val="24"/>
          <w:szCs w:val="24"/>
        </w:rPr>
        <w:t>, </w:t>
      </w:r>
      <w:r w:rsidRPr="000E4FE6">
        <w:rPr>
          <w:rFonts w:ascii="Times New Roman" w:hAnsi="Times New Roman" w:cs="Times New Roman"/>
          <w:i/>
          <w:sz w:val="24"/>
          <w:szCs w:val="24"/>
        </w:rPr>
        <w:t>8</w:t>
      </w:r>
      <w:r w:rsidRPr="000E4FE6">
        <w:rPr>
          <w:rFonts w:ascii="Times New Roman" w:hAnsi="Times New Roman" w:cs="Times New Roman"/>
          <w:sz w:val="24"/>
          <w:szCs w:val="24"/>
        </w:rPr>
        <w:t>(7), 829–841. https://doi.org/10.1016/S0271-5317(88)80162-3</w:t>
      </w:r>
    </w:p>
    <w:p w14:paraId="00000DC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Kristeller</w:t>
      </w:r>
      <w:proofErr w:type="spellEnd"/>
      <w:r w:rsidRPr="000E4FE6">
        <w:rPr>
          <w:rFonts w:ascii="Times New Roman" w:hAnsi="Times New Roman" w:cs="Times New Roman"/>
          <w:sz w:val="24"/>
          <w:szCs w:val="24"/>
        </w:rPr>
        <w:t>, J. L., and Hallett, C. B. (1999). An Exploratory Study of a Meditation-based Intervention for Binge Eating Disorder. </w:t>
      </w:r>
      <w:r w:rsidRPr="000E4FE6">
        <w:rPr>
          <w:rFonts w:ascii="Times New Roman" w:hAnsi="Times New Roman" w:cs="Times New Roman"/>
          <w:i/>
          <w:sz w:val="24"/>
          <w:szCs w:val="24"/>
        </w:rPr>
        <w:t>Journal of Health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(3), 357–363. https://doi.org/10.1177/135910539900400305</w:t>
      </w:r>
    </w:p>
    <w:p w14:paraId="00000DC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Kroeger, E. N., Carson, T. L., Baskin, M. L., </w:t>
      </w:r>
      <w:proofErr w:type="spellStart"/>
      <w:r w:rsidRPr="000E4FE6">
        <w:rPr>
          <w:rFonts w:ascii="Times New Roman" w:hAnsi="Times New Roman" w:cs="Times New Roman"/>
          <w:sz w:val="24"/>
          <w:szCs w:val="24"/>
        </w:rPr>
        <w:t>Langaigne</w:t>
      </w:r>
      <w:proofErr w:type="spellEnd"/>
      <w:r w:rsidRPr="000E4FE6">
        <w:rPr>
          <w:rFonts w:ascii="Times New Roman" w:hAnsi="Times New Roman" w:cs="Times New Roman"/>
          <w:sz w:val="24"/>
          <w:szCs w:val="24"/>
        </w:rPr>
        <w:t xml:space="preserve">, A., Schneider, C. R., Bertrand, B., … Chandler-Laney, P. C. (2019). Reasons for Late-Night Eating and Willingness to </w:t>
      </w:r>
      <w:proofErr w:type="spellStart"/>
      <w:proofErr w:type="gramStart"/>
      <w:r w:rsidRPr="000E4FE6">
        <w:rPr>
          <w:rFonts w:ascii="Times New Roman" w:hAnsi="Times New Roman" w:cs="Times New Roman"/>
          <w:sz w:val="24"/>
          <w:szCs w:val="24"/>
        </w:rPr>
        <w:t>Change:A</w:t>
      </w:r>
      <w:proofErr w:type="spellEnd"/>
      <w:proofErr w:type="gramEnd"/>
      <w:r w:rsidRPr="000E4FE6">
        <w:rPr>
          <w:rFonts w:ascii="Times New Roman" w:hAnsi="Times New Roman" w:cs="Times New Roman"/>
          <w:sz w:val="24"/>
          <w:szCs w:val="24"/>
        </w:rPr>
        <w:t xml:space="preserve"> Qualitative Study in Pregnant Black Women. </w:t>
      </w:r>
      <w:r w:rsidRPr="000E4FE6">
        <w:rPr>
          <w:rFonts w:ascii="Times New Roman" w:hAnsi="Times New Roman" w:cs="Times New Roman"/>
          <w:i/>
          <w:sz w:val="24"/>
          <w:szCs w:val="24"/>
        </w:rPr>
        <w:t xml:space="preserve">Journal of Nutrition Education and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51</w:t>
      </w:r>
      <w:r w:rsidRPr="000E4FE6">
        <w:rPr>
          <w:rFonts w:ascii="Times New Roman" w:hAnsi="Times New Roman" w:cs="Times New Roman"/>
          <w:sz w:val="24"/>
          <w:szCs w:val="24"/>
        </w:rPr>
        <w:t>(5), 598–607. https://doi.org/10.1016/j.jneb.2018.11.003</w:t>
      </w:r>
    </w:p>
    <w:p w14:paraId="00000DC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Kruger, J., </w:t>
      </w:r>
      <w:proofErr w:type="spellStart"/>
      <w:r w:rsidRPr="000E4FE6">
        <w:rPr>
          <w:rFonts w:ascii="Times New Roman" w:hAnsi="Times New Roman" w:cs="Times New Roman"/>
          <w:sz w:val="24"/>
          <w:szCs w:val="24"/>
        </w:rPr>
        <w:t>Blanck</w:t>
      </w:r>
      <w:proofErr w:type="spellEnd"/>
      <w:r w:rsidRPr="000E4FE6">
        <w:rPr>
          <w:rFonts w:ascii="Times New Roman" w:hAnsi="Times New Roman" w:cs="Times New Roman"/>
          <w:sz w:val="24"/>
          <w:szCs w:val="24"/>
        </w:rPr>
        <w:t xml:space="preserve">, H. M., and Gillespie, C. (2006). Dietary and physical activity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among adults successful at weight loss maintenance. </w:t>
      </w:r>
      <w:r w:rsidRPr="000E4FE6">
        <w:rPr>
          <w:rFonts w:ascii="Times New Roman" w:hAnsi="Times New Roman" w:cs="Times New Roman"/>
          <w:i/>
          <w:sz w:val="24"/>
          <w:szCs w:val="24"/>
        </w:rPr>
        <w:t xml:space="preserve">The International Journal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Nutrition and Physical Activity</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 17. https://doi.org/10.1186/1479-5868-3-17</w:t>
      </w:r>
    </w:p>
    <w:p w14:paraId="00000DC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Kutsuma</w:t>
      </w:r>
      <w:proofErr w:type="spellEnd"/>
      <w:r w:rsidRPr="000E4FE6">
        <w:rPr>
          <w:rFonts w:ascii="Times New Roman" w:hAnsi="Times New Roman" w:cs="Times New Roman"/>
          <w:sz w:val="24"/>
          <w:szCs w:val="24"/>
        </w:rPr>
        <w:t xml:space="preserve">, A., Nakajima, K., and </w:t>
      </w:r>
      <w:proofErr w:type="spellStart"/>
      <w:r w:rsidRPr="000E4FE6">
        <w:rPr>
          <w:rFonts w:ascii="Times New Roman" w:hAnsi="Times New Roman" w:cs="Times New Roman"/>
          <w:sz w:val="24"/>
          <w:szCs w:val="24"/>
        </w:rPr>
        <w:t>Suwa</w:t>
      </w:r>
      <w:proofErr w:type="spellEnd"/>
      <w:r w:rsidRPr="000E4FE6">
        <w:rPr>
          <w:rFonts w:ascii="Times New Roman" w:hAnsi="Times New Roman" w:cs="Times New Roman"/>
          <w:sz w:val="24"/>
          <w:szCs w:val="24"/>
        </w:rPr>
        <w:t xml:space="preserve">, K. (2014). Potential Association between Breakfast Skipping and Concomitant Late-Night-Dinner Eating with Metabolic Syndrome and </w:t>
      </w:r>
      <w:r w:rsidRPr="000E4FE6">
        <w:rPr>
          <w:rFonts w:ascii="Times New Roman" w:hAnsi="Times New Roman" w:cs="Times New Roman"/>
          <w:sz w:val="24"/>
          <w:szCs w:val="24"/>
        </w:rPr>
        <w:lastRenderedPageBreak/>
        <w:t>Proteinuria in the Japanese Population. </w:t>
      </w:r>
      <w:proofErr w:type="spellStart"/>
      <w:r w:rsidRPr="000E4FE6">
        <w:rPr>
          <w:rFonts w:ascii="Times New Roman" w:hAnsi="Times New Roman" w:cs="Times New Roman"/>
          <w:i/>
          <w:sz w:val="24"/>
          <w:szCs w:val="24"/>
        </w:rPr>
        <w:t>Scientifica</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2014</w:t>
      </w:r>
      <w:r w:rsidRPr="000E4FE6">
        <w:rPr>
          <w:rFonts w:ascii="Times New Roman" w:hAnsi="Times New Roman" w:cs="Times New Roman"/>
          <w:sz w:val="24"/>
          <w:szCs w:val="24"/>
        </w:rPr>
        <w:t>, 253581. https://doi.org/10.1155/2014/253581</w:t>
      </w:r>
    </w:p>
    <w:p w14:paraId="00000DC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Kwon, Y.-J., Lee, H. S., Park, J.-Y., and Lee, J.-W. (2020). Associating Intake Proportion of Carbohydrate, Fat, and Protein with All-Cause Mortality in Korean Adults.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(10). https://doi.org/10.3390/nu12103208</w:t>
      </w:r>
    </w:p>
    <w:p w14:paraId="00000DC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Labbe, D., </w:t>
      </w:r>
      <w:proofErr w:type="spellStart"/>
      <w:r w:rsidRPr="000E4FE6">
        <w:rPr>
          <w:rFonts w:ascii="Times New Roman" w:hAnsi="Times New Roman" w:cs="Times New Roman"/>
          <w:sz w:val="24"/>
          <w:szCs w:val="24"/>
        </w:rPr>
        <w:t>Rytz</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J. M., Forde, C. G., and Martin, N. (2017). Influence of BMI and dietary restraint on self-selected portions of prepared meals in US women.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111</w:t>
      </w:r>
      <w:r w:rsidRPr="000E4FE6">
        <w:rPr>
          <w:rFonts w:ascii="Times New Roman" w:hAnsi="Times New Roman" w:cs="Times New Roman"/>
          <w:sz w:val="24"/>
          <w:szCs w:val="24"/>
        </w:rPr>
        <w:t>, 203–207. https://doi.org/10.1016/j.appet.2016.11.004</w:t>
      </w:r>
    </w:p>
    <w:p w14:paraId="00000DC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Lähteenmäki</w:t>
      </w:r>
      <w:proofErr w:type="spellEnd"/>
      <w:r w:rsidRPr="000E4FE6">
        <w:rPr>
          <w:rFonts w:ascii="Times New Roman" w:hAnsi="Times New Roman" w:cs="Times New Roman"/>
          <w:sz w:val="24"/>
          <w:szCs w:val="24"/>
        </w:rPr>
        <w:t xml:space="preserve">, L., and </w:t>
      </w:r>
      <w:proofErr w:type="spellStart"/>
      <w:r w:rsidRPr="000E4FE6">
        <w:rPr>
          <w:rFonts w:ascii="Times New Roman" w:hAnsi="Times New Roman" w:cs="Times New Roman"/>
          <w:sz w:val="24"/>
          <w:szCs w:val="24"/>
        </w:rPr>
        <w:t>Tuorila</w:t>
      </w:r>
      <w:proofErr w:type="spellEnd"/>
      <w:r w:rsidRPr="000E4FE6">
        <w:rPr>
          <w:rFonts w:ascii="Times New Roman" w:hAnsi="Times New Roman" w:cs="Times New Roman"/>
          <w:sz w:val="24"/>
          <w:szCs w:val="24"/>
        </w:rPr>
        <w:t>, H. (1995). Three-factor eating questionnaire and the use and liking of sweet and fat among dieters.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57</w:t>
      </w:r>
      <w:r w:rsidRPr="000E4FE6">
        <w:rPr>
          <w:rFonts w:ascii="Times New Roman" w:hAnsi="Times New Roman" w:cs="Times New Roman"/>
          <w:sz w:val="24"/>
          <w:szCs w:val="24"/>
        </w:rPr>
        <w:t>(1), 81–88. https://doi.org/10.1016/0031-9384(94)00210-v</w:t>
      </w:r>
    </w:p>
    <w:p w14:paraId="00000DC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Laitinen</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Ek</w:t>
      </w:r>
      <w:proofErr w:type="spellEnd"/>
      <w:r w:rsidRPr="000E4FE6">
        <w:rPr>
          <w:rFonts w:ascii="Times New Roman" w:hAnsi="Times New Roman" w:cs="Times New Roman"/>
          <w:sz w:val="24"/>
          <w:szCs w:val="24"/>
        </w:rPr>
        <w:t xml:space="preserve">, E., and </w:t>
      </w:r>
      <w:proofErr w:type="spellStart"/>
      <w:r w:rsidRPr="000E4FE6">
        <w:rPr>
          <w:rFonts w:ascii="Times New Roman" w:hAnsi="Times New Roman" w:cs="Times New Roman"/>
          <w:sz w:val="24"/>
          <w:szCs w:val="24"/>
        </w:rPr>
        <w:t>Sovio</w:t>
      </w:r>
      <w:proofErr w:type="spellEnd"/>
      <w:r w:rsidRPr="000E4FE6">
        <w:rPr>
          <w:rFonts w:ascii="Times New Roman" w:hAnsi="Times New Roman" w:cs="Times New Roman"/>
          <w:sz w:val="24"/>
          <w:szCs w:val="24"/>
        </w:rPr>
        <w:t xml:space="preserve">, U. (2002). Stress-related eating and drinking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and body mass index and predictors of this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Preventive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34</w:t>
      </w:r>
      <w:r w:rsidRPr="000E4FE6">
        <w:rPr>
          <w:rFonts w:ascii="Times New Roman" w:hAnsi="Times New Roman" w:cs="Times New Roman"/>
          <w:sz w:val="24"/>
          <w:szCs w:val="24"/>
        </w:rPr>
        <w:t>(1), 29–39. https://doi.org/10.1006/pmed.2001.0948</w:t>
      </w:r>
    </w:p>
    <w:p w14:paraId="00000DC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Lancaster, G. A., Dodd, S., and Williamson, P. R. (2004). Design and analysis of pilot studies: recommendations for good practice. </w:t>
      </w:r>
      <w:r w:rsidRPr="000E4FE6">
        <w:rPr>
          <w:rFonts w:ascii="Times New Roman" w:hAnsi="Times New Roman" w:cs="Times New Roman"/>
          <w:i/>
          <w:sz w:val="24"/>
          <w:szCs w:val="24"/>
        </w:rPr>
        <w:t>Journal of Evaluation in Clinical Practice</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 xml:space="preserve">(2), 307–312. </w:t>
      </w:r>
      <w:proofErr w:type="gramStart"/>
      <w:r w:rsidRPr="000E4FE6">
        <w:rPr>
          <w:rFonts w:ascii="Times New Roman" w:hAnsi="Times New Roman" w:cs="Times New Roman"/>
          <w:sz w:val="24"/>
          <w:szCs w:val="24"/>
        </w:rPr>
        <w:t>https://doi.org/10.1111/j..</w:t>
      </w:r>
      <w:proofErr w:type="gramEnd"/>
      <w:r w:rsidRPr="000E4FE6">
        <w:rPr>
          <w:rFonts w:ascii="Times New Roman" w:hAnsi="Times New Roman" w:cs="Times New Roman"/>
          <w:sz w:val="24"/>
          <w:szCs w:val="24"/>
        </w:rPr>
        <w:t>2002.384.doc.x</w:t>
      </w:r>
    </w:p>
    <w:p w14:paraId="00000DC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Lang, A., and </w:t>
      </w:r>
      <w:proofErr w:type="spellStart"/>
      <w:r w:rsidRPr="000E4FE6">
        <w:rPr>
          <w:rFonts w:ascii="Times New Roman" w:hAnsi="Times New Roman" w:cs="Times New Roman"/>
          <w:sz w:val="24"/>
          <w:szCs w:val="24"/>
        </w:rPr>
        <w:t>Froelicher</w:t>
      </w:r>
      <w:proofErr w:type="spellEnd"/>
      <w:r w:rsidRPr="000E4FE6">
        <w:rPr>
          <w:rFonts w:ascii="Times New Roman" w:hAnsi="Times New Roman" w:cs="Times New Roman"/>
          <w:sz w:val="24"/>
          <w:szCs w:val="24"/>
        </w:rPr>
        <w:t xml:space="preserve">, E. S. (2006). Management of overweight and obesity in adults: </w:t>
      </w:r>
      <w:proofErr w:type="spellStart"/>
      <w:r w:rsidRPr="000E4FE6">
        <w:rPr>
          <w:rFonts w:ascii="Times New Roman" w:hAnsi="Times New Roman" w:cs="Times New Roman"/>
          <w:sz w:val="24"/>
          <w:szCs w:val="24"/>
        </w:rPr>
        <w:t>behavioral</w:t>
      </w:r>
      <w:proofErr w:type="spellEnd"/>
      <w:r w:rsidRPr="000E4FE6">
        <w:rPr>
          <w:rFonts w:ascii="Times New Roman" w:hAnsi="Times New Roman" w:cs="Times New Roman"/>
          <w:sz w:val="24"/>
          <w:szCs w:val="24"/>
        </w:rPr>
        <w:t xml:space="preserve"> intervention for long-term weight loss and maintenance. </w:t>
      </w:r>
      <w:r w:rsidRPr="000E4FE6">
        <w:rPr>
          <w:rFonts w:ascii="Times New Roman" w:hAnsi="Times New Roman" w:cs="Times New Roman"/>
          <w:i/>
          <w:sz w:val="24"/>
          <w:szCs w:val="24"/>
        </w:rPr>
        <w:t xml:space="preserve">European Journal of Cardiovascular </w:t>
      </w:r>
      <w:proofErr w:type="gramStart"/>
      <w:r w:rsidRPr="000E4FE6">
        <w:rPr>
          <w:rFonts w:ascii="Times New Roman" w:hAnsi="Times New Roman" w:cs="Times New Roman"/>
          <w:i/>
          <w:sz w:val="24"/>
          <w:szCs w:val="24"/>
        </w:rPr>
        <w:t>Nursing :</w:t>
      </w:r>
      <w:proofErr w:type="gramEnd"/>
      <w:r w:rsidRPr="000E4FE6">
        <w:rPr>
          <w:rFonts w:ascii="Times New Roman" w:hAnsi="Times New Roman" w:cs="Times New Roman"/>
          <w:i/>
          <w:sz w:val="24"/>
          <w:szCs w:val="24"/>
        </w:rPr>
        <w:t xml:space="preserve"> Journal of the Working Group on Cardiovascular Nursing of the European Society of Cardiology</w:t>
      </w:r>
      <w:r w:rsidRPr="000E4FE6">
        <w:rPr>
          <w:rFonts w:ascii="Times New Roman" w:hAnsi="Times New Roman" w:cs="Times New Roman"/>
          <w:sz w:val="24"/>
          <w:szCs w:val="24"/>
        </w:rPr>
        <w:t>, </w:t>
      </w:r>
      <w:r w:rsidRPr="000E4FE6">
        <w:rPr>
          <w:rFonts w:ascii="Times New Roman" w:hAnsi="Times New Roman" w:cs="Times New Roman"/>
          <w:i/>
          <w:sz w:val="24"/>
          <w:szCs w:val="24"/>
        </w:rPr>
        <w:t>5</w:t>
      </w:r>
      <w:r w:rsidRPr="000E4FE6">
        <w:rPr>
          <w:rFonts w:ascii="Times New Roman" w:hAnsi="Times New Roman" w:cs="Times New Roman"/>
          <w:sz w:val="24"/>
          <w:szCs w:val="24"/>
        </w:rPr>
        <w:t>(2), 102–114. https://doi.org/10.1016/j.ejcnurse.2005.11.002</w:t>
      </w:r>
    </w:p>
    <w:p w14:paraId="00000DC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Lang, R., Thane, C. W., Bolton-Smith, C., and </w:t>
      </w:r>
      <w:proofErr w:type="spellStart"/>
      <w:r w:rsidRPr="000E4FE6">
        <w:rPr>
          <w:rFonts w:ascii="Times New Roman" w:hAnsi="Times New Roman" w:cs="Times New Roman"/>
          <w:sz w:val="24"/>
          <w:szCs w:val="24"/>
        </w:rPr>
        <w:t>Jebb</w:t>
      </w:r>
      <w:proofErr w:type="spellEnd"/>
      <w:r w:rsidRPr="000E4FE6">
        <w:rPr>
          <w:rFonts w:ascii="Times New Roman" w:hAnsi="Times New Roman" w:cs="Times New Roman"/>
          <w:sz w:val="24"/>
          <w:szCs w:val="24"/>
        </w:rPr>
        <w:t>, S. A. (2003). Consumption of whole-grain foods by British adults: findings from further analysis of two national dietary surveys.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6</w:t>
      </w:r>
      <w:r w:rsidRPr="000E4FE6">
        <w:rPr>
          <w:rFonts w:ascii="Times New Roman" w:hAnsi="Times New Roman" w:cs="Times New Roman"/>
          <w:sz w:val="24"/>
          <w:szCs w:val="24"/>
        </w:rPr>
        <w:t>(5), 479–484. https://doi.org/10.1079/PHN2002453</w:t>
      </w:r>
    </w:p>
    <w:p w14:paraId="00000DC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Langlois, M., </w:t>
      </w:r>
      <w:proofErr w:type="spellStart"/>
      <w:r w:rsidRPr="000E4FE6">
        <w:rPr>
          <w:rFonts w:ascii="Times New Roman" w:hAnsi="Times New Roman" w:cs="Times New Roman"/>
          <w:sz w:val="24"/>
          <w:szCs w:val="24"/>
        </w:rPr>
        <w:t>Wasfi</w:t>
      </w:r>
      <w:proofErr w:type="spellEnd"/>
      <w:r w:rsidRPr="000E4FE6">
        <w:rPr>
          <w:rFonts w:ascii="Times New Roman" w:hAnsi="Times New Roman" w:cs="Times New Roman"/>
          <w:sz w:val="24"/>
          <w:szCs w:val="24"/>
        </w:rPr>
        <w:t>, R. A., Ross, N. A., and El-</w:t>
      </w:r>
      <w:proofErr w:type="spellStart"/>
      <w:r w:rsidRPr="000E4FE6">
        <w:rPr>
          <w:rFonts w:ascii="Times New Roman" w:hAnsi="Times New Roman" w:cs="Times New Roman"/>
          <w:sz w:val="24"/>
          <w:szCs w:val="24"/>
        </w:rPr>
        <w:t>Geneidy</w:t>
      </w:r>
      <w:proofErr w:type="spellEnd"/>
      <w:r w:rsidRPr="000E4FE6">
        <w:rPr>
          <w:rFonts w:ascii="Times New Roman" w:hAnsi="Times New Roman" w:cs="Times New Roman"/>
          <w:sz w:val="24"/>
          <w:szCs w:val="24"/>
        </w:rPr>
        <w:t>, A. M. (2016). Can transit-oriented developments help achieve the recommended weekly level of physical activity? </w:t>
      </w:r>
      <w:r w:rsidRPr="000E4FE6">
        <w:rPr>
          <w:rFonts w:ascii="Times New Roman" w:hAnsi="Times New Roman" w:cs="Times New Roman"/>
          <w:i/>
          <w:sz w:val="24"/>
          <w:szCs w:val="24"/>
        </w:rPr>
        <w:t>Journal of Transport &amp; Health</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(2), 181–190. https://doi.org/10.1016/j.jth.2016.02.006</w:t>
      </w:r>
    </w:p>
    <w:p w14:paraId="00000DC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Larson, N., Fulkerson, J., Story, M., and </w:t>
      </w:r>
      <w:proofErr w:type="spellStart"/>
      <w:r w:rsidRPr="000E4FE6">
        <w:rPr>
          <w:rFonts w:ascii="Times New Roman" w:hAnsi="Times New Roman" w:cs="Times New Roman"/>
          <w:sz w:val="24"/>
          <w:szCs w:val="24"/>
        </w:rPr>
        <w:t>Neumark-Sztainer</w:t>
      </w:r>
      <w:proofErr w:type="spellEnd"/>
      <w:r w:rsidRPr="000E4FE6">
        <w:rPr>
          <w:rFonts w:ascii="Times New Roman" w:hAnsi="Times New Roman" w:cs="Times New Roman"/>
          <w:sz w:val="24"/>
          <w:szCs w:val="24"/>
        </w:rPr>
        <w:t>, D. (2013). Shared meals among young adults are associated with better diet quality and predicted by family meal patterns during adolescence.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(5), 883–893. https://doi.org/10.1017/S1368980012003539</w:t>
      </w:r>
    </w:p>
    <w:p w14:paraId="00000DC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Larson, N. I., Story, M., Eisenberg, M. E., and </w:t>
      </w:r>
      <w:proofErr w:type="spellStart"/>
      <w:r w:rsidRPr="000E4FE6">
        <w:rPr>
          <w:rFonts w:ascii="Times New Roman" w:hAnsi="Times New Roman" w:cs="Times New Roman"/>
          <w:sz w:val="24"/>
          <w:szCs w:val="24"/>
        </w:rPr>
        <w:t>Neumark-Sztainer</w:t>
      </w:r>
      <w:proofErr w:type="spellEnd"/>
      <w:r w:rsidRPr="000E4FE6">
        <w:rPr>
          <w:rFonts w:ascii="Times New Roman" w:hAnsi="Times New Roman" w:cs="Times New Roman"/>
          <w:sz w:val="24"/>
          <w:szCs w:val="24"/>
        </w:rPr>
        <w:t>, D. (2006). Food preparation and purchasing roles among adolescents: associations with sociodemographic characteristics and diet quality. </w:t>
      </w:r>
      <w:r w:rsidRPr="000E4FE6">
        <w:rPr>
          <w:rFonts w:ascii="Times New Roman" w:hAnsi="Times New Roman" w:cs="Times New Roman"/>
          <w:i/>
          <w:sz w:val="24"/>
          <w:szCs w:val="24"/>
        </w:rPr>
        <w:t>Journal of the 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106</w:t>
      </w:r>
      <w:r w:rsidRPr="000E4FE6">
        <w:rPr>
          <w:rFonts w:ascii="Times New Roman" w:hAnsi="Times New Roman" w:cs="Times New Roman"/>
          <w:sz w:val="24"/>
          <w:szCs w:val="24"/>
        </w:rPr>
        <w:t>(2), 211–218. https://doi.org/10.1016/j.jada.2005.10.029</w:t>
      </w:r>
    </w:p>
    <w:p w14:paraId="00000DC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Larson, N., and Story, M. (2009). A review of environmental influences on food choices. </w:t>
      </w:r>
      <w:r w:rsidRPr="000E4FE6">
        <w:rPr>
          <w:rFonts w:ascii="Times New Roman" w:hAnsi="Times New Roman" w:cs="Times New Roman"/>
          <w:i/>
          <w:sz w:val="24"/>
          <w:szCs w:val="24"/>
        </w:rPr>
        <w:t xml:space="preserve">Annals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38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1</w:t>
      </w:r>
      <w:r w:rsidRPr="000E4FE6">
        <w:rPr>
          <w:rFonts w:ascii="Times New Roman" w:hAnsi="Times New Roman" w:cs="Times New Roman"/>
          <w:sz w:val="24"/>
          <w:szCs w:val="24"/>
        </w:rPr>
        <w:t>, S56-73. https://doi.org/10.1007/s12160-009-9120-9</w:t>
      </w:r>
    </w:p>
    <w:p w14:paraId="00000DC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Laska, M. N., Larson, N. I., </w:t>
      </w:r>
      <w:proofErr w:type="spellStart"/>
      <w:r w:rsidRPr="000E4FE6">
        <w:rPr>
          <w:rFonts w:ascii="Times New Roman" w:hAnsi="Times New Roman" w:cs="Times New Roman"/>
          <w:sz w:val="24"/>
          <w:szCs w:val="24"/>
        </w:rPr>
        <w:t>Neumark-Sztainer</w:t>
      </w:r>
      <w:proofErr w:type="spellEnd"/>
      <w:r w:rsidRPr="000E4FE6">
        <w:rPr>
          <w:rFonts w:ascii="Times New Roman" w:hAnsi="Times New Roman" w:cs="Times New Roman"/>
          <w:sz w:val="24"/>
          <w:szCs w:val="24"/>
        </w:rPr>
        <w:t>, D., and Story, M. (2012). Does involvement in food preparation track from adolescence to young adulthood and is it associated with better dietary quality? Findings from a 10-year longitudinal study.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(7), 1150–1158. https://doi.org/10.1017/S1368980011003004</w:t>
      </w:r>
    </w:p>
    <w:p w14:paraId="00000DD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Laska, M. N., Murray, D. M., Lytle, L. A., and </w:t>
      </w:r>
      <w:proofErr w:type="spellStart"/>
      <w:r w:rsidRPr="000E4FE6">
        <w:rPr>
          <w:rFonts w:ascii="Times New Roman" w:hAnsi="Times New Roman" w:cs="Times New Roman"/>
          <w:sz w:val="24"/>
          <w:szCs w:val="24"/>
        </w:rPr>
        <w:t>Harnack</w:t>
      </w:r>
      <w:proofErr w:type="spellEnd"/>
      <w:r w:rsidRPr="000E4FE6">
        <w:rPr>
          <w:rFonts w:ascii="Times New Roman" w:hAnsi="Times New Roman" w:cs="Times New Roman"/>
          <w:sz w:val="24"/>
          <w:szCs w:val="24"/>
        </w:rPr>
        <w:t xml:space="preserve">, L. J. (2012). Longitudinal associations between key dietary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and weight gain over time: transitions through the adolescent years.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20</w:t>
      </w:r>
      <w:r w:rsidRPr="000E4FE6">
        <w:rPr>
          <w:rFonts w:ascii="Times New Roman" w:hAnsi="Times New Roman" w:cs="Times New Roman"/>
          <w:sz w:val="24"/>
          <w:szCs w:val="24"/>
        </w:rPr>
        <w:t>(1), 118–125. https://doi.org/10.1038/oby.2011.179</w:t>
      </w:r>
    </w:p>
    <w:p w14:paraId="00000DD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Leblanc, V., Provencher, V., </w:t>
      </w:r>
      <w:proofErr w:type="spellStart"/>
      <w:r w:rsidRPr="000E4FE6">
        <w:rPr>
          <w:rFonts w:ascii="Times New Roman" w:hAnsi="Times New Roman" w:cs="Times New Roman"/>
          <w:sz w:val="24"/>
          <w:szCs w:val="24"/>
        </w:rPr>
        <w:t>Bégin</w:t>
      </w:r>
      <w:proofErr w:type="spellEnd"/>
      <w:r w:rsidRPr="000E4FE6">
        <w:rPr>
          <w:rFonts w:ascii="Times New Roman" w:hAnsi="Times New Roman" w:cs="Times New Roman"/>
          <w:sz w:val="24"/>
          <w:szCs w:val="24"/>
        </w:rPr>
        <w:t xml:space="preserve">, C., Gagnon-Girouard, M.-P., </w:t>
      </w:r>
      <w:proofErr w:type="spellStart"/>
      <w:r w:rsidRPr="000E4FE6">
        <w:rPr>
          <w:rFonts w:ascii="Times New Roman" w:hAnsi="Times New Roman" w:cs="Times New Roman"/>
          <w:sz w:val="24"/>
          <w:szCs w:val="24"/>
        </w:rPr>
        <w:t>Corneau</w:t>
      </w:r>
      <w:proofErr w:type="spellEnd"/>
      <w:r w:rsidRPr="000E4FE6">
        <w:rPr>
          <w:rFonts w:ascii="Times New Roman" w:hAnsi="Times New Roman" w:cs="Times New Roman"/>
          <w:sz w:val="24"/>
          <w:szCs w:val="24"/>
        </w:rPr>
        <w:t xml:space="preserve">, L., Tremblay, A., and Lemieux, S. (2012). Associations between eating patterns, dietary intakes and </w:t>
      </w:r>
      <w:r w:rsidRPr="000E4FE6">
        <w:rPr>
          <w:rFonts w:ascii="Times New Roman" w:hAnsi="Times New Roman" w:cs="Times New Roman"/>
          <w:sz w:val="24"/>
          <w:szCs w:val="24"/>
        </w:rPr>
        <w:lastRenderedPageBreak/>
        <w:t xml:space="preserve">eating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in premenopausal overweight women.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13</w:t>
      </w:r>
      <w:r w:rsidRPr="000E4FE6">
        <w:rPr>
          <w:rFonts w:ascii="Times New Roman" w:hAnsi="Times New Roman" w:cs="Times New Roman"/>
          <w:sz w:val="24"/>
          <w:szCs w:val="24"/>
        </w:rPr>
        <w:t>(2), 162–165. https://doi.org/10.1016/j.eatbeh.2011.12.002</w:t>
      </w:r>
    </w:p>
    <w:p w14:paraId="00000DD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Ledikwe</w:t>
      </w:r>
      <w:proofErr w:type="spellEnd"/>
      <w:r w:rsidRPr="000E4FE6">
        <w:rPr>
          <w:rFonts w:ascii="Times New Roman" w:hAnsi="Times New Roman" w:cs="Times New Roman"/>
          <w:sz w:val="24"/>
          <w:szCs w:val="24"/>
        </w:rPr>
        <w:t xml:space="preserve">, J. H., </w:t>
      </w:r>
      <w:proofErr w:type="spellStart"/>
      <w:r w:rsidRPr="000E4FE6">
        <w:rPr>
          <w:rFonts w:ascii="Times New Roman" w:hAnsi="Times New Roman" w:cs="Times New Roman"/>
          <w:sz w:val="24"/>
          <w:szCs w:val="24"/>
        </w:rPr>
        <w:t>Blanck</w:t>
      </w:r>
      <w:proofErr w:type="spellEnd"/>
      <w:r w:rsidRPr="000E4FE6">
        <w:rPr>
          <w:rFonts w:ascii="Times New Roman" w:hAnsi="Times New Roman" w:cs="Times New Roman"/>
          <w:sz w:val="24"/>
          <w:szCs w:val="24"/>
        </w:rPr>
        <w:t xml:space="preserve">, H. M., </w:t>
      </w:r>
      <w:proofErr w:type="spellStart"/>
      <w:r w:rsidRPr="000E4FE6">
        <w:rPr>
          <w:rFonts w:ascii="Times New Roman" w:hAnsi="Times New Roman" w:cs="Times New Roman"/>
          <w:sz w:val="24"/>
          <w:szCs w:val="24"/>
        </w:rPr>
        <w:t>Kettel</w:t>
      </w:r>
      <w:proofErr w:type="spellEnd"/>
      <w:r w:rsidRPr="000E4FE6">
        <w:rPr>
          <w:rFonts w:ascii="Times New Roman" w:hAnsi="Times New Roman" w:cs="Times New Roman"/>
          <w:sz w:val="24"/>
          <w:szCs w:val="24"/>
        </w:rPr>
        <w:t xml:space="preserve"> Khan, L., </w:t>
      </w:r>
      <w:proofErr w:type="spellStart"/>
      <w:r w:rsidRPr="000E4FE6">
        <w:rPr>
          <w:rFonts w:ascii="Times New Roman" w:hAnsi="Times New Roman" w:cs="Times New Roman"/>
          <w:sz w:val="24"/>
          <w:szCs w:val="24"/>
        </w:rPr>
        <w:t>Serdula</w:t>
      </w:r>
      <w:proofErr w:type="spellEnd"/>
      <w:r w:rsidRPr="000E4FE6">
        <w:rPr>
          <w:rFonts w:ascii="Times New Roman" w:hAnsi="Times New Roman" w:cs="Times New Roman"/>
          <w:sz w:val="24"/>
          <w:szCs w:val="24"/>
        </w:rPr>
        <w:t xml:space="preserve">, M. K., Seymour, J. D., </w:t>
      </w:r>
      <w:proofErr w:type="spellStart"/>
      <w:r w:rsidRPr="000E4FE6">
        <w:rPr>
          <w:rFonts w:ascii="Times New Roman" w:hAnsi="Times New Roman" w:cs="Times New Roman"/>
          <w:sz w:val="24"/>
          <w:szCs w:val="24"/>
        </w:rPr>
        <w:t>Tohill</w:t>
      </w:r>
      <w:proofErr w:type="spellEnd"/>
      <w:r w:rsidRPr="000E4FE6">
        <w:rPr>
          <w:rFonts w:ascii="Times New Roman" w:hAnsi="Times New Roman" w:cs="Times New Roman"/>
          <w:sz w:val="24"/>
          <w:szCs w:val="24"/>
        </w:rPr>
        <w:t>, B. C., and Rolls, B. J. (2006). Dietary energy density is associated with energy intake and weight status in US adults.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83</w:t>
      </w:r>
      <w:r w:rsidRPr="000E4FE6">
        <w:rPr>
          <w:rFonts w:ascii="Times New Roman" w:hAnsi="Times New Roman" w:cs="Times New Roman"/>
          <w:sz w:val="24"/>
          <w:szCs w:val="24"/>
        </w:rPr>
        <w:t>(6), 1362–1368. https://doi.org/10.1093/ajcn/83.6.1362</w:t>
      </w:r>
    </w:p>
    <w:p w14:paraId="00000DD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Lee, J. S., Mishra, G., Hayashi, K., Watanabe, E., Mori, K., and Kawakubo, K. (2016). Combined eating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and overweight: Eating quickly, late evening meals, and skipping breakfast.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 84–88. https://doi.org/10.1016/j.eatbeh.2016.01.009</w:t>
      </w:r>
    </w:p>
    <w:p w14:paraId="00000DD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Leech</w:t>
      </w:r>
      <w:proofErr w:type="spellEnd"/>
      <w:r w:rsidRPr="000E4FE6">
        <w:rPr>
          <w:rFonts w:ascii="Times New Roman" w:hAnsi="Times New Roman" w:cs="Times New Roman"/>
          <w:sz w:val="24"/>
          <w:szCs w:val="24"/>
        </w:rPr>
        <w:t>, R. M., Timperio, A., Livingstone, K. M., Worsley, A., and McNaughton, S. A. (2017). Temporal eating patterns: associations with nutrient intakes, diet quality, and measures of adiposity.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106</w:t>
      </w:r>
      <w:r w:rsidRPr="000E4FE6">
        <w:rPr>
          <w:rFonts w:ascii="Times New Roman" w:hAnsi="Times New Roman" w:cs="Times New Roman"/>
          <w:sz w:val="24"/>
          <w:szCs w:val="24"/>
        </w:rPr>
        <w:t>(4), 1121–1130. https://doi.org/10.3945/ajcn.117.156588</w:t>
      </w:r>
    </w:p>
    <w:p w14:paraId="00000DD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Leech</w:t>
      </w:r>
      <w:proofErr w:type="spellEnd"/>
      <w:r w:rsidRPr="000E4FE6">
        <w:rPr>
          <w:rFonts w:ascii="Times New Roman" w:hAnsi="Times New Roman" w:cs="Times New Roman"/>
          <w:sz w:val="24"/>
          <w:szCs w:val="24"/>
        </w:rPr>
        <w:t>, R. M., Worsley, A., Timperio, A., and McNaughton, S. A. (2015). Understanding meal patterns: definitions, methodology and impact on nutrient intake and diet quality. </w:t>
      </w:r>
      <w:r w:rsidRPr="000E4FE6">
        <w:rPr>
          <w:rFonts w:ascii="Times New Roman" w:hAnsi="Times New Roman" w:cs="Times New Roman"/>
          <w:i/>
          <w:sz w:val="24"/>
          <w:szCs w:val="24"/>
        </w:rPr>
        <w:t>Nutrition Research Reviews</w:t>
      </w:r>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(1), 1–21. https://doi.org/10.1017/S0954422414000262</w:t>
      </w:r>
    </w:p>
    <w:p w14:paraId="00000DD6" w14:textId="59F07C5D" w:rsidR="00CB4215"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Lehto</w:t>
      </w:r>
      <w:proofErr w:type="spellEnd"/>
      <w:r w:rsidRPr="000E4FE6">
        <w:rPr>
          <w:rFonts w:ascii="Times New Roman" w:hAnsi="Times New Roman" w:cs="Times New Roman"/>
          <w:sz w:val="24"/>
          <w:szCs w:val="24"/>
        </w:rPr>
        <w:t xml:space="preserve">, R., Ray, C., Lahti-Koski, M., and </w:t>
      </w:r>
      <w:proofErr w:type="spellStart"/>
      <w:r w:rsidRPr="000E4FE6">
        <w:rPr>
          <w:rFonts w:ascii="Times New Roman" w:hAnsi="Times New Roman" w:cs="Times New Roman"/>
          <w:sz w:val="24"/>
          <w:szCs w:val="24"/>
        </w:rPr>
        <w:t>Roos</w:t>
      </w:r>
      <w:proofErr w:type="spellEnd"/>
      <w:r w:rsidRPr="000E4FE6">
        <w:rPr>
          <w:rFonts w:ascii="Times New Roman" w:hAnsi="Times New Roman" w:cs="Times New Roman"/>
          <w:sz w:val="24"/>
          <w:szCs w:val="24"/>
        </w:rPr>
        <w:t>, E. (2011). Meal pattern and BMI in 9-11-year-old children in Finland.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14</w:t>
      </w:r>
      <w:r w:rsidRPr="000E4FE6">
        <w:rPr>
          <w:rFonts w:ascii="Times New Roman" w:hAnsi="Times New Roman" w:cs="Times New Roman"/>
          <w:sz w:val="24"/>
          <w:szCs w:val="24"/>
        </w:rPr>
        <w:t xml:space="preserve">(7), 1245–1250. </w:t>
      </w:r>
      <w:hyperlink r:id="rId828" w:history="1">
        <w:r w:rsidR="00743AE7" w:rsidRPr="00CB0261">
          <w:rPr>
            <w:rStyle w:val="Hyperlink"/>
            <w:rFonts w:ascii="Times New Roman" w:hAnsi="Times New Roman" w:cs="Times New Roman"/>
            <w:sz w:val="24"/>
            <w:szCs w:val="24"/>
          </w:rPr>
          <w:t>https://doi.org/10.1017/S1368980010003034</w:t>
        </w:r>
      </w:hyperlink>
    </w:p>
    <w:p w14:paraId="2CBBDC76" w14:textId="2BF35B2B"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t>Leidy, H. J. (2014). Increased dietary protein as a dietary strategy to prevent and/or treat obesity. Missouri Medicine, 111(1), 54–58.</w:t>
      </w:r>
    </w:p>
    <w:p w14:paraId="00000DD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Leidy, H. J., Tang, M., Armstrong, C. L. H., Martin, C. B., and Campbell, W. W. (2011). The effects of consuming frequent, higher protein meals on appetite and satiety during </w:t>
      </w:r>
      <w:r w:rsidRPr="000E4FE6">
        <w:rPr>
          <w:rFonts w:ascii="Times New Roman" w:hAnsi="Times New Roman" w:cs="Times New Roman"/>
          <w:sz w:val="24"/>
          <w:szCs w:val="24"/>
        </w:rPr>
        <w:lastRenderedPageBreak/>
        <w:t>weight loss in overweight/obese men.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(4), 818–824. https://doi.org/10.1038/oby.2010.203</w:t>
      </w:r>
    </w:p>
    <w:p w14:paraId="00000DD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Lent, M. R., Atwood, M., Bennett, W. L., Woolf, T. B., Martin, L., Zhao, D., … Coughlin, J. W. (2022). Night eating, weight, and health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in adults participating in the Daily24 study.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45</w:t>
      </w:r>
      <w:r w:rsidRPr="000E4FE6">
        <w:rPr>
          <w:rFonts w:ascii="Times New Roman" w:hAnsi="Times New Roman" w:cs="Times New Roman"/>
          <w:sz w:val="24"/>
          <w:szCs w:val="24"/>
        </w:rPr>
        <w:t>, 101605. https://doi.org/10.1016/j.eatbeh.2022.101605</w:t>
      </w:r>
    </w:p>
    <w:p w14:paraId="00000DD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Lerche</w:t>
      </w:r>
      <w:proofErr w:type="spellEnd"/>
      <w:r w:rsidRPr="000E4FE6">
        <w:rPr>
          <w:rFonts w:ascii="Times New Roman" w:hAnsi="Times New Roman" w:cs="Times New Roman"/>
          <w:sz w:val="24"/>
          <w:szCs w:val="24"/>
        </w:rPr>
        <w:t>, L. (2012). </w:t>
      </w:r>
      <w:r w:rsidRPr="000E4FE6">
        <w:rPr>
          <w:rFonts w:ascii="Times New Roman" w:hAnsi="Times New Roman" w:cs="Times New Roman"/>
          <w:i/>
          <w:sz w:val="24"/>
          <w:szCs w:val="24"/>
        </w:rPr>
        <w:t>Quantitative Methods</w:t>
      </w:r>
      <w:r w:rsidRPr="000E4FE6">
        <w:rPr>
          <w:rFonts w:ascii="Times New Roman" w:hAnsi="Times New Roman" w:cs="Times New Roman"/>
          <w:sz w:val="24"/>
          <w:szCs w:val="24"/>
        </w:rPr>
        <w:t>. Elsevier.</w:t>
      </w:r>
    </w:p>
    <w:p w14:paraId="00000DD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Leung, D. Y., Lam, T.-H., and Chan, S. S. (2010). Three versions of Perceived Stress Scale: validation in a sample of Chinese cardiac patients who smoke. </w:t>
      </w:r>
      <w:r w:rsidRPr="000E4FE6">
        <w:rPr>
          <w:rFonts w:ascii="Times New Roman" w:hAnsi="Times New Roman" w:cs="Times New Roman"/>
          <w:i/>
          <w:sz w:val="24"/>
          <w:szCs w:val="24"/>
        </w:rPr>
        <w:t>BMC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 513. https://doi.org/10.1186/1471-2458-10-513</w:t>
      </w:r>
    </w:p>
    <w:p w14:paraId="00000DD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Leung, G. K. W., Huggins, C. E., and Bonham, M. P. (2019). Effect of meal timing on postprandial glucose responses to a low </w:t>
      </w:r>
      <w:proofErr w:type="spellStart"/>
      <w:r w:rsidRPr="000E4FE6">
        <w:rPr>
          <w:rFonts w:ascii="Times New Roman" w:hAnsi="Times New Roman" w:cs="Times New Roman"/>
          <w:sz w:val="24"/>
          <w:szCs w:val="24"/>
        </w:rPr>
        <w:t>glycemic</w:t>
      </w:r>
      <w:proofErr w:type="spellEnd"/>
      <w:r w:rsidRPr="000E4FE6">
        <w:rPr>
          <w:rFonts w:ascii="Times New Roman" w:hAnsi="Times New Roman" w:cs="Times New Roman"/>
          <w:sz w:val="24"/>
          <w:szCs w:val="24"/>
        </w:rPr>
        <w:t xml:space="preserve"> index meal: A crossover trial in healthy volunteers. </w:t>
      </w:r>
      <w:r w:rsidRPr="000E4FE6">
        <w:rPr>
          <w:rFonts w:ascii="Times New Roman" w:hAnsi="Times New Roman" w:cs="Times New Roman"/>
          <w:i/>
          <w:sz w:val="24"/>
          <w:szCs w:val="24"/>
        </w:rPr>
        <w:t>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38</w:t>
      </w:r>
      <w:r w:rsidRPr="000E4FE6">
        <w:rPr>
          <w:rFonts w:ascii="Times New Roman" w:hAnsi="Times New Roman" w:cs="Times New Roman"/>
          <w:sz w:val="24"/>
          <w:szCs w:val="24"/>
        </w:rPr>
        <w:t>(1), 465–471. https://doi.org/10.1016/j.clnu.2017.11.010</w:t>
      </w:r>
    </w:p>
    <w:p w14:paraId="00000DD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Levine, J. A., </w:t>
      </w:r>
      <w:proofErr w:type="spellStart"/>
      <w:r w:rsidRPr="000E4FE6">
        <w:rPr>
          <w:rFonts w:ascii="Times New Roman" w:hAnsi="Times New Roman" w:cs="Times New Roman"/>
          <w:sz w:val="24"/>
          <w:szCs w:val="24"/>
        </w:rPr>
        <w:t>Baukol</w:t>
      </w:r>
      <w:proofErr w:type="spellEnd"/>
      <w:r w:rsidRPr="000E4FE6">
        <w:rPr>
          <w:rFonts w:ascii="Times New Roman" w:hAnsi="Times New Roman" w:cs="Times New Roman"/>
          <w:sz w:val="24"/>
          <w:szCs w:val="24"/>
        </w:rPr>
        <w:t xml:space="preserve">, P. A., and </w:t>
      </w:r>
      <w:proofErr w:type="spellStart"/>
      <w:r w:rsidRPr="000E4FE6">
        <w:rPr>
          <w:rFonts w:ascii="Times New Roman" w:hAnsi="Times New Roman" w:cs="Times New Roman"/>
          <w:sz w:val="24"/>
          <w:szCs w:val="24"/>
        </w:rPr>
        <w:t>Westerterp</w:t>
      </w:r>
      <w:proofErr w:type="spellEnd"/>
      <w:r w:rsidRPr="000E4FE6">
        <w:rPr>
          <w:rFonts w:ascii="Times New Roman" w:hAnsi="Times New Roman" w:cs="Times New Roman"/>
          <w:sz w:val="24"/>
          <w:szCs w:val="24"/>
        </w:rPr>
        <w:t xml:space="preserve">, K. R. (2001). Validation of the </w:t>
      </w:r>
      <w:proofErr w:type="spellStart"/>
      <w:r w:rsidRPr="000E4FE6">
        <w:rPr>
          <w:rFonts w:ascii="Times New Roman" w:hAnsi="Times New Roman" w:cs="Times New Roman"/>
          <w:sz w:val="24"/>
          <w:szCs w:val="24"/>
        </w:rPr>
        <w:t>Tracmor</w:t>
      </w:r>
      <w:proofErr w:type="spellEnd"/>
      <w:r w:rsidRPr="000E4FE6">
        <w:rPr>
          <w:rFonts w:ascii="Times New Roman" w:hAnsi="Times New Roman" w:cs="Times New Roman"/>
          <w:sz w:val="24"/>
          <w:szCs w:val="24"/>
        </w:rPr>
        <w:t xml:space="preserve"> triaxial accelerometer system for walking. </w:t>
      </w:r>
      <w:r w:rsidRPr="000E4FE6">
        <w:rPr>
          <w:rFonts w:ascii="Times New Roman" w:hAnsi="Times New Roman" w:cs="Times New Roman"/>
          <w:i/>
          <w:sz w:val="24"/>
          <w:szCs w:val="24"/>
        </w:rPr>
        <w:t>Medicine and Science in Sports and Exercise</w:t>
      </w:r>
      <w:r w:rsidRPr="000E4FE6">
        <w:rPr>
          <w:rFonts w:ascii="Times New Roman" w:hAnsi="Times New Roman" w:cs="Times New Roman"/>
          <w:sz w:val="24"/>
          <w:szCs w:val="24"/>
        </w:rPr>
        <w:t>, </w:t>
      </w:r>
      <w:r w:rsidRPr="000E4FE6">
        <w:rPr>
          <w:rFonts w:ascii="Times New Roman" w:hAnsi="Times New Roman" w:cs="Times New Roman"/>
          <w:i/>
          <w:sz w:val="24"/>
          <w:szCs w:val="24"/>
        </w:rPr>
        <w:t>33</w:t>
      </w:r>
      <w:r w:rsidRPr="000E4FE6">
        <w:rPr>
          <w:rFonts w:ascii="Times New Roman" w:hAnsi="Times New Roman" w:cs="Times New Roman"/>
          <w:sz w:val="24"/>
          <w:szCs w:val="24"/>
        </w:rPr>
        <w:t>(9), 1593–1597. https://doi.org/10.1097/00005768-200109000-00024</w:t>
      </w:r>
    </w:p>
    <w:p w14:paraId="00000DD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Levine, J. A., Eberhardt, N. L., and Jensen, M. D. (1999). Role of </w:t>
      </w:r>
      <w:proofErr w:type="spellStart"/>
      <w:r w:rsidRPr="000E4FE6">
        <w:rPr>
          <w:rFonts w:ascii="Times New Roman" w:hAnsi="Times New Roman" w:cs="Times New Roman"/>
          <w:sz w:val="24"/>
          <w:szCs w:val="24"/>
        </w:rPr>
        <w:t>nonexercise</w:t>
      </w:r>
      <w:proofErr w:type="spellEnd"/>
      <w:r w:rsidRPr="000E4FE6">
        <w:rPr>
          <w:rFonts w:ascii="Times New Roman" w:hAnsi="Times New Roman" w:cs="Times New Roman"/>
          <w:sz w:val="24"/>
          <w:szCs w:val="24"/>
        </w:rPr>
        <w:t xml:space="preserve"> activity thermogenesis in resistance to fat gain in humans. </w:t>
      </w:r>
      <w:r w:rsidRPr="000E4FE6">
        <w:rPr>
          <w:rFonts w:ascii="Times New Roman" w:hAnsi="Times New Roman" w:cs="Times New Roman"/>
          <w:i/>
          <w:sz w:val="24"/>
          <w:szCs w:val="24"/>
        </w:rPr>
        <w:t>Science</w:t>
      </w:r>
      <w:r w:rsidRPr="000E4FE6">
        <w:rPr>
          <w:rFonts w:ascii="Times New Roman" w:hAnsi="Times New Roman" w:cs="Times New Roman"/>
          <w:sz w:val="24"/>
          <w:szCs w:val="24"/>
        </w:rPr>
        <w:t>, </w:t>
      </w:r>
      <w:r w:rsidRPr="000E4FE6">
        <w:rPr>
          <w:rFonts w:ascii="Times New Roman" w:hAnsi="Times New Roman" w:cs="Times New Roman"/>
          <w:i/>
          <w:sz w:val="24"/>
          <w:szCs w:val="24"/>
        </w:rPr>
        <w:t>283</w:t>
      </w:r>
      <w:r w:rsidRPr="000E4FE6">
        <w:rPr>
          <w:rFonts w:ascii="Times New Roman" w:hAnsi="Times New Roman" w:cs="Times New Roman"/>
          <w:sz w:val="24"/>
          <w:szCs w:val="24"/>
        </w:rPr>
        <w:t>(5399), 212–214. https://doi.org/10.1126/science.283.5399.212</w:t>
      </w:r>
    </w:p>
    <w:p w14:paraId="00000DD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Linseisen</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Bergström</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Gafá</w:t>
      </w:r>
      <w:proofErr w:type="spellEnd"/>
      <w:r w:rsidRPr="000E4FE6">
        <w:rPr>
          <w:rFonts w:ascii="Times New Roman" w:hAnsi="Times New Roman" w:cs="Times New Roman"/>
          <w:sz w:val="24"/>
          <w:szCs w:val="24"/>
        </w:rPr>
        <w:t xml:space="preserve">, L., González, C. A., </w:t>
      </w:r>
      <w:proofErr w:type="spellStart"/>
      <w:r w:rsidRPr="000E4FE6">
        <w:rPr>
          <w:rFonts w:ascii="Times New Roman" w:hAnsi="Times New Roman" w:cs="Times New Roman"/>
          <w:sz w:val="24"/>
          <w:szCs w:val="24"/>
        </w:rPr>
        <w:t>Thiébaut</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Trichopoulou</w:t>
      </w:r>
      <w:proofErr w:type="spellEnd"/>
      <w:r w:rsidRPr="000E4FE6">
        <w:rPr>
          <w:rFonts w:ascii="Times New Roman" w:hAnsi="Times New Roman" w:cs="Times New Roman"/>
          <w:sz w:val="24"/>
          <w:szCs w:val="24"/>
        </w:rPr>
        <w:t>, A., … Slimani, N. (2002). Consumption of added fats and oils in the European Prospective Investigation into Cancer and Nutrition (EPIC) centres across 10 European countries as assessed by 24-hour dietary recalls.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w:t>
      </w:r>
      <w:r w:rsidRPr="000E4FE6">
        <w:rPr>
          <w:rFonts w:ascii="Times New Roman" w:hAnsi="Times New Roman" w:cs="Times New Roman"/>
          <w:sz w:val="24"/>
          <w:szCs w:val="24"/>
        </w:rPr>
        <w:t>(6B), 1227–1242. https://doi.org/10.1079/PHN2002401</w:t>
      </w:r>
    </w:p>
    <w:p w14:paraId="00000DD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Lissner</w:t>
      </w:r>
      <w:proofErr w:type="spellEnd"/>
      <w:r w:rsidRPr="000E4FE6">
        <w:rPr>
          <w:rFonts w:ascii="Times New Roman" w:hAnsi="Times New Roman" w:cs="Times New Roman"/>
          <w:sz w:val="24"/>
          <w:szCs w:val="24"/>
        </w:rPr>
        <w:t xml:space="preserve">, L., and </w:t>
      </w:r>
      <w:proofErr w:type="spellStart"/>
      <w:r w:rsidRPr="000E4FE6">
        <w:rPr>
          <w:rFonts w:ascii="Times New Roman" w:hAnsi="Times New Roman" w:cs="Times New Roman"/>
          <w:sz w:val="24"/>
          <w:szCs w:val="24"/>
        </w:rPr>
        <w:t>Heitmann</w:t>
      </w:r>
      <w:proofErr w:type="spellEnd"/>
      <w:r w:rsidRPr="000E4FE6">
        <w:rPr>
          <w:rFonts w:ascii="Times New Roman" w:hAnsi="Times New Roman" w:cs="Times New Roman"/>
          <w:sz w:val="24"/>
          <w:szCs w:val="24"/>
        </w:rPr>
        <w:t>, B. L. (1995). Dietary fat and obesity: evidence from epidemiology. </w:t>
      </w:r>
      <w:r w:rsidRPr="000E4FE6">
        <w:rPr>
          <w:rFonts w:ascii="Times New Roman" w:hAnsi="Times New Roman" w:cs="Times New Roman"/>
          <w:i/>
          <w:sz w:val="24"/>
          <w:szCs w:val="24"/>
        </w:rPr>
        <w:t>European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49</w:t>
      </w:r>
      <w:r w:rsidRPr="000E4FE6">
        <w:rPr>
          <w:rFonts w:ascii="Times New Roman" w:hAnsi="Times New Roman" w:cs="Times New Roman"/>
          <w:sz w:val="24"/>
          <w:szCs w:val="24"/>
        </w:rPr>
        <w:t>(2), 79–90.</w:t>
      </w:r>
    </w:p>
    <w:p w14:paraId="00000DE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Liu, W., Luo, X., Huang, Y., Zhao, M., Liu, T., Wang, J., and Feng, F. (2023). Influence of cooking techniques on food quality, digestibility, and health risks regarding lipid oxidation. </w:t>
      </w:r>
      <w:r w:rsidRPr="000E4FE6">
        <w:rPr>
          <w:rFonts w:ascii="Times New Roman" w:hAnsi="Times New Roman" w:cs="Times New Roman"/>
          <w:i/>
          <w:sz w:val="24"/>
          <w:szCs w:val="24"/>
        </w:rPr>
        <w:t>Food Research International (Ottawa, Ont.)</w:t>
      </w:r>
      <w:r w:rsidRPr="000E4FE6">
        <w:rPr>
          <w:rFonts w:ascii="Times New Roman" w:hAnsi="Times New Roman" w:cs="Times New Roman"/>
          <w:sz w:val="24"/>
          <w:szCs w:val="24"/>
        </w:rPr>
        <w:t>, </w:t>
      </w:r>
      <w:r w:rsidRPr="000E4FE6">
        <w:rPr>
          <w:rFonts w:ascii="Times New Roman" w:hAnsi="Times New Roman" w:cs="Times New Roman"/>
          <w:i/>
          <w:sz w:val="24"/>
          <w:szCs w:val="24"/>
        </w:rPr>
        <w:t>167</w:t>
      </w:r>
      <w:r w:rsidRPr="000E4FE6">
        <w:rPr>
          <w:rFonts w:ascii="Times New Roman" w:hAnsi="Times New Roman" w:cs="Times New Roman"/>
          <w:sz w:val="24"/>
          <w:szCs w:val="24"/>
        </w:rPr>
        <w:t>, 112685. https://doi.org/10.1016/j.foodres.2023.112685</w:t>
      </w:r>
    </w:p>
    <w:p w14:paraId="00000DE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Livingstone, M. B. E., and Black, A. E. (2003). Markers of the validity of reported energy intake. </w:t>
      </w:r>
      <w:r w:rsidRPr="000E4FE6">
        <w:rPr>
          <w:rFonts w:ascii="Times New Roman" w:hAnsi="Times New Roman" w:cs="Times New Roman"/>
          <w:i/>
          <w:sz w:val="24"/>
          <w:szCs w:val="24"/>
        </w:rPr>
        <w:t>The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133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3</w:t>
      </w:r>
      <w:r w:rsidRPr="000E4FE6">
        <w:rPr>
          <w:rFonts w:ascii="Times New Roman" w:hAnsi="Times New Roman" w:cs="Times New Roman"/>
          <w:sz w:val="24"/>
          <w:szCs w:val="24"/>
        </w:rPr>
        <w:t>, 895S-920S. https://doi.org/10.1093/jn/133.3.895S</w:t>
      </w:r>
    </w:p>
    <w:p w14:paraId="00000DE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Livingstone, M. B. E., Robson, P. J., Welch, R. W., Burns, A. A., Burrows, M. S., and McCormack, C. (2000). Methodological issues in the assessment of satiety. </w:t>
      </w:r>
      <w:proofErr w:type="spellStart"/>
      <w:r w:rsidRPr="000E4FE6">
        <w:rPr>
          <w:rFonts w:ascii="Times New Roman" w:hAnsi="Times New Roman" w:cs="Times New Roman"/>
          <w:i/>
          <w:sz w:val="24"/>
          <w:szCs w:val="24"/>
        </w:rPr>
        <w:t>Näringsforskning</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44</w:t>
      </w:r>
      <w:r w:rsidRPr="000E4FE6">
        <w:rPr>
          <w:rFonts w:ascii="Times New Roman" w:hAnsi="Times New Roman" w:cs="Times New Roman"/>
          <w:sz w:val="24"/>
          <w:szCs w:val="24"/>
        </w:rPr>
        <w:t>(1), 98–103. https://doi.org/10.3402/fnr.v44i0.1776</w:t>
      </w:r>
    </w:p>
    <w:p w14:paraId="00000DE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Llewellyn, C. H., </w:t>
      </w:r>
      <w:proofErr w:type="spellStart"/>
      <w:r w:rsidRPr="000E4FE6">
        <w:rPr>
          <w:rFonts w:ascii="Times New Roman" w:hAnsi="Times New Roman" w:cs="Times New Roman"/>
          <w:sz w:val="24"/>
          <w:szCs w:val="24"/>
        </w:rPr>
        <w:t>Kininmonth</w:t>
      </w:r>
      <w:proofErr w:type="spellEnd"/>
      <w:r w:rsidRPr="000E4FE6">
        <w:rPr>
          <w:rFonts w:ascii="Times New Roman" w:hAnsi="Times New Roman" w:cs="Times New Roman"/>
          <w:sz w:val="24"/>
          <w:szCs w:val="24"/>
        </w:rPr>
        <w:t xml:space="preserve">, A. R., </w:t>
      </w:r>
      <w:proofErr w:type="spellStart"/>
      <w:r w:rsidRPr="000E4FE6">
        <w:rPr>
          <w:rFonts w:ascii="Times New Roman" w:hAnsi="Times New Roman" w:cs="Times New Roman"/>
          <w:sz w:val="24"/>
          <w:szCs w:val="24"/>
        </w:rPr>
        <w:t>Herle</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Nas</w:t>
      </w:r>
      <w:proofErr w:type="spellEnd"/>
      <w:r w:rsidRPr="000E4FE6">
        <w:rPr>
          <w:rFonts w:ascii="Times New Roman" w:hAnsi="Times New Roman" w:cs="Times New Roman"/>
          <w:sz w:val="24"/>
          <w:szCs w:val="24"/>
        </w:rPr>
        <w:t xml:space="preserve">, Z., Smith, A. D., Carnell, S., and </w:t>
      </w:r>
      <w:proofErr w:type="spellStart"/>
      <w:r w:rsidRPr="000E4FE6">
        <w:rPr>
          <w:rFonts w:ascii="Times New Roman" w:hAnsi="Times New Roman" w:cs="Times New Roman"/>
          <w:sz w:val="24"/>
          <w:szCs w:val="24"/>
        </w:rPr>
        <w:t>Fildes</w:t>
      </w:r>
      <w:proofErr w:type="spellEnd"/>
      <w:r w:rsidRPr="000E4FE6">
        <w:rPr>
          <w:rFonts w:ascii="Times New Roman" w:hAnsi="Times New Roman" w:cs="Times New Roman"/>
          <w:sz w:val="24"/>
          <w:szCs w:val="24"/>
        </w:rPr>
        <w:t>, A. (2023). Behavioural susceptibility theory: the role of appetite in genetic susceptibility to obesity in early life. </w:t>
      </w:r>
      <w:r w:rsidRPr="000E4FE6">
        <w:rPr>
          <w:rFonts w:ascii="Times New Roman" w:hAnsi="Times New Roman" w:cs="Times New Roman"/>
          <w:i/>
          <w:sz w:val="24"/>
          <w:szCs w:val="24"/>
        </w:rPr>
        <w:t>Philosophical Transactions of the Royal Society of London. Series B, Biological Sciences</w:t>
      </w:r>
      <w:r w:rsidRPr="000E4FE6">
        <w:rPr>
          <w:rFonts w:ascii="Times New Roman" w:hAnsi="Times New Roman" w:cs="Times New Roman"/>
          <w:sz w:val="24"/>
          <w:szCs w:val="24"/>
        </w:rPr>
        <w:t>, </w:t>
      </w:r>
      <w:r w:rsidRPr="000E4FE6">
        <w:rPr>
          <w:rFonts w:ascii="Times New Roman" w:hAnsi="Times New Roman" w:cs="Times New Roman"/>
          <w:i/>
          <w:sz w:val="24"/>
          <w:szCs w:val="24"/>
        </w:rPr>
        <w:t>378</w:t>
      </w:r>
      <w:r w:rsidRPr="000E4FE6">
        <w:rPr>
          <w:rFonts w:ascii="Times New Roman" w:hAnsi="Times New Roman" w:cs="Times New Roman"/>
          <w:sz w:val="24"/>
          <w:szCs w:val="24"/>
        </w:rPr>
        <w:t>(1885), 20220223. https://doi.org/10.1098/rstb.2022.0223</w:t>
      </w:r>
    </w:p>
    <w:p w14:paraId="00000DE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Llewellyn, C., and Wardle, J. (2015). </w:t>
      </w:r>
      <w:proofErr w:type="spellStart"/>
      <w:r w:rsidRPr="000E4FE6">
        <w:rPr>
          <w:rFonts w:ascii="Times New Roman" w:hAnsi="Times New Roman" w:cs="Times New Roman"/>
          <w:sz w:val="24"/>
          <w:szCs w:val="24"/>
        </w:rPr>
        <w:t>Behavioral</w:t>
      </w:r>
      <w:proofErr w:type="spellEnd"/>
      <w:r w:rsidRPr="000E4FE6">
        <w:rPr>
          <w:rFonts w:ascii="Times New Roman" w:hAnsi="Times New Roman" w:cs="Times New Roman"/>
          <w:sz w:val="24"/>
          <w:szCs w:val="24"/>
        </w:rPr>
        <w:t xml:space="preserve"> susceptibility to obesity: Gene-environment interplay in the development of weight.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152</w:t>
      </w:r>
      <w:r w:rsidRPr="000E4FE6">
        <w:rPr>
          <w:rFonts w:ascii="Times New Roman" w:hAnsi="Times New Roman" w:cs="Times New Roman"/>
          <w:sz w:val="24"/>
          <w:szCs w:val="24"/>
        </w:rPr>
        <w:t>(Pt B), 494–501. https://doi.org/10.1016/j.physbeh.2015.07.006</w:t>
      </w:r>
    </w:p>
    <w:p w14:paraId="00000DE5" w14:textId="31FD58F6" w:rsidR="00CB4215"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Lluch</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Herbeth</w:t>
      </w:r>
      <w:proofErr w:type="spellEnd"/>
      <w:r w:rsidRPr="000E4FE6">
        <w:rPr>
          <w:rFonts w:ascii="Times New Roman" w:hAnsi="Times New Roman" w:cs="Times New Roman"/>
          <w:sz w:val="24"/>
          <w:szCs w:val="24"/>
        </w:rPr>
        <w:t xml:space="preserve">, B., </w:t>
      </w:r>
      <w:proofErr w:type="spellStart"/>
      <w:r w:rsidRPr="000E4FE6">
        <w:rPr>
          <w:rFonts w:ascii="Times New Roman" w:hAnsi="Times New Roman" w:cs="Times New Roman"/>
          <w:sz w:val="24"/>
          <w:szCs w:val="24"/>
        </w:rPr>
        <w:t>Méjean</w:t>
      </w:r>
      <w:proofErr w:type="spellEnd"/>
      <w:r w:rsidRPr="000E4FE6">
        <w:rPr>
          <w:rFonts w:ascii="Times New Roman" w:hAnsi="Times New Roman" w:cs="Times New Roman"/>
          <w:sz w:val="24"/>
          <w:szCs w:val="24"/>
        </w:rPr>
        <w:t xml:space="preserve">, L., and </w:t>
      </w:r>
      <w:proofErr w:type="spellStart"/>
      <w:r w:rsidRPr="000E4FE6">
        <w:rPr>
          <w:rFonts w:ascii="Times New Roman" w:hAnsi="Times New Roman" w:cs="Times New Roman"/>
          <w:sz w:val="24"/>
          <w:szCs w:val="24"/>
        </w:rPr>
        <w:t>Siest</w:t>
      </w:r>
      <w:proofErr w:type="spellEnd"/>
      <w:r w:rsidRPr="000E4FE6">
        <w:rPr>
          <w:rFonts w:ascii="Times New Roman" w:hAnsi="Times New Roman" w:cs="Times New Roman"/>
          <w:sz w:val="24"/>
          <w:szCs w:val="24"/>
        </w:rPr>
        <w:t>, G. (2000). Dietary intakes, eating style and overweight in the Stanislas Family Study.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24</w:t>
      </w:r>
      <w:r w:rsidRPr="000E4FE6">
        <w:rPr>
          <w:rFonts w:ascii="Times New Roman" w:hAnsi="Times New Roman" w:cs="Times New Roman"/>
          <w:sz w:val="24"/>
          <w:szCs w:val="24"/>
        </w:rPr>
        <w:t>(11), 1493–1499.</w:t>
      </w:r>
    </w:p>
    <w:p w14:paraId="5F4AB520" w14:textId="2DCEA115"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lastRenderedPageBreak/>
        <w:t>LoBiondo-Wood, G., and Haber, J. (2014). Nursing Research: Methods and Critical Appraisal for Evidence-Based Practice. Journal of Nursing Regulation, 5(1), 60. https://doi.org/10.1016/S2155-8256(15)30102-2</w:t>
      </w:r>
    </w:p>
    <w:p w14:paraId="00000DE6"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proofErr w:type="spellStart"/>
      <w:r w:rsidRPr="000E4FE6">
        <w:rPr>
          <w:rFonts w:ascii="Times New Roman" w:hAnsi="Times New Roman" w:cs="Times New Roman"/>
          <w:sz w:val="24"/>
          <w:szCs w:val="24"/>
        </w:rPr>
        <w:t>Löffler</w:t>
      </w:r>
      <w:proofErr w:type="spellEnd"/>
      <w:r w:rsidRPr="000E4FE6">
        <w:rPr>
          <w:rFonts w:ascii="Times New Roman" w:hAnsi="Times New Roman" w:cs="Times New Roman"/>
          <w:sz w:val="24"/>
          <w:szCs w:val="24"/>
        </w:rPr>
        <w:t xml:space="preserve">, A., Luck, T., Then, F. S., Sikorski, C., Kovacs, P., </w:t>
      </w:r>
      <w:proofErr w:type="spellStart"/>
      <w:r w:rsidRPr="000E4FE6">
        <w:rPr>
          <w:rFonts w:ascii="Times New Roman" w:hAnsi="Times New Roman" w:cs="Times New Roman"/>
          <w:sz w:val="24"/>
          <w:szCs w:val="24"/>
        </w:rPr>
        <w:t>Böttcher</w:t>
      </w:r>
      <w:proofErr w:type="spellEnd"/>
      <w:r w:rsidRPr="000E4FE6">
        <w:rPr>
          <w:rFonts w:ascii="Times New Roman" w:hAnsi="Times New Roman" w:cs="Times New Roman"/>
          <w:sz w:val="24"/>
          <w:szCs w:val="24"/>
        </w:rPr>
        <w:t>, Y., … Riedel-Heller, S. G. (2015). Eating Behaviour in the General Population: An Analysis of the Factor Structure of the German Version of the Three-Factor-Eating-Questionnaire (TFEQ) and Its Association with the Body Mass Index. </w:t>
      </w:r>
      <w:proofErr w:type="spellStart"/>
      <w:r w:rsidRPr="000E4FE6">
        <w:rPr>
          <w:rFonts w:ascii="Times New Roman" w:hAnsi="Times New Roman" w:cs="Times New Roman"/>
          <w:i/>
          <w:sz w:val="24"/>
          <w:szCs w:val="24"/>
          <w:lang w:val="es-ES_tradnl"/>
        </w:rPr>
        <w:t>Plos</w:t>
      </w:r>
      <w:proofErr w:type="spellEnd"/>
      <w:r w:rsidRPr="000E4FE6">
        <w:rPr>
          <w:rFonts w:ascii="Times New Roman" w:hAnsi="Times New Roman" w:cs="Times New Roman"/>
          <w:i/>
          <w:sz w:val="24"/>
          <w:szCs w:val="24"/>
          <w:lang w:val="es-ES_tradnl"/>
        </w:rPr>
        <w:t xml:space="preserve"> </w:t>
      </w:r>
      <w:proofErr w:type="spellStart"/>
      <w:r w:rsidRPr="000E4FE6">
        <w:rPr>
          <w:rFonts w:ascii="Times New Roman" w:hAnsi="Times New Roman" w:cs="Times New Roman"/>
          <w:i/>
          <w:sz w:val="24"/>
          <w:szCs w:val="24"/>
          <w:lang w:val="es-ES_tradnl"/>
        </w:rPr>
        <w:t>One</w:t>
      </w:r>
      <w:proofErr w:type="spellEnd"/>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10</w:t>
      </w:r>
      <w:r w:rsidRPr="000E4FE6">
        <w:rPr>
          <w:rFonts w:ascii="Times New Roman" w:hAnsi="Times New Roman" w:cs="Times New Roman"/>
          <w:sz w:val="24"/>
          <w:szCs w:val="24"/>
          <w:lang w:val="es-ES_tradnl"/>
        </w:rPr>
        <w:t>(7), e0133977. https://doi.org/10.1371/journal.pone.0133977</w:t>
      </w:r>
    </w:p>
    <w:p w14:paraId="00000DE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Lombardo, M., </w:t>
      </w:r>
      <w:proofErr w:type="spellStart"/>
      <w:r w:rsidRPr="000E4FE6">
        <w:rPr>
          <w:rFonts w:ascii="Times New Roman" w:hAnsi="Times New Roman" w:cs="Times New Roman"/>
          <w:sz w:val="24"/>
          <w:szCs w:val="24"/>
          <w:lang w:val="es-ES_tradnl"/>
        </w:rPr>
        <w:t>Bellia</w:t>
      </w:r>
      <w:proofErr w:type="spellEnd"/>
      <w:r w:rsidRPr="000E4FE6">
        <w:rPr>
          <w:rFonts w:ascii="Times New Roman" w:hAnsi="Times New Roman" w:cs="Times New Roman"/>
          <w:sz w:val="24"/>
          <w:szCs w:val="24"/>
          <w:lang w:val="es-ES_tradnl"/>
        </w:rPr>
        <w:t xml:space="preserve">, A., Padua, E., </w:t>
      </w:r>
      <w:proofErr w:type="spellStart"/>
      <w:r w:rsidRPr="000E4FE6">
        <w:rPr>
          <w:rFonts w:ascii="Times New Roman" w:hAnsi="Times New Roman" w:cs="Times New Roman"/>
          <w:sz w:val="24"/>
          <w:szCs w:val="24"/>
          <w:lang w:val="es-ES_tradnl"/>
        </w:rPr>
        <w:t>Annino</w:t>
      </w:r>
      <w:proofErr w:type="spellEnd"/>
      <w:r w:rsidRPr="000E4FE6">
        <w:rPr>
          <w:rFonts w:ascii="Times New Roman" w:hAnsi="Times New Roman" w:cs="Times New Roman"/>
          <w:sz w:val="24"/>
          <w:szCs w:val="24"/>
          <w:lang w:val="es-ES_tradnl"/>
        </w:rPr>
        <w:t xml:space="preserve">, G., </w:t>
      </w:r>
      <w:proofErr w:type="spellStart"/>
      <w:r w:rsidRPr="000E4FE6">
        <w:rPr>
          <w:rFonts w:ascii="Times New Roman" w:hAnsi="Times New Roman" w:cs="Times New Roman"/>
          <w:sz w:val="24"/>
          <w:szCs w:val="24"/>
          <w:lang w:val="es-ES_tradnl"/>
        </w:rPr>
        <w:t>Guglielmi</w:t>
      </w:r>
      <w:proofErr w:type="spellEnd"/>
      <w:r w:rsidRPr="000E4FE6">
        <w:rPr>
          <w:rFonts w:ascii="Times New Roman" w:hAnsi="Times New Roman" w:cs="Times New Roman"/>
          <w:sz w:val="24"/>
          <w:szCs w:val="24"/>
          <w:lang w:val="es-ES_tradnl"/>
        </w:rPr>
        <w:t xml:space="preserve">, V., </w:t>
      </w:r>
      <w:proofErr w:type="spellStart"/>
      <w:r w:rsidRPr="000E4FE6">
        <w:rPr>
          <w:rFonts w:ascii="Times New Roman" w:hAnsi="Times New Roman" w:cs="Times New Roman"/>
          <w:sz w:val="24"/>
          <w:szCs w:val="24"/>
          <w:lang w:val="es-ES_tradnl"/>
        </w:rPr>
        <w:t>D’Adamo</w:t>
      </w:r>
      <w:proofErr w:type="spellEnd"/>
      <w:r w:rsidRPr="000E4FE6">
        <w:rPr>
          <w:rFonts w:ascii="Times New Roman" w:hAnsi="Times New Roman" w:cs="Times New Roman"/>
          <w:sz w:val="24"/>
          <w:szCs w:val="24"/>
          <w:lang w:val="es-ES_tradnl"/>
        </w:rPr>
        <w:t xml:space="preserve">, M., … </w:t>
      </w:r>
      <w:proofErr w:type="spellStart"/>
      <w:r w:rsidRPr="000E4FE6">
        <w:rPr>
          <w:rFonts w:ascii="Times New Roman" w:hAnsi="Times New Roman" w:cs="Times New Roman"/>
          <w:sz w:val="24"/>
          <w:szCs w:val="24"/>
        </w:rPr>
        <w:t>Sbraccia</w:t>
      </w:r>
      <w:proofErr w:type="spellEnd"/>
      <w:r w:rsidRPr="000E4FE6">
        <w:rPr>
          <w:rFonts w:ascii="Times New Roman" w:hAnsi="Times New Roman" w:cs="Times New Roman"/>
          <w:sz w:val="24"/>
          <w:szCs w:val="24"/>
        </w:rPr>
        <w:t>, P. (2014). Morning meal more efficient for fat loss in a 3-month lifestyle intervention. </w:t>
      </w:r>
      <w:r w:rsidRPr="000E4FE6">
        <w:rPr>
          <w:rFonts w:ascii="Times New Roman" w:hAnsi="Times New Roman" w:cs="Times New Roman"/>
          <w:i/>
          <w:sz w:val="24"/>
          <w:szCs w:val="24"/>
        </w:rPr>
        <w:t>Journal of the American College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33</w:t>
      </w:r>
      <w:r w:rsidRPr="000E4FE6">
        <w:rPr>
          <w:rFonts w:ascii="Times New Roman" w:hAnsi="Times New Roman" w:cs="Times New Roman"/>
          <w:sz w:val="24"/>
          <w:szCs w:val="24"/>
        </w:rPr>
        <w:t>(3), 198–205. https://doi.org/10.1080/07315724.2013.863169</w:t>
      </w:r>
    </w:p>
    <w:p w14:paraId="00000DE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lang w:val="es-ES_tradnl"/>
        </w:rPr>
        <w:t>Lopez-Minguez</w:t>
      </w:r>
      <w:proofErr w:type="spellEnd"/>
      <w:r w:rsidRPr="000E4FE6">
        <w:rPr>
          <w:rFonts w:ascii="Times New Roman" w:hAnsi="Times New Roman" w:cs="Times New Roman"/>
          <w:sz w:val="24"/>
          <w:szCs w:val="24"/>
          <w:lang w:val="es-ES_tradnl"/>
        </w:rPr>
        <w:t xml:space="preserve">, J., Gómez-Abellán, P., and </w:t>
      </w:r>
      <w:proofErr w:type="spellStart"/>
      <w:r w:rsidRPr="000E4FE6">
        <w:rPr>
          <w:rFonts w:ascii="Times New Roman" w:hAnsi="Times New Roman" w:cs="Times New Roman"/>
          <w:sz w:val="24"/>
          <w:szCs w:val="24"/>
          <w:lang w:val="es-ES_tradnl"/>
        </w:rPr>
        <w:t>Garaulet</w:t>
      </w:r>
      <w:proofErr w:type="spellEnd"/>
      <w:r w:rsidRPr="000E4FE6">
        <w:rPr>
          <w:rFonts w:ascii="Times New Roman" w:hAnsi="Times New Roman" w:cs="Times New Roman"/>
          <w:sz w:val="24"/>
          <w:szCs w:val="24"/>
          <w:lang w:val="es-ES_tradnl"/>
        </w:rPr>
        <w:t xml:space="preserve">, M. (2019). </w:t>
      </w:r>
      <w:r w:rsidRPr="000E4FE6">
        <w:rPr>
          <w:rFonts w:ascii="Times New Roman" w:hAnsi="Times New Roman" w:cs="Times New Roman"/>
          <w:sz w:val="24"/>
          <w:szCs w:val="24"/>
        </w:rPr>
        <w:t>Timing of breakfast, lunch, and dinner. effects on obesity and metabolic risk.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(11). https://doi.org/10.3390/nu11112624</w:t>
      </w:r>
    </w:p>
    <w:p w14:paraId="00000DE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Lowe, M. R., and Levine, A. S. (2005). Eating motives and the controversy over dieting: eating less than needed versus less than wanted. </w:t>
      </w:r>
      <w:r w:rsidRPr="000E4FE6">
        <w:rPr>
          <w:rFonts w:ascii="Times New Roman" w:hAnsi="Times New Roman" w:cs="Times New Roman"/>
          <w:i/>
          <w:sz w:val="24"/>
          <w:szCs w:val="24"/>
        </w:rPr>
        <w:t>Obesity Research</w:t>
      </w:r>
      <w:r w:rsidRPr="000E4FE6">
        <w:rPr>
          <w:rFonts w:ascii="Times New Roman" w:hAnsi="Times New Roman" w:cs="Times New Roman"/>
          <w:sz w:val="24"/>
          <w:szCs w:val="24"/>
        </w:rPr>
        <w:t>, </w:t>
      </w:r>
      <w:r w:rsidRPr="000E4FE6">
        <w:rPr>
          <w:rFonts w:ascii="Times New Roman" w:hAnsi="Times New Roman" w:cs="Times New Roman"/>
          <w:i/>
          <w:sz w:val="24"/>
          <w:szCs w:val="24"/>
        </w:rPr>
        <w:t>13</w:t>
      </w:r>
      <w:r w:rsidRPr="000E4FE6">
        <w:rPr>
          <w:rFonts w:ascii="Times New Roman" w:hAnsi="Times New Roman" w:cs="Times New Roman"/>
          <w:sz w:val="24"/>
          <w:szCs w:val="24"/>
        </w:rPr>
        <w:t>(5), 797–806. https://doi.org/10.1038/oby.2005.90</w:t>
      </w:r>
    </w:p>
    <w:p w14:paraId="00000DE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Lucan, S. C., </w:t>
      </w:r>
      <w:proofErr w:type="spellStart"/>
      <w:r w:rsidRPr="000E4FE6">
        <w:rPr>
          <w:rFonts w:ascii="Times New Roman" w:hAnsi="Times New Roman" w:cs="Times New Roman"/>
          <w:sz w:val="24"/>
          <w:szCs w:val="24"/>
        </w:rPr>
        <w:t>Karpyn</w:t>
      </w:r>
      <w:proofErr w:type="spellEnd"/>
      <w:r w:rsidRPr="000E4FE6">
        <w:rPr>
          <w:rFonts w:ascii="Times New Roman" w:hAnsi="Times New Roman" w:cs="Times New Roman"/>
          <w:sz w:val="24"/>
          <w:szCs w:val="24"/>
        </w:rPr>
        <w:t>, A., and Sherman, S. (2010). Storing empty calories and chronic disease risk: snack-food products, nutritive content, and manufacturers in Philadelphia corner stores. </w:t>
      </w:r>
      <w:r w:rsidRPr="000E4FE6">
        <w:rPr>
          <w:rFonts w:ascii="Times New Roman" w:hAnsi="Times New Roman" w:cs="Times New Roman"/>
          <w:i/>
          <w:sz w:val="24"/>
          <w:szCs w:val="24"/>
        </w:rPr>
        <w:t>Journal of Urban Health</w:t>
      </w:r>
      <w:r w:rsidRPr="000E4FE6">
        <w:rPr>
          <w:rFonts w:ascii="Times New Roman" w:hAnsi="Times New Roman" w:cs="Times New Roman"/>
          <w:sz w:val="24"/>
          <w:szCs w:val="24"/>
        </w:rPr>
        <w:t>, </w:t>
      </w:r>
      <w:r w:rsidRPr="000E4FE6">
        <w:rPr>
          <w:rFonts w:ascii="Times New Roman" w:hAnsi="Times New Roman" w:cs="Times New Roman"/>
          <w:i/>
          <w:sz w:val="24"/>
          <w:szCs w:val="24"/>
        </w:rPr>
        <w:t>87</w:t>
      </w:r>
      <w:r w:rsidRPr="000E4FE6">
        <w:rPr>
          <w:rFonts w:ascii="Times New Roman" w:hAnsi="Times New Roman" w:cs="Times New Roman"/>
          <w:sz w:val="24"/>
          <w:szCs w:val="24"/>
        </w:rPr>
        <w:t>(3), 394–409. https://doi.org/10.1007/s11524-010-9453-5</w:t>
      </w:r>
    </w:p>
    <w:p w14:paraId="00000DEB"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r w:rsidRPr="000E4FE6">
        <w:rPr>
          <w:rFonts w:ascii="Times New Roman" w:hAnsi="Times New Roman" w:cs="Times New Roman"/>
          <w:sz w:val="24"/>
          <w:szCs w:val="24"/>
        </w:rPr>
        <w:t xml:space="preserve">Lucassen, E. A., Zhao, X., Rother, K. I., Mattingly, M. S., Courville, A. B., de </w:t>
      </w:r>
      <w:proofErr w:type="spellStart"/>
      <w:r w:rsidRPr="000E4FE6">
        <w:rPr>
          <w:rFonts w:ascii="Times New Roman" w:hAnsi="Times New Roman" w:cs="Times New Roman"/>
          <w:sz w:val="24"/>
          <w:szCs w:val="24"/>
        </w:rPr>
        <w:t>Jonge</w:t>
      </w:r>
      <w:proofErr w:type="spellEnd"/>
      <w:r w:rsidRPr="000E4FE6">
        <w:rPr>
          <w:rFonts w:ascii="Times New Roman" w:hAnsi="Times New Roman" w:cs="Times New Roman"/>
          <w:sz w:val="24"/>
          <w:szCs w:val="24"/>
        </w:rPr>
        <w:t xml:space="preserve">, L., … Sleep Extension Study Group. (2013). Evening chronotype is associated with changes in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more sleep </w:t>
      </w:r>
      <w:proofErr w:type="spellStart"/>
      <w:r w:rsidRPr="000E4FE6">
        <w:rPr>
          <w:rFonts w:ascii="Times New Roman" w:hAnsi="Times New Roman" w:cs="Times New Roman"/>
          <w:sz w:val="24"/>
          <w:szCs w:val="24"/>
        </w:rPr>
        <w:t>apnea</w:t>
      </w:r>
      <w:proofErr w:type="spellEnd"/>
      <w:r w:rsidRPr="000E4FE6">
        <w:rPr>
          <w:rFonts w:ascii="Times New Roman" w:hAnsi="Times New Roman" w:cs="Times New Roman"/>
          <w:sz w:val="24"/>
          <w:szCs w:val="24"/>
        </w:rPr>
        <w:t xml:space="preserve">, and increased stress hormones in short sleeping </w:t>
      </w:r>
      <w:r w:rsidRPr="000E4FE6">
        <w:rPr>
          <w:rFonts w:ascii="Times New Roman" w:hAnsi="Times New Roman" w:cs="Times New Roman"/>
          <w:sz w:val="24"/>
          <w:szCs w:val="24"/>
        </w:rPr>
        <w:lastRenderedPageBreak/>
        <w:t>obese individuals. </w:t>
      </w:r>
      <w:proofErr w:type="spellStart"/>
      <w:r w:rsidRPr="000E4FE6">
        <w:rPr>
          <w:rFonts w:ascii="Times New Roman" w:hAnsi="Times New Roman" w:cs="Times New Roman"/>
          <w:i/>
          <w:sz w:val="24"/>
          <w:szCs w:val="24"/>
          <w:lang w:val="es-ES_tradnl"/>
        </w:rPr>
        <w:t>Plos</w:t>
      </w:r>
      <w:proofErr w:type="spellEnd"/>
      <w:r w:rsidRPr="000E4FE6">
        <w:rPr>
          <w:rFonts w:ascii="Times New Roman" w:hAnsi="Times New Roman" w:cs="Times New Roman"/>
          <w:i/>
          <w:sz w:val="24"/>
          <w:szCs w:val="24"/>
          <w:lang w:val="es-ES_tradnl"/>
        </w:rPr>
        <w:t xml:space="preserve"> </w:t>
      </w:r>
      <w:proofErr w:type="spellStart"/>
      <w:r w:rsidRPr="000E4FE6">
        <w:rPr>
          <w:rFonts w:ascii="Times New Roman" w:hAnsi="Times New Roman" w:cs="Times New Roman"/>
          <w:i/>
          <w:sz w:val="24"/>
          <w:szCs w:val="24"/>
          <w:lang w:val="es-ES_tradnl"/>
        </w:rPr>
        <w:t>One</w:t>
      </w:r>
      <w:proofErr w:type="spellEnd"/>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8</w:t>
      </w:r>
      <w:r w:rsidRPr="000E4FE6">
        <w:rPr>
          <w:rFonts w:ascii="Times New Roman" w:hAnsi="Times New Roman" w:cs="Times New Roman"/>
          <w:sz w:val="24"/>
          <w:szCs w:val="24"/>
          <w:lang w:val="es-ES_tradnl"/>
        </w:rPr>
        <w:t>(3), e56519. https://doi.org/10.1371/journal.pone.0056519</w:t>
      </w:r>
    </w:p>
    <w:p w14:paraId="00000DE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Ludwig, D. S. (2002). </w:t>
      </w:r>
      <w:r w:rsidRPr="000E4FE6">
        <w:rPr>
          <w:rFonts w:ascii="Times New Roman" w:hAnsi="Times New Roman" w:cs="Times New Roman"/>
          <w:sz w:val="24"/>
          <w:szCs w:val="24"/>
        </w:rPr>
        <w:t xml:space="preserve">The </w:t>
      </w:r>
      <w:proofErr w:type="spellStart"/>
      <w:r w:rsidRPr="000E4FE6">
        <w:rPr>
          <w:rFonts w:ascii="Times New Roman" w:hAnsi="Times New Roman" w:cs="Times New Roman"/>
          <w:sz w:val="24"/>
          <w:szCs w:val="24"/>
        </w:rPr>
        <w:t>glycemic</w:t>
      </w:r>
      <w:proofErr w:type="spellEnd"/>
      <w:r w:rsidRPr="000E4FE6">
        <w:rPr>
          <w:rFonts w:ascii="Times New Roman" w:hAnsi="Times New Roman" w:cs="Times New Roman"/>
          <w:sz w:val="24"/>
          <w:szCs w:val="24"/>
        </w:rPr>
        <w:t xml:space="preserve"> index: physiological mechanisms relating to obesity, diabetes, and cardiovascular disease. </w:t>
      </w:r>
      <w:r w:rsidRPr="000E4FE6">
        <w:rPr>
          <w:rFonts w:ascii="Times New Roman" w:hAnsi="Times New Roman" w:cs="Times New Roman"/>
          <w:i/>
          <w:sz w:val="24"/>
          <w:szCs w:val="24"/>
        </w:rPr>
        <w:t>The Journal of the American Medical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287</w:t>
      </w:r>
      <w:r w:rsidRPr="000E4FE6">
        <w:rPr>
          <w:rFonts w:ascii="Times New Roman" w:hAnsi="Times New Roman" w:cs="Times New Roman"/>
          <w:sz w:val="24"/>
          <w:szCs w:val="24"/>
        </w:rPr>
        <w:t>(18), 2414–2423. https://doi.org/10.1001/jama.287.18.2414</w:t>
      </w:r>
    </w:p>
    <w:p w14:paraId="00000DE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Lyte</w:t>
      </w:r>
      <w:proofErr w:type="spellEnd"/>
      <w:r w:rsidRPr="000E4FE6">
        <w:rPr>
          <w:rFonts w:ascii="Times New Roman" w:hAnsi="Times New Roman" w:cs="Times New Roman"/>
          <w:sz w:val="24"/>
          <w:szCs w:val="24"/>
        </w:rPr>
        <w:t>, M. (2011). Probiotics function mechanistically as delivery vehicles for neuroactive compounds: Microbial endocrinology in the design and use of probiotics. </w:t>
      </w:r>
      <w:proofErr w:type="spellStart"/>
      <w:r w:rsidRPr="000E4FE6">
        <w:rPr>
          <w:rFonts w:ascii="Times New Roman" w:hAnsi="Times New Roman" w:cs="Times New Roman"/>
          <w:i/>
          <w:sz w:val="24"/>
          <w:szCs w:val="24"/>
        </w:rPr>
        <w:t>Bioessays</w:t>
      </w:r>
      <w:proofErr w:type="spellEnd"/>
      <w:r w:rsidRPr="000E4FE6">
        <w:rPr>
          <w:rFonts w:ascii="Times New Roman" w:hAnsi="Times New Roman" w:cs="Times New Roman"/>
          <w:i/>
          <w:sz w:val="24"/>
          <w:szCs w:val="24"/>
        </w:rPr>
        <w:t>: News and Reviews in Molecular, Cellular and Developmental Biology</w:t>
      </w:r>
      <w:r w:rsidRPr="000E4FE6">
        <w:rPr>
          <w:rFonts w:ascii="Times New Roman" w:hAnsi="Times New Roman" w:cs="Times New Roman"/>
          <w:sz w:val="24"/>
          <w:szCs w:val="24"/>
        </w:rPr>
        <w:t>, </w:t>
      </w:r>
      <w:r w:rsidRPr="000E4FE6">
        <w:rPr>
          <w:rFonts w:ascii="Times New Roman" w:hAnsi="Times New Roman" w:cs="Times New Roman"/>
          <w:i/>
          <w:sz w:val="24"/>
          <w:szCs w:val="24"/>
        </w:rPr>
        <w:t>33</w:t>
      </w:r>
      <w:r w:rsidRPr="000E4FE6">
        <w:rPr>
          <w:rFonts w:ascii="Times New Roman" w:hAnsi="Times New Roman" w:cs="Times New Roman"/>
          <w:sz w:val="24"/>
          <w:szCs w:val="24"/>
        </w:rPr>
        <w:t>(8), 574–581. https://doi.org/10.1002/bies.201100024</w:t>
      </w:r>
    </w:p>
    <w:p w14:paraId="00000DE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Ma, Y., Bertone, E. R., Stanek, E. J., Reed, G. W., Hebert, J. R., Cohen, N. L., … </w:t>
      </w:r>
      <w:proofErr w:type="spellStart"/>
      <w:r w:rsidRPr="000E4FE6">
        <w:rPr>
          <w:rFonts w:ascii="Times New Roman" w:hAnsi="Times New Roman" w:cs="Times New Roman"/>
          <w:sz w:val="24"/>
          <w:szCs w:val="24"/>
        </w:rPr>
        <w:t>Ockene</w:t>
      </w:r>
      <w:proofErr w:type="spellEnd"/>
      <w:r w:rsidRPr="000E4FE6">
        <w:rPr>
          <w:rFonts w:ascii="Times New Roman" w:hAnsi="Times New Roman" w:cs="Times New Roman"/>
          <w:sz w:val="24"/>
          <w:szCs w:val="24"/>
        </w:rPr>
        <w:t>, I. S. (2003). Association between eating patterns and obesity in a free-living US adult population. </w:t>
      </w:r>
      <w:r w:rsidRPr="000E4FE6">
        <w:rPr>
          <w:rFonts w:ascii="Times New Roman" w:hAnsi="Times New Roman" w:cs="Times New Roman"/>
          <w:i/>
          <w:sz w:val="24"/>
          <w:szCs w:val="24"/>
        </w:rPr>
        <w:t>American Journal of Epidemiology</w:t>
      </w:r>
      <w:r w:rsidRPr="000E4FE6">
        <w:rPr>
          <w:rFonts w:ascii="Times New Roman" w:hAnsi="Times New Roman" w:cs="Times New Roman"/>
          <w:sz w:val="24"/>
          <w:szCs w:val="24"/>
        </w:rPr>
        <w:t>, </w:t>
      </w:r>
      <w:r w:rsidRPr="000E4FE6">
        <w:rPr>
          <w:rFonts w:ascii="Times New Roman" w:hAnsi="Times New Roman" w:cs="Times New Roman"/>
          <w:i/>
          <w:sz w:val="24"/>
          <w:szCs w:val="24"/>
        </w:rPr>
        <w:t>158</w:t>
      </w:r>
      <w:r w:rsidRPr="000E4FE6">
        <w:rPr>
          <w:rFonts w:ascii="Times New Roman" w:hAnsi="Times New Roman" w:cs="Times New Roman"/>
          <w:sz w:val="24"/>
          <w:szCs w:val="24"/>
        </w:rPr>
        <w:t>(1), 85–92. https://doi.org/10.1093/aje/kwg117</w:t>
      </w:r>
    </w:p>
    <w:p w14:paraId="00000DE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Macdiarmid</w:t>
      </w:r>
      <w:proofErr w:type="spellEnd"/>
      <w:r w:rsidRPr="000E4FE6">
        <w:rPr>
          <w:rFonts w:ascii="Times New Roman" w:hAnsi="Times New Roman" w:cs="Times New Roman"/>
          <w:sz w:val="24"/>
          <w:szCs w:val="24"/>
        </w:rPr>
        <w:t>, J., and Blundell, J. (1998). Assessing dietary intake: Who, what and why of under-reporting. </w:t>
      </w:r>
      <w:r w:rsidRPr="000E4FE6">
        <w:rPr>
          <w:rFonts w:ascii="Times New Roman" w:hAnsi="Times New Roman" w:cs="Times New Roman"/>
          <w:i/>
          <w:sz w:val="24"/>
          <w:szCs w:val="24"/>
        </w:rPr>
        <w:t>Nutrition Research Reviews</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(2), 231–253. https://doi.org/10.1079/NRR19980017</w:t>
      </w:r>
    </w:p>
    <w:p w14:paraId="00000DF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Macht</w:t>
      </w:r>
      <w:proofErr w:type="spellEnd"/>
      <w:r w:rsidRPr="000E4FE6">
        <w:rPr>
          <w:rFonts w:ascii="Times New Roman" w:hAnsi="Times New Roman" w:cs="Times New Roman"/>
          <w:sz w:val="24"/>
          <w:szCs w:val="24"/>
        </w:rPr>
        <w:t>, M. (2008). How emotions affect eating: a five-way model.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50</w:t>
      </w:r>
      <w:r w:rsidRPr="000E4FE6">
        <w:rPr>
          <w:rFonts w:ascii="Times New Roman" w:hAnsi="Times New Roman" w:cs="Times New Roman"/>
          <w:sz w:val="24"/>
          <w:szCs w:val="24"/>
        </w:rPr>
        <w:t>(1), 1–11. https://doi.org/10.1016/j.appet.2007.07.002</w:t>
      </w:r>
    </w:p>
    <w:p w14:paraId="00000DF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Macht</w:t>
      </w:r>
      <w:proofErr w:type="spellEnd"/>
      <w:r w:rsidRPr="000E4FE6">
        <w:rPr>
          <w:rFonts w:ascii="Times New Roman" w:hAnsi="Times New Roman" w:cs="Times New Roman"/>
          <w:sz w:val="24"/>
          <w:szCs w:val="24"/>
        </w:rPr>
        <w:t>, M., and Mueller, J. (2007). Immediate effects of chocolate on experimentally induced mood states.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49</w:t>
      </w:r>
      <w:r w:rsidRPr="000E4FE6">
        <w:rPr>
          <w:rFonts w:ascii="Times New Roman" w:hAnsi="Times New Roman" w:cs="Times New Roman"/>
          <w:sz w:val="24"/>
          <w:szCs w:val="24"/>
        </w:rPr>
        <w:t>(3), 667–674. https://doi.org/10.1016/j.appet.2007.05.004</w:t>
      </w:r>
    </w:p>
    <w:p w14:paraId="00000DF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MacLean, P. S., Wing, R. R., Davidson, T., Epstein, L., </w:t>
      </w:r>
      <w:proofErr w:type="spellStart"/>
      <w:r w:rsidRPr="000E4FE6">
        <w:rPr>
          <w:rFonts w:ascii="Times New Roman" w:hAnsi="Times New Roman" w:cs="Times New Roman"/>
          <w:sz w:val="24"/>
          <w:szCs w:val="24"/>
        </w:rPr>
        <w:t>Goodpaster</w:t>
      </w:r>
      <w:proofErr w:type="spellEnd"/>
      <w:r w:rsidRPr="000E4FE6">
        <w:rPr>
          <w:rFonts w:ascii="Times New Roman" w:hAnsi="Times New Roman" w:cs="Times New Roman"/>
          <w:sz w:val="24"/>
          <w:szCs w:val="24"/>
        </w:rPr>
        <w:t>, B., Hall, K. D., … Ryan, D. (2015). NIH working group report: Innovative research to improve maintenance of weight loss.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(1), 7–15. https://doi.org/10.1002/oby.20967</w:t>
      </w:r>
    </w:p>
    <w:p w14:paraId="00000DF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Madden, C. E. L., Leong, S. L., Gray, A., and Horwath, C. C. (2012). Eating in response to hunger and satiety signals is related to BMI in a nationwide sample of 1601 mid-age </w:t>
      </w:r>
      <w:r w:rsidRPr="000E4FE6">
        <w:rPr>
          <w:rFonts w:ascii="Times New Roman" w:hAnsi="Times New Roman" w:cs="Times New Roman"/>
          <w:sz w:val="24"/>
          <w:szCs w:val="24"/>
        </w:rPr>
        <w:lastRenderedPageBreak/>
        <w:t>New Zealand women.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(12), 2272–2279. https://doi.org/10.1017/S1368980012000882</w:t>
      </w:r>
    </w:p>
    <w:p w14:paraId="00000DF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Madjd</w:t>
      </w:r>
      <w:proofErr w:type="spellEnd"/>
      <w:r w:rsidRPr="000E4FE6">
        <w:rPr>
          <w:rFonts w:ascii="Times New Roman" w:hAnsi="Times New Roman" w:cs="Times New Roman"/>
          <w:sz w:val="24"/>
          <w:szCs w:val="24"/>
        </w:rPr>
        <w:t xml:space="preserve">, A., Taylor, M. A., </w:t>
      </w:r>
      <w:proofErr w:type="spellStart"/>
      <w:r w:rsidRPr="000E4FE6">
        <w:rPr>
          <w:rFonts w:ascii="Times New Roman" w:hAnsi="Times New Roman" w:cs="Times New Roman"/>
          <w:sz w:val="24"/>
          <w:szCs w:val="24"/>
        </w:rPr>
        <w:t>Delavari</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Malekzadeh</w:t>
      </w:r>
      <w:proofErr w:type="spellEnd"/>
      <w:r w:rsidRPr="000E4FE6">
        <w:rPr>
          <w:rFonts w:ascii="Times New Roman" w:hAnsi="Times New Roman" w:cs="Times New Roman"/>
          <w:sz w:val="24"/>
          <w:szCs w:val="24"/>
        </w:rPr>
        <w:t xml:space="preserve">, R., Macdonald, I. A., and </w:t>
      </w:r>
      <w:proofErr w:type="spellStart"/>
      <w:r w:rsidRPr="000E4FE6">
        <w:rPr>
          <w:rFonts w:ascii="Times New Roman" w:hAnsi="Times New Roman" w:cs="Times New Roman"/>
          <w:sz w:val="24"/>
          <w:szCs w:val="24"/>
        </w:rPr>
        <w:t>Farshchi</w:t>
      </w:r>
      <w:proofErr w:type="spellEnd"/>
      <w:r w:rsidRPr="000E4FE6">
        <w:rPr>
          <w:rFonts w:ascii="Times New Roman" w:hAnsi="Times New Roman" w:cs="Times New Roman"/>
          <w:sz w:val="24"/>
          <w:szCs w:val="24"/>
        </w:rPr>
        <w:t>, H. R. (2016). Beneficial effect of high energy intake at lunch rather than dinner on weight loss in healthy obese women in a weight-loss program: a randomized clinical trial.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104</w:t>
      </w:r>
      <w:r w:rsidRPr="000E4FE6">
        <w:rPr>
          <w:rFonts w:ascii="Times New Roman" w:hAnsi="Times New Roman" w:cs="Times New Roman"/>
          <w:sz w:val="24"/>
          <w:szCs w:val="24"/>
        </w:rPr>
        <w:t>(4), 982–989. https://doi.org/10.3945/ajcn.116.134163</w:t>
      </w:r>
    </w:p>
    <w:p w14:paraId="00000DF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Madjd</w:t>
      </w:r>
      <w:proofErr w:type="spellEnd"/>
      <w:r w:rsidRPr="000E4FE6">
        <w:rPr>
          <w:rFonts w:ascii="Times New Roman" w:hAnsi="Times New Roman" w:cs="Times New Roman"/>
          <w:sz w:val="24"/>
          <w:szCs w:val="24"/>
        </w:rPr>
        <w:t xml:space="preserve">, A., Taylor, M. A., </w:t>
      </w:r>
      <w:proofErr w:type="spellStart"/>
      <w:r w:rsidRPr="000E4FE6">
        <w:rPr>
          <w:rFonts w:ascii="Times New Roman" w:hAnsi="Times New Roman" w:cs="Times New Roman"/>
          <w:sz w:val="24"/>
          <w:szCs w:val="24"/>
        </w:rPr>
        <w:t>Delavari</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Malekzadeh</w:t>
      </w:r>
      <w:proofErr w:type="spellEnd"/>
      <w:r w:rsidRPr="000E4FE6">
        <w:rPr>
          <w:rFonts w:ascii="Times New Roman" w:hAnsi="Times New Roman" w:cs="Times New Roman"/>
          <w:sz w:val="24"/>
          <w:szCs w:val="24"/>
        </w:rPr>
        <w:t xml:space="preserve">, R., Macdonald, I. A., and </w:t>
      </w:r>
      <w:proofErr w:type="spellStart"/>
      <w:r w:rsidRPr="000E4FE6">
        <w:rPr>
          <w:rFonts w:ascii="Times New Roman" w:hAnsi="Times New Roman" w:cs="Times New Roman"/>
          <w:sz w:val="24"/>
          <w:szCs w:val="24"/>
        </w:rPr>
        <w:t>Farshchi</w:t>
      </w:r>
      <w:proofErr w:type="spellEnd"/>
      <w:r w:rsidRPr="000E4FE6">
        <w:rPr>
          <w:rFonts w:ascii="Times New Roman" w:hAnsi="Times New Roman" w:cs="Times New Roman"/>
          <w:sz w:val="24"/>
          <w:szCs w:val="24"/>
        </w:rPr>
        <w:t>, H. R. (2021). Effects of consuming later evening meal v. earlier evening meal on weight loss during a weight loss diet: a randomised clinical trial.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126</w:t>
      </w:r>
      <w:r w:rsidRPr="000E4FE6">
        <w:rPr>
          <w:rFonts w:ascii="Times New Roman" w:hAnsi="Times New Roman" w:cs="Times New Roman"/>
          <w:sz w:val="24"/>
          <w:szCs w:val="24"/>
        </w:rPr>
        <w:t>(4), 632–640. https://doi.org/10.1017/S0007114520004456</w:t>
      </w:r>
    </w:p>
    <w:p w14:paraId="00000DF6"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proofErr w:type="spellStart"/>
      <w:r w:rsidRPr="000E4FE6">
        <w:rPr>
          <w:rFonts w:ascii="Times New Roman" w:hAnsi="Times New Roman" w:cs="Times New Roman"/>
          <w:sz w:val="24"/>
          <w:szCs w:val="24"/>
        </w:rPr>
        <w:t>Magnavita</w:t>
      </w:r>
      <w:proofErr w:type="spellEnd"/>
      <w:r w:rsidRPr="000E4FE6">
        <w:rPr>
          <w:rFonts w:ascii="Times New Roman" w:hAnsi="Times New Roman" w:cs="Times New Roman"/>
          <w:sz w:val="24"/>
          <w:szCs w:val="24"/>
        </w:rPr>
        <w:t>, N. (2015). Work-Related Psychological Injury Is Associated with Metabolic Syndrome Components in Apparently Healthy Workers. </w:t>
      </w:r>
      <w:proofErr w:type="spellStart"/>
      <w:r w:rsidRPr="000E4FE6">
        <w:rPr>
          <w:rFonts w:ascii="Times New Roman" w:hAnsi="Times New Roman" w:cs="Times New Roman"/>
          <w:i/>
          <w:sz w:val="24"/>
          <w:szCs w:val="24"/>
          <w:lang w:val="es-ES_tradnl"/>
        </w:rPr>
        <w:t>Plos</w:t>
      </w:r>
      <w:proofErr w:type="spellEnd"/>
      <w:r w:rsidRPr="000E4FE6">
        <w:rPr>
          <w:rFonts w:ascii="Times New Roman" w:hAnsi="Times New Roman" w:cs="Times New Roman"/>
          <w:i/>
          <w:sz w:val="24"/>
          <w:szCs w:val="24"/>
          <w:lang w:val="es-ES_tradnl"/>
        </w:rPr>
        <w:t xml:space="preserve"> </w:t>
      </w:r>
      <w:proofErr w:type="spellStart"/>
      <w:r w:rsidRPr="000E4FE6">
        <w:rPr>
          <w:rFonts w:ascii="Times New Roman" w:hAnsi="Times New Roman" w:cs="Times New Roman"/>
          <w:i/>
          <w:sz w:val="24"/>
          <w:szCs w:val="24"/>
          <w:lang w:val="es-ES_tradnl"/>
        </w:rPr>
        <w:t>One</w:t>
      </w:r>
      <w:proofErr w:type="spellEnd"/>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10</w:t>
      </w:r>
      <w:r w:rsidRPr="000E4FE6">
        <w:rPr>
          <w:rFonts w:ascii="Times New Roman" w:hAnsi="Times New Roman" w:cs="Times New Roman"/>
          <w:sz w:val="24"/>
          <w:szCs w:val="24"/>
          <w:lang w:val="es-ES_tradnl"/>
        </w:rPr>
        <w:t>(6), e0130944. https://doi.org/10.1371/journal.pone.0130944</w:t>
      </w:r>
    </w:p>
    <w:p w14:paraId="00000DF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Mahmood, L., Flores-Barrantes, P., Moreno, L. A., </w:t>
      </w:r>
      <w:proofErr w:type="spellStart"/>
      <w:r w:rsidRPr="000E4FE6">
        <w:rPr>
          <w:rFonts w:ascii="Times New Roman" w:hAnsi="Times New Roman" w:cs="Times New Roman"/>
          <w:sz w:val="24"/>
          <w:szCs w:val="24"/>
          <w:lang w:val="es-ES_tradnl"/>
        </w:rPr>
        <w:t>Manios</w:t>
      </w:r>
      <w:proofErr w:type="spellEnd"/>
      <w:r w:rsidRPr="000E4FE6">
        <w:rPr>
          <w:rFonts w:ascii="Times New Roman" w:hAnsi="Times New Roman" w:cs="Times New Roman"/>
          <w:sz w:val="24"/>
          <w:szCs w:val="24"/>
          <w:lang w:val="es-ES_tradnl"/>
        </w:rPr>
        <w:t xml:space="preserve">, Y., and </w:t>
      </w:r>
      <w:proofErr w:type="spellStart"/>
      <w:r w:rsidRPr="000E4FE6">
        <w:rPr>
          <w:rFonts w:ascii="Times New Roman" w:hAnsi="Times New Roman" w:cs="Times New Roman"/>
          <w:sz w:val="24"/>
          <w:szCs w:val="24"/>
          <w:lang w:val="es-ES_tradnl"/>
        </w:rPr>
        <w:t>Gonzalez</w:t>
      </w:r>
      <w:proofErr w:type="spellEnd"/>
      <w:r w:rsidRPr="000E4FE6">
        <w:rPr>
          <w:rFonts w:ascii="Times New Roman" w:hAnsi="Times New Roman" w:cs="Times New Roman"/>
          <w:sz w:val="24"/>
          <w:szCs w:val="24"/>
          <w:lang w:val="es-ES_tradnl"/>
        </w:rPr>
        <w:t xml:space="preserve">-Gil, E. M. (2021). </w:t>
      </w:r>
      <w:r w:rsidRPr="000E4FE6">
        <w:rPr>
          <w:rFonts w:ascii="Times New Roman" w:hAnsi="Times New Roman" w:cs="Times New Roman"/>
          <w:sz w:val="24"/>
          <w:szCs w:val="24"/>
        </w:rPr>
        <w:t xml:space="preserve">The influence of parental dietary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and practices on children’s eating habits.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13</w:t>
      </w:r>
      <w:r w:rsidRPr="000E4FE6">
        <w:rPr>
          <w:rFonts w:ascii="Times New Roman" w:hAnsi="Times New Roman" w:cs="Times New Roman"/>
          <w:sz w:val="24"/>
          <w:szCs w:val="24"/>
        </w:rPr>
        <w:t>(4). https://doi.org/10.3390/nu13041138</w:t>
      </w:r>
    </w:p>
    <w:p w14:paraId="00000DF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Mahmoud, R., </w:t>
      </w:r>
      <w:proofErr w:type="spellStart"/>
      <w:r w:rsidRPr="000E4FE6">
        <w:rPr>
          <w:rFonts w:ascii="Times New Roman" w:hAnsi="Times New Roman" w:cs="Times New Roman"/>
          <w:sz w:val="24"/>
          <w:szCs w:val="24"/>
        </w:rPr>
        <w:t>Kimonis</w:t>
      </w:r>
      <w:proofErr w:type="spellEnd"/>
      <w:r w:rsidRPr="000E4FE6">
        <w:rPr>
          <w:rFonts w:ascii="Times New Roman" w:hAnsi="Times New Roman" w:cs="Times New Roman"/>
          <w:sz w:val="24"/>
          <w:szCs w:val="24"/>
        </w:rPr>
        <w:t>, V., and Butler, M. G. (2022). Genetics of obesity in humans: A clinical review. </w:t>
      </w:r>
      <w:r w:rsidRPr="000E4FE6">
        <w:rPr>
          <w:rFonts w:ascii="Times New Roman" w:hAnsi="Times New Roman" w:cs="Times New Roman"/>
          <w:i/>
          <w:sz w:val="24"/>
          <w:szCs w:val="24"/>
        </w:rPr>
        <w:t>International Journal of Molecular Sciences</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(19). https://doi.org/10.3390/ijms231911005</w:t>
      </w:r>
    </w:p>
    <w:p w14:paraId="00000DF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Mallan</w:t>
      </w:r>
      <w:proofErr w:type="spellEnd"/>
      <w:r w:rsidRPr="000E4FE6">
        <w:rPr>
          <w:rFonts w:ascii="Times New Roman" w:hAnsi="Times New Roman" w:cs="Times New Roman"/>
          <w:sz w:val="24"/>
          <w:szCs w:val="24"/>
        </w:rPr>
        <w:t xml:space="preserve">, K. M., </w:t>
      </w:r>
      <w:proofErr w:type="spellStart"/>
      <w:r w:rsidRPr="000E4FE6">
        <w:rPr>
          <w:rFonts w:ascii="Times New Roman" w:hAnsi="Times New Roman" w:cs="Times New Roman"/>
          <w:sz w:val="24"/>
          <w:szCs w:val="24"/>
        </w:rPr>
        <w:t>Fildes</w:t>
      </w:r>
      <w:proofErr w:type="spellEnd"/>
      <w:r w:rsidRPr="000E4FE6">
        <w:rPr>
          <w:rFonts w:ascii="Times New Roman" w:hAnsi="Times New Roman" w:cs="Times New Roman"/>
          <w:sz w:val="24"/>
          <w:szCs w:val="24"/>
        </w:rPr>
        <w:t xml:space="preserve">, A., de la Piedad Garcia, X., </w:t>
      </w:r>
      <w:proofErr w:type="spellStart"/>
      <w:r w:rsidRPr="000E4FE6">
        <w:rPr>
          <w:rFonts w:ascii="Times New Roman" w:hAnsi="Times New Roman" w:cs="Times New Roman"/>
          <w:sz w:val="24"/>
          <w:szCs w:val="24"/>
        </w:rPr>
        <w:t>Drzezdzon</w:t>
      </w:r>
      <w:proofErr w:type="spellEnd"/>
      <w:r w:rsidRPr="000E4FE6">
        <w:rPr>
          <w:rFonts w:ascii="Times New Roman" w:hAnsi="Times New Roman" w:cs="Times New Roman"/>
          <w:sz w:val="24"/>
          <w:szCs w:val="24"/>
        </w:rPr>
        <w:t>, J., Sampson, M., and Llewellyn, C. (2017). Appetitive traits associated with higher and lower body mass index: evaluating the validity of the adult eating behaviour questionnaire in an Australian sample. </w:t>
      </w:r>
      <w:r w:rsidRPr="000E4FE6">
        <w:rPr>
          <w:rFonts w:ascii="Times New Roman" w:hAnsi="Times New Roman" w:cs="Times New Roman"/>
          <w:i/>
          <w:sz w:val="24"/>
          <w:szCs w:val="24"/>
        </w:rPr>
        <w:t xml:space="preserve">The International Journal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Nutrition and Physical Activity</w:t>
      </w:r>
      <w:r w:rsidRPr="000E4FE6">
        <w:rPr>
          <w:rFonts w:ascii="Times New Roman" w:hAnsi="Times New Roman" w:cs="Times New Roman"/>
          <w:sz w:val="24"/>
          <w:szCs w:val="24"/>
        </w:rPr>
        <w:t>, </w:t>
      </w:r>
      <w:r w:rsidRPr="000E4FE6">
        <w:rPr>
          <w:rFonts w:ascii="Times New Roman" w:hAnsi="Times New Roman" w:cs="Times New Roman"/>
          <w:i/>
          <w:sz w:val="24"/>
          <w:szCs w:val="24"/>
        </w:rPr>
        <w:t>14</w:t>
      </w:r>
      <w:r w:rsidRPr="000E4FE6">
        <w:rPr>
          <w:rFonts w:ascii="Times New Roman" w:hAnsi="Times New Roman" w:cs="Times New Roman"/>
          <w:sz w:val="24"/>
          <w:szCs w:val="24"/>
        </w:rPr>
        <w:t>(1), 130. https://doi.org/10.1186/s12966-017-0587-7</w:t>
      </w:r>
    </w:p>
    <w:p w14:paraId="00000DF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Mancino</w:t>
      </w:r>
      <w:proofErr w:type="spellEnd"/>
      <w:r w:rsidRPr="000E4FE6">
        <w:rPr>
          <w:rFonts w:ascii="Times New Roman" w:hAnsi="Times New Roman" w:cs="Times New Roman"/>
          <w:sz w:val="24"/>
          <w:szCs w:val="24"/>
        </w:rPr>
        <w:t xml:space="preserve">, L., Newman, C., </w:t>
      </w:r>
      <w:proofErr w:type="spellStart"/>
      <w:r w:rsidRPr="000E4FE6">
        <w:rPr>
          <w:rFonts w:ascii="Times New Roman" w:hAnsi="Times New Roman" w:cs="Times New Roman"/>
          <w:sz w:val="24"/>
          <w:szCs w:val="24"/>
        </w:rPr>
        <w:t>Mancino</w:t>
      </w:r>
      <w:proofErr w:type="spellEnd"/>
      <w:r w:rsidRPr="000E4FE6">
        <w:rPr>
          <w:rFonts w:ascii="Times New Roman" w:hAnsi="Times New Roman" w:cs="Times New Roman"/>
          <w:sz w:val="24"/>
          <w:szCs w:val="24"/>
        </w:rPr>
        <w:t xml:space="preserve">, L., and Newman, C. (2007). Who Has Time </w:t>
      </w:r>
      <w:proofErr w:type="gramStart"/>
      <w:r w:rsidRPr="000E4FE6">
        <w:rPr>
          <w:rFonts w:ascii="Times New Roman" w:hAnsi="Times New Roman" w:cs="Times New Roman"/>
          <w:sz w:val="24"/>
          <w:szCs w:val="24"/>
        </w:rPr>
        <w:t>To</w:t>
      </w:r>
      <w:proofErr w:type="gramEnd"/>
      <w:r w:rsidRPr="000E4FE6">
        <w:rPr>
          <w:rFonts w:ascii="Times New Roman" w:hAnsi="Times New Roman" w:cs="Times New Roman"/>
          <w:sz w:val="24"/>
          <w:szCs w:val="24"/>
        </w:rPr>
        <w:t xml:space="preserve"> Cook? How Family Resources Influence Food Preparation. </w:t>
      </w:r>
      <w:r w:rsidRPr="000E4FE6">
        <w:rPr>
          <w:rFonts w:ascii="Times New Roman" w:hAnsi="Times New Roman" w:cs="Times New Roman"/>
          <w:i/>
          <w:sz w:val="24"/>
          <w:szCs w:val="24"/>
        </w:rPr>
        <w:t>PSI Structural Genomics Knowledgebase</w:t>
      </w:r>
      <w:r w:rsidRPr="000E4FE6">
        <w:rPr>
          <w:rFonts w:ascii="Times New Roman" w:hAnsi="Times New Roman" w:cs="Times New Roman"/>
          <w:sz w:val="24"/>
          <w:szCs w:val="24"/>
        </w:rPr>
        <w:t>. https://doi.org/10.22004/ag.econ.55961</w:t>
      </w:r>
    </w:p>
    <w:p w14:paraId="00000DF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Mangurian</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Niu</w:t>
      </w:r>
      <w:proofErr w:type="spellEnd"/>
      <w:r w:rsidRPr="000E4FE6">
        <w:rPr>
          <w:rFonts w:ascii="Times New Roman" w:hAnsi="Times New Roman" w:cs="Times New Roman"/>
          <w:sz w:val="24"/>
          <w:szCs w:val="24"/>
        </w:rPr>
        <w:t xml:space="preserve">, G. C., Schillinger, D., Newcomer, J. W., Dilley, J., and Handley, M. A. (2017). Utilization of the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Change Wheel framework to develop a model to improve cardiometabolic screening for people with severe mental illness. </w:t>
      </w:r>
      <w:r w:rsidRPr="000E4FE6">
        <w:rPr>
          <w:rFonts w:ascii="Times New Roman" w:hAnsi="Times New Roman" w:cs="Times New Roman"/>
          <w:i/>
          <w:sz w:val="24"/>
          <w:szCs w:val="24"/>
        </w:rPr>
        <w:t>Implementation Science</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(1), 134. https://doi.org/10.1186/s13012-017-0663-z</w:t>
      </w:r>
    </w:p>
    <w:p w14:paraId="00000DF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Marín-Guerrero, A. C., Gutiérrez-</w:t>
      </w:r>
      <w:proofErr w:type="spellStart"/>
      <w:r w:rsidRPr="000E4FE6">
        <w:rPr>
          <w:rFonts w:ascii="Times New Roman" w:hAnsi="Times New Roman" w:cs="Times New Roman"/>
          <w:sz w:val="24"/>
          <w:szCs w:val="24"/>
        </w:rPr>
        <w:t>Fisac</w:t>
      </w:r>
      <w:proofErr w:type="spellEnd"/>
      <w:r w:rsidRPr="000E4FE6">
        <w:rPr>
          <w:rFonts w:ascii="Times New Roman" w:hAnsi="Times New Roman" w:cs="Times New Roman"/>
          <w:sz w:val="24"/>
          <w:szCs w:val="24"/>
        </w:rPr>
        <w:t xml:space="preserve">, J. L., </w:t>
      </w:r>
      <w:proofErr w:type="spellStart"/>
      <w:r w:rsidRPr="000E4FE6">
        <w:rPr>
          <w:rFonts w:ascii="Times New Roman" w:hAnsi="Times New Roman" w:cs="Times New Roman"/>
          <w:sz w:val="24"/>
          <w:szCs w:val="24"/>
        </w:rPr>
        <w:t>Guallar-Castillón</w:t>
      </w:r>
      <w:proofErr w:type="spellEnd"/>
      <w:r w:rsidRPr="000E4FE6">
        <w:rPr>
          <w:rFonts w:ascii="Times New Roman" w:hAnsi="Times New Roman" w:cs="Times New Roman"/>
          <w:sz w:val="24"/>
          <w:szCs w:val="24"/>
        </w:rPr>
        <w:t>, P., Banegas, J. R., and Rodríguez-</w:t>
      </w:r>
      <w:proofErr w:type="spellStart"/>
      <w:r w:rsidRPr="000E4FE6">
        <w:rPr>
          <w:rFonts w:ascii="Times New Roman" w:hAnsi="Times New Roman" w:cs="Times New Roman"/>
          <w:sz w:val="24"/>
          <w:szCs w:val="24"/>
        </w:rPr>
        <w:t>Artalejo</w:t>
      </w:r>
      <w:proofErr w:type="spellEnd"/>
      <w:r w:rsidRPr="000E4FE6">
        <w:rPr>
          <w:rFonts w:ascii="Times New Roman" w:hAnsi="Times New Roman" w:cs="Times New Roman"/>
          <w:sz w:val="24"/>
          <w:szCs w:val="24"/>
        </w:rPr>
        <w:t>, F. (2008). Eating behaviours and obesity in the adult population of Spain.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100</w:t>
      </w:r>
      <w:r w:rsidRPr="000E4FE6">
        <w:rPr>
          <w:rFonts w:ascii="Times New Roman" w:hAnsi="Times New Roman" w:cs="Times New Roman"/>
          <w:sz w:val="24"/>
          <w:szCs w:val="24"/>
        </w:rPr>
        <w:t>(5), 1142–1148. https://doi.org/10.1017/S0007114508966137</w:t>
      </w:r>
    </w:p>
    <w:p w14:paraId="00000DF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Marniemi</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Kronholm</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Aunola</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Toikka</w:t>
      </w:r>
      <w:proofErr w:type="spellEnd"/>
      <w:r w:rsidRPr="000E4FE6">
        <w:rPr>
          <w:rFonts w:ascii="Times New Roman" w:hAnsi="Times New Roman" w:cs="Times New Roman"/>
          <w:sz w:val="24"/>
          <w:szCs w:val="24"/>
        </w:rPr>
        <w:t xml:space="preserve">, T., </w:t>
      </w:r>
      <w:proofErr w:type="spellStart"/>
      <w:r w:rsidRPr="000E4FE6">
        <w:rPr>
          <w:rFonts w:ascii="Times New Roman" w:hAnsi="Times New Roman" w:cs="Times New Roman"/>
          <w:sz w:val="24"/>
          <w:szCs w:val="24"/>
        </w:rPr>
        <w:t>Mattlar</w:t>
      </w:r>
      <w:proofErr w:type="spellEnd"/>
      <w:r w:rsidRPr="000E4FE6">
        <w:rPr>
          <w:rFonts w:ascii="Times New Roman" w:hAnsi="Times New Roman" w:cs="Times New Roman"/>
          <w:sz w:val="24"/>
          <w:szCs w:val="24"/>
        </w:rPr>
        <w:t xml:space="preserve">, C. E., </w:t>
      </w:r>
      <w:proofErr w:type="spellStart"/>
      <w:r w:rsidRPr="000E4FE6">
        <w:rPr>
          <w:rFonts w:ascii="Times New Roman" w:hAnsi="Times New Roman" w:cs="Times New Roman"/>
          <w:sz w:val="24"/>
          <w:szCs w:val="24"/>
        </w:rPr>
        <w:t>Koskenvuo</w:t>
      </w:r>
      <w:proofErr w:type="spellEnd"/>
      <w:r w:rsidRPr="000E4FE6">
        <w:rPr>
          <w:rFonts w:ascii="Times New Roman" w:hAnsi="Times New Roman" w:cs="Times New Roman"/>
          <w:sz w:val="24"/>
          <w:szCs w:val="24"/>
        </w:rPr>
        <w:t xml:space="preserve">, M., and </w:t>
      </w:r>
      <w:proofErr w:type="spellStart"/>
      <w:r w:rsidRPr="000E4FE6">
        <w:rPr>
          <w:rFonts w:ascii="Times New Roman" w:hAnsi="Times New Roman" w:cs="Times New Roman"/>
          <w:sz w:val="24"/>
          <w:szCs w:val="24"/>
        </w:rPr>
        <w:t>Rönnemaa</w:t>
      </w:r>
      <w:proofErr w:type="spellEnd"/>
      <w:r w:rsidRPr="000E4FE6">
        <w:rPr>
          <w:rFonts w:ascii="Times New Roman" w:hAnsi="Times New Roman" w:cs="Times New Roman"/>
          <w:sz w:val="24"/>
          <w:szCs w:val="24"/>
        </w:rPr>
        <w:t>, T. (2002). Visceral fat and psychosocial stress in identical twins discordant for obesity. </w:t>
      </w:r>
      <w:r w:rsidRPr="000E4FE6">
        <w:rPr>
          <w:rFonts w:ascii="Times New Roman" w:hAnsi="Times New Roman" w:cs="Times New Roman"/>
          <w:i/>
          <w:sz w:val="24"/>
          <w:szCs w:val="24"/>
        </w:rPr>
        <w:t>Journal of Internal Medicine</w:t>
      </w:r>
      <w:r w:rsidRPr="000E4FE6">
        <w:rPr>
          <w:rFonts w:ascii="Times New Roman" w:hAnsi="Times New Roman" w:cs="Times New Roman"/>
          <w:sz w:val="24"/>
          <w:szCs w:val="24"/>
        </w:rPr>
        <w:t>, </w:t>
      </w:r>
      <w:r w:rsidRPr="000E4FE6">
        <w:rPr>
          <w:rFonts w:ascii="Times New Roman" w:hAnsi="Times New Roman" w:cs="Times New Roman"/>
          <w:i/>
          <w:sz w:val="24"/>
          <w:szCs w:val="24"/>
        </w:rPr>
        <w:t>251</w:t>
      </w:r>
      <w:r w:rsidRPr="000E4FE6">
        <w:rPr>
          <w:rFonts w:ascii="Times New Roman" w:hAnsi="Times New Roman" w:cs="Times New Roman"/>
          <w:sz w:val="24"/>
          <w:szCs w:val="24"/>
        </w:rPr>
        <w:t>(1), 35–43. https://doi.org/10.1046/j.1365-2796.2002.00921.x</w:t>
      </w:r>
    </w:p>
    <w:p w14:paraId="00000DF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Marques, M. M., Wright, A. J., Corker, E., Johnston, M., West, R., Hastings, J., … Michie, S. (2023). The behaviour change technique ontology: transforming the behaviour change technique taxonomy v1. </w:t>
      </w:r>
      <w:proofErr w:type="spellStart"/>
      <w:r w:rsidRPr="000E4FE6">
        <w:rPr>
          <w:rFonts w:ascii="Times New Roman" w:hAnsi="Times New Roman" w:cs="Times New Roman"/>
          <w:i/>
          <w:sz w:val="24"/>
          <w:szCs w:val="24"/>
        </w:rPr>
        <w:t>Wellcome</w:t>
      </w:r>
      <w:proofErr w:type="spellEnd"/>
      <w:r w:rsidRPr="000E4FE6">
        <w:rPr>
          <w:rFonts w:ascii="Times New Roman" w:hAnsi="Times New Roman" w:cs="Times New Roman"/>
          <w:i/>
          <w:sz w:val="24"/>
          <w:szCs w:val="24"/>
        </w:rPr>
        <w:t xml:space="preserve"> Open Research</w:t>
      </w:r>
      <w:r w:rsidRPr="000E4FE6">
        <w:rPr>
          <w:rFonts w:ascii="Times New Roman" w:hAnsi="Times New Roman" w:cs="Times New Roman"/>
          <w:sz w:val="24"/>
          <w:szCs w:val="24"/>
        </w:rPr>
        <w:t>, </w:t>
      </w:r>
      <w:r w:rsidRPr="000E4FE6">
        <w:rPr>
          <w:rFonts w:ascii="Times New Roman" w:hAnsi="Times New Roman" w:cs="Times New Roman"/>
          <w:i/>
          <w:sz w:val="24"/>
          <w:szCs w:val="24"/>
        </w:rPr>
        <w:t>8</w:t>
      </w:r>
      <w:r w:rsidRPr="000E4FE6">
        <w:rPr>
          <w:rFonts w:ascii="Times New Roman" w:hAnsi="Times New Roman" w:cs="Times New Roman"/>
          <w:sz w:val="24"/>
          <w:szCs w:val="24"/>
        </w:rPr>
        <w:t>, 308. https://doi.org/10.12688/wellcomeopenres.19363.1</w:t>
      </w:r>
    </w:p>
    <w:p w14:paraId="00000DF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Martin, L. E., </w:t>
      </w:r>
      <w:proofErr w:type="spellStart"/>
      <w:r w:rsidRPr="000E4FE6">
        <w:rPr>
          <w:rFonts w:ascii="Times New Roman" w:hAnsi="Times New Roman" w:cs="Times New Roman"/>
          <w:sz w:val="24"/>
          <w:szCs w:val="24"/>
        </w:rPr>
        <w:t>Holsen</w:t>
      </w:r>
      <w:proofErr w:type="spellEnd"/>
      <w:r w:rsidRPr="000E4FE6">
        <w:rPr>
          <w:rFonts w:ascii="Times New Roman" w:hAnsi="Times New Roman" w:cs="Times New Roman"/>
          <w:sz w:val="24"/>
          <w:szCs w:val="24"/>
        </w:rPr>
        <w:t xml:space="preserve">, L. M., Chambers, R. J., Bruce, A. S., Brooks, W. M., </w:t>
      </w:r>
      <w:proofErr w:type="spellStart"/>
      <w:r w:rsidRPr="000E4FE6">
        <w:rPr>
          <w:rFonts w:ascii="Times New Roman" w:hAnsi="Times New Roman" w:cs="Times New Roman"/>
          <w:sz w:val="24"/>
          <w:szCs w:val="24"/>
        </w:rPr>
        <w:t>Zarcone</w:t>
      </w:r>
      <w:proofErr w:type="spellEnd"/>
      <w:r w:rsidRPr="000E4FE6">
        <w:rPr>
          <w:rFonts w:ascii="Times New Roman" w:hAnsi="Times New Roman" w:cs="Times New Roman"/>
          <w:sz w:val="24"/>
          <w:szCs w:val="24"/>
        </w:rPr>
        <w:t>, J. R., … Savage, C. R. (2010). Neural mechanisms associated with food motivation in obese and healthy weight adults.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(2), 254–260. https://doi.org/10.1038/oby.2009.220</w:t>
      </w:r>
    </w:p>
    <w:p w14:paraId="00000E00"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r w:rsidRPr="000E4FE6">
        <w:rPr>
          <w:rFonts w:ascii="Times New Roman" w:hAnsi="Times New Roman" w:cs="Times New Roman"/>
          <w:sz w:val="24"/>
          <w:szCs w:val="24"/>
        </w:rPr>
        <w:t xml:space="preserve">Martínez-Lozano, N., </w:t>
      </w:r>
      <w:proofErr w:type="spellStart"/>
      <w:r w:rsidRPr="000E4FE6">
        <w:rPr>
          <w:rFonts w:ascii="Times New Roman" w:hAnsi="Times New Roman" w:cs="Times New Roman"/>
          <w:sz w:val="24"/>
          <w:szCs w:val="24"/>
        </w:rPr>
        <w:t>Tvarijonaviciute</w:t>
      </w:r>
      <w:proofErr w:type="spellEnd"/>
      <w:r w:rsidRPr="000E4FE6">
        <w:rPr>
          <w:rFonts w:ascii="Times New Roman" w:hAnsi="Times New Roman" w:cs="Times New Roman"/>
          <w:sz w:val="24"/>
          <w:szCs w:val="24"/>
        </w:rPr>
        <w:t xml:space="preserve">, A., Ríos, R., </w:t>
      </w:r>
      <w:proofErr w:type="spellStart"/>
      <w:r w:rsidRPr="000E4FE6">
        <w:rPr>
          <w:rFonts w:ascii="Times New Roman" w:hAnsi="Times New Roman" w:cs="Times New Roman"/>
          <w:sz w:val="24"/>
          <w:szCs w:val="24"/>
        </w:rPr>
        <w:t>Barón</w:t>
      </w:r>
      <w:proofErr w:type="spellEnd"/>
      <w:r w:rsidRPr="000E4FE6">
        <w:rPr>
          <w:rFonts w:ascii="Times New Roman" w:hAnsi="Times New Roman" w:cs="Times New Roman"/>
          <w:sz w:val="24"/>
          <w:szCs w:val="24"/>
        </w:rPr>
        <w:t xml:space="preserve">, I., Scheer, F. A. J. L., and </w:t>
      </w:r>
      <w:proofErr w:type="spellStart"/>
      <w:r w:rsidRPr="000E4FE6">
        <w:rPr>
          <w:rFonts w:ascii="Times New Roman" w:hAnsi="Times New Roman" w:cs="Times New Roman"/>
          <w:sz w:val="24"/>
          <w:szCs w:val="24"/>
        </w:rPr>
        <w:t>Garaulet</w:t>
      </w:r>
      <w:proofErr w:type="spellEnd"/>
      <w:r w:rsidRPr="000E4FE6">
        <w:rPr>
          <w:rFonts w:ascii="Times New Roman" w:hAnsi="Times New Roman" w:cs="Times New Roman"/>
          <w:sz w:val="24"/>
          <w:szCs w:val="24"/>
        </w:rPr>
        <w:t xml:space="preserve">, M. (2020). Late Eating Is Associated with Obesity, Inflammatory Markers and </w:t>
      </w:r>
      <w:r w:rsidRPr="000E4FE6">
        <w:rPr>
          <w:rFonts w:ascii="Times New Roman" w:hAnsi="Times New Roman" w:cs="Times New Roman"/>
          <w:sz w:val="24"/>
          <w:szCs w:val="24"/>
        </w:rPr>
        <w:lastRenderedPageBreak/>
        <w:t>Circadian-Related Disturbances in School-Aged Children. </w:t>
      </w:r>
      <w:proofErr w:type="spellStart"/>
      <w:r w:rsidRPr="000E4FE6">
        <w:rPr>
          <w:rFonts w:ascii="Times New Roman" w:hAnsi="Times New Roman" w:cs="Times New Roman"/>
          <w:i/>
          <w:sz w:val="24"/>
          <w:szCs w:val="24"/>
          <w:lang w:val="es-ES_tradnl"/>
        </w:rPr>
        <w:t>Nutrients</w:t>
      </w:r>
      <w:proofErr w:type="spellEnd"/>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12</w:t>
      </w:r>
      <w:r w:rsidRPr="000E4FE6">
        <w:rPr>
          <w:rFonts w:ascii="Times New Roman" w:hAnsi="Times New Roman" w:cs="Times New Roman"/>
          <w:sz w:val="24"/>
          <w:szCs w:val="24"/>
          <w:lang w:val="es-ES_tradnl"/>
        </w:rPr>
        <w:t>(9). https://doi.org/10.3390/nu12092881</w:t>
      </w:r>
    </w:p>
    <w:p w14:paraId="00000E0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lang w:val="es-ES_tradnl"/>
        </w:rPr>
        <w:t>Martins</w:t>
      </w:r>
      <w:proofErr w:type="spellEnd"/>
      <w:r w:rsidRPr="000E4FE6">
        <w:rPr>
          <w:rFonts w:ascii="Times New Roman" w:hAnsi="Times New Roman" w:cs="Times New Roman"/>
          <w:sz w:val="24"/>
          <w:szCs w:val="24"/>
          <w:lang w:val="es-ES_tradnl"/>
        </w:rPr>
        <w:t xml:space="preserve">, B. G., da Silva, W. R., </w:t>
      </w:r>
      <w:proofErr w:type="spellStart"/>
      <w:r w:rsidRPr="000E4FE6">
        <w:rPr>
          <w:rFonts w:ascii="Times New Roman" w:hAnsi="Times New Roman" w:cs="Times New Roman"/>
          <w:sz w:val="24"/>
          <w:szCs w:val="24"/>
          <w:lang w:val="es-ES_tradnl"/>
        </w:rPr>
        <w:t>Maroco</w:t>
      </w:r>
      <w:proofErr w:type="spellEnd"/>
      <w:r w:rsidRPr="000E4FE6">
        <w:rPr>
          <w:rFonts w:ascii="Times New Roman" w:hAnsi="Times New Roman" w:cs="Times New Roman"/>
          <w:sz w:val="24"/>
          <w:szCs w:val="24"/>
          <w:lang w:val="es-ES_tradnl"/>
        </w:rPr>
        <w:t xml:space="preserve">, J., and Campos, J. A. D. B. (2021). </w:t>
      </w:r>
      <w:r w:rsidRPr="000E4FE6">
        <w:rPr>
          <w:rFonts w:ascii="Times New Roman" w:hAnsi="Times New Roman" w:cs="Times New Roman"/>
          <w:sz w:val="24"/>
          <w:szCs w:val="24"/>
        </w:rPr>
        <w:t xml:space="preserve">Psychometric characteristics of the Three-Factor Eating Questionnaire-18 and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in undergraduate students. </w:t>
      </w:r>
      <w:r w:rsidRPr="000E4FE6">
        <w:rPr>
          <w:rFonts w:ascii="Times New Roman" w:hAnsi="Times New Roman" w:cs="Times New Roman"/>
          <w:i/>
          <w:sz w:val="24"/>
          <w:szCs w:val="24"/>
        </w:rPr>
        <w:t>Eating and Weight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(2), 525–536. https://doi.org/10.1007/s40519-020-00885-9</w:t>
      </w:r>
    </w:p>
    <w:p w14:paraId="00000E0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Masheb</w:t>
      </w:r>
      <w:proofErr w:type="spellEnd"/>
      <w:r w:rsidRPr="000E4FE6">
        <w:rPr>
          <w:rFonts w:ascii="Times New Roman" w:hAnsi="Times New Roman" w:cs="Times New Roman"/>
          <w:sz w:val="24"/>
          <w:szCs w:val="24"/>
        </w:rPr>
        <w:t xml:space="preserve">, R. M., and </w:t>
      </w:r>
      <w:proofErr w:type="spellStart"/>
      <w:r w:rsidRPr="000E4FE6">
        <w:rPr>
          <w:rFonts w:ascii="Times New Roman" w:hAnsi="Times New Roman" w:cs="Times New Roman"/>
          <w:sz w:val="24"/>
          <w:szCs w:val="24"/>
        </w:rPr>
        <w:t>Grilo</w:t>
      </w:r>
      <w:proofErr w:type="spellEnd"/>
      <w:r w:rsidRPr="000E4FE6">
        <w:rPr>
          <w:rFonts w:ascii="Times New Roman" w:hAnsi="Times New Roman" w:cs="Times New Roman"/>
          <w:sz w:val="24"/>
          <w:szCs w:val="24"/>
        </w:rPr>
        <w:t>, C. M. (2002). On the relation of flexible and rigid control of eating to body mass index and overeating in patients with binge eating disorder. </w:t>
      </w:r>
      <w:r w:rsidRPr="000E4FE6">
        <w:rPr>
          <w:rFonts w:ascii="Times New Roman" w:hAnsi="Times New Roman" w:cs="Times New Roman"/>
          <w:i/>
          <w:sz w:val="24"/>
          <w:szCs w:val="24"/>
        </w:rPr>
        <w:t>The International Journal of Eating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31</w:t>
      </w:r>
      <w:r w:rsidRPr="000E4FE6">
        <w:rPr>
          <w:rFonts w:ascii="Times New Roman" w:hAnsi="Times New Roman" w:cs="Times New Roman"/>
          <w:sz w:val="24"/>
          <w:szCs w:val="24"/>
        </w:rPr>
        <w:t>(1), 82–91. https://doi.org/10.1002/eat.10001</w:t>
      </w:r>
    </w:p>
    <w:p w14:paraId="00000E0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Mason, A., and </w:t>
      </w:r>
      <w:proofErr w:type="spellStart"/>
      <w:r w:rsidRPr="000E4FE6">
        <w:rPr>
          <w:rFonts w:ascii="Times New Roman" w:hAnsi="Times New Roman" w:cs="Times New Roman"/>
          <w:sz w:val="24"/>
          <w:szCs w:val="24"/>
        </w:rPr>
        <w:t>Epel</w:t>
      </w:r>
      <w:proofErr w:type="spellEnd"/>
      <w:r w:rsidRPr="000E4FE6">
        <w:rPr>
          <w:rFonts w:ascii="Times New Roman" w:hAnsi="Times New Roman" w:cs="Times New Roman"/>
          <w:sz w:val="24"/>
          <w:szCs w:val="24"/>
        </w:rPr>
        <w:t>, E. (2015). Craving Chocolate? A Review of Individual Differences, Triggers and Assessment of Food Cravings. </w:t>
      </w:r>
      <w:r w:rsidRPr="000E4FE6">
        <w:rPr>
          <w:rFonts w:ascii="Times New Roman" w:hAnsi="Times New Roman" w:cs="Times New Roman"/>
          <w:i/>
          <w:sz w:val="24"/>
          <w:szCs w:val="24"/>
        </w:rPr>
        <w:t xml:space="preserve">Hedonic Eating How the Pleasure of Food Affects Our Brains and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57–83.</w:t>
      </w:r>
    </w:p>
    <w:p w14:paraId="00000E0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Mathew, A. C., </w:t>
      </w:r>
      <w:proofErr w:type="spellStart"/>
      <w:r w:rsidRPr="000E4FE6">
        <w:rPr>
          <w:rFonts w:ascii="Times New Roman" w:hAnsi="Times New Roman" w:cs="Times New Roman"/>
          <w:sz w:val="24"/>
          <w:szCs w:val="24"/>
        </w:rPr>
        <w:t>Anithadevi</w:t>
      </w:r>
      <w:proofErr w:type="spellEnd"/>
      <w:r w:rsidRPr="000E4FE6">
        <w:rPr>
          <w:rFonts w:ascii="Times New Roman" w:hAnsi="Times New Roman" w:cs="Times New Roman"/>
          <w:sz w:val="24"/>
          <w:szCs w:val="24"/>
        </w:rPr>
        <w:t>, T. S., Safar, R. S., Shankar, S. L., Banu, M. S., and Ma, Y. (2012). </w:t>
      </w:r>
      <w:r w:rsidRPr="000E4FE6">
        <w:rPr>
          <w:rFonts w:ascii="Times New Roman" w:hAnsi="Times New Roman" w:cs="Times New Roman"/>
          <w:i/>
          <w:sz w:val="24"/>
          <w:szCs w:val="24"/>
        </w:rPr>
        <w:t>Validity of self-reported height and weight and factors associated with errors in self-report.</w:t>
      </w:r>
    </w:p>
    <w:p w14:paraId="00000E0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Maukonen</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Kanerva</w:t>
      </w:r>
      <w:proofErr w:type="spellEnd"/>
      <w:r w:rsidRPr="000E4FE6">
        <w:rPr>
          <w:rFonts w:ascii="Times New Roman" w:hAnsi="Times New Roman" w:cs="Times New Roman"/>
          <w:sz w:val="24"/>
          <w:szCs w:val="24"/>
        </w:rPr>
        <w:t xml:space="preserve">, N., </w:t>
      </w:r>
      <w:proofErr w:type="spellStart"/>
      <w:r w:rsidRPr="000E4FE6">
        <w:rPr>
          <w:rFonts w:ascii="Times New Roman" w:hAnsi="Times New Roman" w:cs="Times New Roman"/>
          <w:sz w:val="24"/>
          <w:szCs w:val="24"/>
        </w:rPr>
        <w:t>Partonen</w:t>
      </w:r>
      <w:proofErr w:type="spellEnd"/>
      <w:r w:rsidRPr="000E4FE6">
        <w:rPr>
          <w:rFonts w:ascii="Times New Roman" w:hAnsi="Times New Roman" w:cs="Times New Roman"/>
          <w:sz w:val="24"/>
          <w:szCs w:val="24"/>
        </w:rPr>
        <w:t xml:space="preserve">, T., </w:t>
      </w:r>
      <w:proofErr w:type="spellStart"/>
      <w:r w:rsidRPr="000E4FE6">
        <w:rPr>
          <w:rFonts w:ascii="Times New Roman" w:hAnsi="Times New Roman" w:cs="Times New Roman"/>
          <w:sz w:val="24"/>
          <w:szCs w:val="24"/>
        </w:rPr>
        <w:t>Kronholm</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Konttinen</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Wennman</w:t>
      </w:r>
      <w:proofErr w:type="spellEnd"/>
      <w:r w:rsidRPr="000E4FE6">
        <w:rPr>
          <w:rFonts w:ascii="Times New Roman" w:hAnsi="Times New Roman" w:cs="Times New Roman"/>
          <w:sz w:val="24"/>
          <w:szCs w:val="24"/>
        </w:rPr>
        <w:t xml:space="preserve">, H., and </w:t>
      </w:r>
      <w:proofErr w:type="spellStart"/>
      <w:r w:rsidRPr="000E4FE6">
        <w:rPr>
          <w:rFonts w:ascii="Times New Roman" w:hAnsi="Times New Roman" w:cs="Times New Roman"/>
          <w:sz w:val="24"/>
          <w:szCs w:val="24"/>
        </w:rPr>
        <w:t>Männistö</w:t>
      </w:r>
      <w:proofErr w:type="spellEnd"/>
      <w:r w:rsidRPr="000E4FE6">
        <w:rPr>
          <w:rFonts w:ascii="Times New Roman" w:hAnsi="Times New Roman" w:cs="Times New Roman"/>
          <w:sz w:val="24"/>
          <w:szCs w:val="24"/>
        </w:rPr>
        <w:t>, S. (2016). The associations between chronotype, a healthy diet and obesity. </w:t>
      </w:r>
      <w:r w:rsidRPr="000E4FE6">
        <w:rPr>
          <w:rFonts w:ascii="Times New Roman" w:hAnsi="Times New Roman" w:cs="Times New Roman"/>
          <w:i/>
          <w:sz w:val="24"/>
          <w:szCs w:val="24"/>
        </w:rPr>
        <w:t>Chronobiology International</w:t>
      </w:r>
      <w:r w:rsidRPr="000E4FE6">
        <w:rPr>
          <w:rFonts w:ascii="Times New Roman" w:hAnsi="Times New Roman" w:cs="Times New Roman"/>
          <w:sz w:val="24"/>
          <w:szCs w:val="24"/>
        </w:rPr>
        <w:t>, </w:t>
      </w:r>
      <w:r w:rsidRPr="000E4FE6">
        <w:rPr>
          <w:rFonts w:ascii="Times New Roman" w:hAnsi="Times New Roman" w:cs="Times New Roman"/>
          <w:i/>
          <w:sz w:val="24"/>
          <w:szCs w:val="24"/>
        </w:rPr>
        <w:t>33</w:t>
      </w:r>
      <w:r w:rsidRPr="000E4FE6">
        <w:rPr>
          <w:rFonts w:ascii="Times New Roman" w:hAnsi="Times New Roman" w:cs="Times New Roman"/>
          <w:sz w:val="24"/>
          <w:szCs w:val="24"/>
        </w:rPr>
        <w:t>(8), 972–981. https://doi.org/10.1080/07420528.2016.1183022</w:t>
      </w:r>
    </w:p>
    <w:p w14:paraId="00000E0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Maukonen</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Kanerva</w:t>
      </w:r>
      <w:proofErr w:type="spellEnd"/>
      <w:r w:rsidRPr="000E4FE6">
        <w:rPr>
          <w:rFonts w:ascii="Times New Roman" w:hAnsi="Times New Roman" w:cs="Times New Roman"/>
          <w:sz w:val="24"/>
          <w:szCs w:val="24"/>
        </w:rPr>
        <w:t xml:space="preserve">, N., </w:t>
      </w:r>
      <w:proofErr w:type="spellStart"/>
      <w:r w:rsidRPr="000E4FE6">
        <w:rPr>
          <w:rFonts w:ascii="Times New Roman" w:hAnsi="Times New Roman" w:cs="Times New Roman"/>
          <w:sz w:val="24"/>
          <w:szCs w:val="24"/>
        </w:rPr>
        <w:t>Partonen</w:t>
      </w:r>
      <w:proofErr w:type="spellEnd"/>
      <w:r w:rsidRPr="000E4FE6">
        <w:rPr>
          <w:rFonts w:ascii="Times New Roman" w:hAnsi="Times New Roman" w:cs="Times New Roman"/>
          <w:sz w:val="24"/>
          <w:szCs w:val="24"/>
        </w:rPr>
        <w:t xml:space="preserve">, T., </w:t>
      </w:r>
      <w:proofErr w:type="spellStart"/>
      <w:r w:rsidRPr="000E4FE6">
        <w:rPr>
          <w:rFonts w:ascii="Times New Roman" w:hAnsi="Times New Roman" w:cs="Times New Roman"/>
          <w:sz w:val="24"/>
          <w:szCs w:val="24"/>
        </w:rPr>
        <w:t>Kronholm</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Tapanainen</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Kontto</w:t>
      </w:r>
      <w:proofErr w:type="spellEnd"/>
      <w:r w:rsidRPr="000E4FE6">
        <w:rPr>
          <w:rFonts w:ascii="Times New Roman" w:hAnsi="Times New Roman" w:cs="Times New Roman"/>
          <w:sz w:val="24"/>
          <w:szCs w:val="24"/>
        </w:rPr>
        <w:t xml:space="preserve">, J., and </w:t>
      </w:r>
      <w:proofErr w:type="spellStart"/>
      <w:r w:rsidRPr="000E4FE6">
        <w:rPr>
          <w:rFonts w:ascii="Times New Roman" w:hAnsi="Times New Roman" w:cs="Times New Roman"/>
          <w:sz w:val="24"/>
          <w:szCs w:val="24"/>
        </w:rPr>
        <w:t>Männistö</w:t>
      </w:r>
      <w:proofErr w:type="spellEnd"/>
      <w:r w:rsidRPr="000E4FE6">
        <w:rPr>
          <w:rFonts w:ascii="Times New Roman" w:hAnsi="Times New Roman" w:cs="Times New Roman"/>
          <w:sz w:val="24"/>
          <w:szCs w:val="24"/>
        </w:rPr>
        <w:t>, S. (2017). Chronotype differences in timing of energy and macronutrient intakes: A population-based study in adults.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25</w:t>
      </w:r>
      <w:r w:rsidRPr="000E4FE6">
        <w:rPr>
          <w:rFonts w:ascii="Times New Roman" w:hAnsi="Times New Roman" w:cs="Times New Roman"/>
          <w:sz w:val="24"/>
          <w:szCs w:val="24"/>
        </w:rPr>
        <w:t>(3), 608–615. https://doi.org/10.1002/oby.21747</w:t>
      </w:r>
    </w:p>
    <w:p w14:paraId="00000E0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Maukonen</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Kanerva</w:t>
      </w:r>
      <w:proofErr w:type="spellEnd"/>
      <w:r w:rsidRPr="000E4FE6">
        <w:rPr>
          <w:rFonts w:ascii="Times New Roman" w:hAnsi="Times New Roman" w:cs="Times New Roman"/>
          <w:sz w:val="24"/>
          <w:szCs w:val="24"/>
        </w:rPr>
        <w:t xml:space="preserve">, N., </w:t>
      </w:r>
      <w:proofErr w:type="spellStart"/>
      <w:r w:rsidRPr="000E4FE6">
        <w:rPr>
          <w:rFonts w:ascii="Times New Roman" w:hAnsi="Times New Roman" w:cs="Times New Roman"/>
          <w:sz w:val="24"/>
          <w:szCs w:val="24"/>
        </w:rPr>
        <w:t>Partonen</w:t>
      </w:r>
      <w:proofErr w:type="spellEnd"/>
      <w:r w:rsidRPr="000E4FE6">
        <w:rPr>
          <w:rFonts w:ascii="Times New Roman" w:hAnsi="Times New Roman" w:cs="Times New Roman"/>
          <w:sz w:val="24"/>
          <w:szCs w:val="24"/>
        </w:rPr>
        <w:t xml:space="preserve">, T., and </w:t>
      </w:r>
      <w:proofErr w:type="spellStart"/>
      <w:r w:rsidRPr="000E4FE6">
        <w:rPr>
          <w:rFonts w:ascii="Times New Roman" w:hAnsi="Times New Roman" w:cs="Times New Roman"/>
          <w:sz w:val="24"/>
          <w:szCs w:val="24"/>
        </w:rPr>
        <w:t>Männistö</w:t>
      </w:r>
      <w:proofErr w:type="spellEnd"/>
      <w:r w:rsidRPr="000E4FE6">
        <w:rPr>
          <w:rFonts w:ascii="Times New Roman" w:hAnsi="Times New Roman" w:cs="Times New Roman"/>
          <w:sz w:val="24"/>
          <w:szCs w:val="24"/>
        </w:rPr>
        <w:t>, S. (2019). Chronotype and energy intake timing in relation to changes in anthropometrics: a 7-year follow-up study in adults. </w:t>
      </w:r>
      <w:r w:rsidRPr="000E4FE6">
        <w:rPr>
          <w:rFonts w:ascii="Times New Roman" w:hAnsi="Times New Roman" w:cs="Times New Roman"/>
          <w:i/>
          <w:sz w:val="24"/>
          <w:szCs w:val="24"/>
        </w:rPr>
        <w:t>Chronobiology International</w:t>
      </w:r>
      <w:r w:rsidRPr="000E4FE6">
        <w:rPr>
          <w:rFonts w:ascii="Times New Roman" w:hAnsi="Times New Roman" w:cs="Times New Roman"/>
          <w:sz w:val="24"/>
          <w:szCs w:val="24"/>
        </w:rPr>
        <w:t>, </w:t>
      </w:r>
      <w:r w:rsidRPr="000E4FE6">
        <w:rPr>
          <w:rFonts w:ascii="Times New Roman" w:hAnsi="Times New Roman" w:cs="Times New Roman"/>
          <w:i/>
          <w:sz w:val="24"/>
          <w:szCs w:val="24"/>
        </w:rPr>
        <w:t>36</w:t>
      </w:r>
      <w:r w:rsidRPr="000E4FE6">
        <w:rPr>
          <w:rFonts w:ascii="Times New Roman" w:hAnsi="Times New Roman" w:cs="Times New Roman"/>
          <w:sz w:val="24"/>
          <w:szCs w:val="24"/>
        </w:rPr>
        <w:t>(1), 27–41. https://doi.org/10.1080/07420528.2018.1515772</w:t>
      </w:r>
    </w:p>
    <w:p w14:paraId="00000E0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Mazri</w:t>
      </w:r>
      <w:proofErr w:type="spellEnd"/>
      <w:r w:rsidRPr="000E4FE6">
        <w:rPr>
          <w:rFonts w:ascii="Times New Roman" w:hAnsi="Times New Roman" w:cs="Times New Roman"/>
          <w:sz w:val="24"/>
          <w:szCs w:val="24"/>
        </w:rPr>
        <w:t xml:space="preserve">, F. H., </w:t>
      </w:r>
      <w:proofErr w:type="spellStart"/>
      <w:r w:rsidRPr="000E4FE6">
        <w:rPr>
          <w:rFonts w:ascii="Times New Roman" w:hAnsi="Times New Roman" w:cs="Times New Roman"/>
          <w:sz w:val="24"/>
          <w:szCs w:val="24"/>
        </w:rPr>
        <w:t>Manaf</w:t>
      </w:r>
      <w:proofErr w:type="spellEnd"/>
      <w:r w:rsidRPr="000E4FE6">
        <w:rPr>
          <w:rFonts w:ascii="Times New Roman" w:hAnsi="Times New Roman" w:cs="Times New Roman"/>
          <w:sz w:val="24"/>
          <w:szCs w:val="24"/>
        </w:rPr>
        <w:t xml:space="preserve">, Z. A., Shahar, S., and Mat </w:t>
      </w:r>
      <w:proofErr w:type="spellStart"/>
      <w:r w:rsidRPr="000E4FE6">
        <w:rPr>
          <w:rFonts w:ascii="Times New Roman" w:hAnsi="Times New Roman" w:cs="Times New Roman"/>
          <w:sz w:val="24"/>
          <w:szCs w:val="24"/>
        </w:rPr>
        <w:t>Ludin</w:t>
      </w:r>
      <w:proofErr w:type="spellEnd"/>
      <w:r w:rsidRPr="000E4FE6">
        <w:rPr>
          <w:rFonts w:ascii="Times New Roman" w:hAnsi="Times New Roman" w:cs="Times New Roman"/>
          <w:sz w:val="24"/>
          <w:szCs w:val="24"/>
        </w:rPr>
        <w:t>, A. F. (2019). The Association between Chronotype and Dietary Pattern among Adults: A Scoping Review. </w:t>
      </w:r>
      <w:r w:rsidRPr="000E4FE6">
        <w:rPr>
          <w:rFonts w:ascii="Times New Roman" w:hAnsi="Times New Roman" w:cs="Times New Roman"/>
          <w:i/>
          <w:sz w:val="24"/>
          <w:szCs w:val="24"/>
        </w:rPr>
        <w:t>International Journal of Environmental Research and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17</w:t>
      </w:r>
      <w:r w:rsidRPr="000E4FE6">
        <w:rPr>
          <w:rFonts w:ascii="Times New Roman" w:hAnsi="Times New Roman" w:cs="Times New Roman"/>
          <w:sz w:val="24"/>
          <w:szCs w:val="24"/>
        </w:rPr>
        <w:t>(1). https://doi.org/10.3390/ijerph17010068</w:t>
      </w:r>
    </w:p>
    <w:p w14:paraId="00000E0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McCarthy, S. N., Robson, P. J., Livingstone, M. B. E., Kiely, M., Flynn, A., </w:t>
      </w:r>
      <w:proofErr w:type="spellStart"/>
      <w:r w:rsidRPr="000E4FE6">
        <w:rPr>
          <w:rFonts w:ascii="Times New Roman" w:hAnsi="Times New Roman" w:cs="Times New Roman"/>
          <w:sz w:val="24"/>
          <w:szCs w:val="24"/>
        </w:rPr>
        <w:t>Cran</w:t>
      </w:r>
      <w:proofErr w:type="spellEnd"/>
      <w:r w:rsidRPr="000E4FE6">
        <w:rPr>
          <w:rFonts w:ascii="Times New Roman" w:hAnsi="Times New Roman" w:cs="Times New Roman"/>
          <w:sz w:val="24"/>
          <w:szCs w:val="24"/>
        </w:rPr>
        <w:t>, G. W., and Gibney, M. J. (2006). Associations between daily food intake and excess adiposity in Irish adults: towards the development of food-based dietary guidelines for reducing the prevalence of overweight and obesity.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30</w:t>
      </w:r>
      <w:r w:rsidRPr="000E4FE6">
        <w:rPr>
          <w:rFonts w:ascii="Times New Roman" w:hAnsi="Times New Roman" w:cs="Times New Roman"/>
          <w:sz w:val="24"/>
          <w:szCs w:val="24"/>
        </w:rPr>
        <w:t>(6), 993–1002. https://doi.org/10.1038/sj.ijo.0803235</w:t>
      </w:r>
    </w:p>
    <w:p w14:paraId="00000E0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McClung, H. L., </w:t>
      </w:r>
      <w:proofErr w:type="spellStart"/>
      <w:r w:rsidRPr="000E4FE6">
        <w:rPr>
          <w:rFonts w:ascii="Times New Roman" w:hAnsi="Times New Roman" w:cs="Times New Roman"/>
          <w:sz w:val="24"/>
          <w:szCs w:val="24"/>
        </w:rPr>
        <w:t>Ptomey</w:t>
      </w:r>
      <w:proofErr w:type="spellEnd"/>
      <w:r w:rsidRPr="000E4FE6">
        <w:rPr>
          <w:rFonts w:ascii="Times New Roman" w:hAnsi="Times New Roman" w:cs="Times New Roman"/>
          <w:sz w:val="24"/>
          <w:szCs w:val="24"/>
        </w:rPr>
        <w:t xml:space="preserve">, L. T., Shook, R. P., Aggarwal, A., </w:t>
      </w:r>
      <w:proofErr w:type="spellStart"/>
      <w:r w:rsidRPr="000E4FE6">
        <w:rPr>
          <w:rFonts w:ascii="Times New Roman" w:hAnsi="Times New Roman" w:cs="Times New Roman"/>
          <w:sz w:val="24"/>
          <w:szCs w:val="24"/>
        </w:rPr>
        <w:t>Gorczyca</w:t>
      </w:r>
      <w:proofErr w:type="spellEnd"/>
      <w:r w:rsidRPr="000E4FE6">
        <w:rPr>
          <w:rFonts w:ascii="Times New Roman" w:hAnsi="Times New Roman" w:cs="Times New Roman"/>
          <w:sz w:val="24"/>
          <w:szCs w:val="24"/>
        </w:rPr>
        <w:t xml:space="preserve">, A. M., </w:t>
      </w:r>
      <w:proofErr w:type="spellStart"/>
      <w:r w:rsidRPr="000E4FE6">
        <w:rPr>
          <w:rFonts w:ascii="Times New Roman" w:hAnsi="Times New Roman" w:cs="Times New Roman"/>
          <w:sz w:val="24"/>
          <w:szCs w:val="24"/>
        </w:rPr>
        <w:t>Sazonov</w:t>
      </w:r>
      <w:proofErr w:type="spellEnd"/>
      <w:r w:rsidRPr="000E4FE6">
        <w:rPr>
          <w:rFonts w:ascii="Times New Roman" w:hAnsi="Times New Roman" w:cs="Times New Roman"/>
          <w:sz w:val="24"/>
          <w:szCs w:val="24"/>
        </w:rPr>
        <w:t>, E. S., … Das, S. K. (2018). Dietary intake and physical activity assessment: current tools, techniques, and technologies for use in adult populations. </w:t>
      </w:r>
      <w:r w:rsidRPr="000E4FE6">
        <w:rPr>
          <w:rFonts w:ascii="Times New Roman" w:hAnsi="Times New Roman" w:cs="Times New Roman"/>
          <w:i/>
          <w:sz w:val="24"/>
          <w:szCs w:val="24"/>
        </w:rPr>
        <w:t>American Journal of Preventive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55</w:t>
      </w:r>
      <w:r w:rsidRPr="000E4FE6">
        <w:rPr>
          <w:rFonts w:ascii="Times New Roman" w:hAnsi="Times New Roman" w:cs="Times New Roman"/>
          <w:sz w:val="24"/>
          <w:szCs w:val="24"/>
        </w:rPr>
        <w:t>(4), e93–e104. https://doi.org/10.1016/j.amepre.2018.06.011</w:t>
      </w:r>
    </w:p>
    <w:p w14:paraId="00000E0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McGuire, M. T., Jeffery, R. W., French, S. A., and Hannan, P. J. (2001). The relationship between restraint and weight and weight-related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among individuals in a community weight gain prevention trial.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25</w:t>
      </w:r>
      <w:r w:rsidRPr="000E4FE6">
        <w:rPr>
          <w:rFonts w:ascii="Times New Roman" w:hAnsi="Times New Roman" w:cs="Times New Roman"/>
          <w:sz w:val="24"/>
          <w:szCs w:val="24"/>
        </w:rPr>
        <w:t>(4), 574–580. https://doi.org/10.1038/sj.ijo.0801579</w:t>
      </w:r>
    </w:p>
    <w:p w14:paraId="00000E0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McHill</w:t>
      </w:r>
      <w:proofErr w:type="spellEnd"/>
      <w:r w:rsidRPr="000E4FE6">
        <w:rPr>
          <w:rFonts w:ascii="Times New Roman" w:hAnsi="Times New Roman" w:cs="Times New Roman"/>
          <w:sz w:val="24"/>
          <w:szCs w:val="24"/>
        </w:rPr>
        <w:t xml:space="preserve">, A. W., Hull, J. T., McMullan, C. J., and </w:t>
      </w:r>
      <w:proofErr w:type="spellStart"/>
      <w:r w:rsidRPr="000E4FE6">
        <w:rPr>
          <w:rFonts w:ascii="Times New Roman" w:hAnsi="Times New Roman" w:cs="Times New Roman"/>
          <w:sz w:val="24"/>
          <w:szCs w:val="24"/>
        </w:rPr>
        <w:t>Klerman</w:t>
      </w:r>
      <w:proofErr w:type="spellEnd"/>
      <w:r w:rsidRPr="000E4FE6">
        <w:rPr>
          <w:rFonts w:ascii="Times New Roman" w:hAnsi="Times New Roman" w:cs="Times New Roman"/>
          <w:sz w:val="24"/>
          <w:szCs w:val="24"/>
        </w:rPr>
        <w:t>, E. B. (2018). Chronic insufficient sleep has a limited impact on circadian rhythmicity of subjective hunger and awakening fasted metabolic hormones. </w:t>
      </w:r>
      <w:r w:rsidRPr="000E4FE6">
        <w:rPr>
          <w:rFonts w:ascii="Times New Roman" w:hAnsi="Times New Roman" w:cs="Times New Roman"/>
          <w:i/>
          <w:sz w:val="24"/>
          <w:szCs w:val="24"/>
        </w:rPr>
        <w:t>Frontiers in Endocrinology</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 319. https://doi.org/10.3389/fendo.2018.00319</w:t>
      </w:r>
    </w:p>
    <w:p w14:paraId="00000E0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McHill</w:t>
      </w:r>
      <w:proofErr w:type="spellEnd"/>
      <w:r w:rsidRPr="000E4FE6">
        <w:rPr>
          <w:rFonts w:ascii="Times New Roman" w:hAnsi="Times New Roman" w:cs="Times New Roman"/>
          <w:sz w:val="24"/>
          <w:szCs w:val="24"/>
        </w:rPr>
        <w:t xml:space="preserve">, A. W., Phillips, A. J., </w:t>
      </w:r>
      <w:proofErr w:type="spellStart"/>
      <w:r w:rsidRPr="000E4FE6">
        <w:rPr>
          <w:rFonts w:ascii="Times New Roman" w:hAnsi="Times New Roman" w:cs="Times New Roman"/>
          <w:sz w:val="24"/>
          <w:szCs w:val="24"/>
        </w:rPr>
        <w:t>Czeisler</w:t>
      </w:r>
      <w:proofErr w:type="spellEnd"/>
      <w:r w:rsidRPr="000E4FE6">
        <w:rPr>
          <w:rFonts w:ascii="Times New Roman" w:hAnsi="Times New Roman" w:cs="Times New Roman"/>
          <w:sz w:val="24"/>
          <w:szCs w:val="24"/>
        </w:rPr>
        <w:t xml:space="preserve">, C. A., Keating, L., Yee, K., Barger, L. K., … </w:t>
      </w:r>
      <w:proofErr w:type="spellStart"/>
      <w:r w:rsidRPr="000E4FE6">
        <w:rPr>
          <w:rFonts w:ascii="Times New Roman" w:hAnsi="Times New Roman" w:cs="Times New Roman"/>
          <w:sz w:val="24"/>
          <w:szCs w:val="24"/>
        </w:rPr>
        <w:t>Klerman</w:t>
      </w:r>
      <w:proofErr w:type="spellEnd"/>
      <w:r w:rsidRPr="000E4FE6">
        <w:rPr>
          <w:rFonts w:ascii="Times New Roman" w:hAnsi="Times New Roman" w:cs="Times New Roman"/>
          <w:sz w:val="24"/>
          <w:szCs w:val="24"/>
        </w:rPr>
        <w:t>, E. B. (2017). Later circadian timing of food intake is associated with increased body fat.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106</w:t>
      </w:r>
      <w:r w:rsidRPr="000E4FE6">
        <w:rPr>
          <w:rFonts w:ascii="Times New Roman" w:hAnsi="Times New Roman" w:cs="Times New Roman"/>
          <w:sz w:val="24"/>
          <w:szCs w:val="24"/>
        </w:rPr>
        <w:t>(5), 1213–1219. https://doi.org/10.3945/ajcn.117.161588</w:t>
      </w:r>
    </w:p>
    <w:p w14:paraId="00000E0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McLeod, C. J., James, L. J., </w:t>
      </w: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xml:space="preserve">, J. M., and </w:t>
      </w:r>
      <w:proofErr w:type="spellStart"/>
      <w:r w:rsidRPr="000E4FE6">
        <w:rPr>
          <w:rFonts w:ascii="Times New Roman" w:hAnsi="Times New Roman" w:cs="Times New Roman"/>
          <w:sz w:val="24"/>
          <w:szCs w:val="24"/>
        </w:rPr>
        <w:t>Witcomb</w:t>
      </w:r>
      <w:proofErr w:type="spellEnd"/>
      <w:r w:rsidRPr="000E4FE6">
        <w:rPr>
          <w:rFonts w:ascii="Times New Roman" w:hAnsi="Times New Roman" w:cs="Times New Roman"/>
          <w:sz w:val="24"/>
          <w:szCs w:val="24"/>
        </w:rPr>
        <w:t>, G. L. (2020). The influence of expected satiety on portion size selection is reduced when food is presented in an “unusual” meal context.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147</w:t>
      </w:r>
      <w:r w:rsidRPr="000E4FE6">
        <w:rPr>
          <w:rFonts w:ascii="Times New Roman" w:hAnsi="Times New Roman" w:cs="Times New Roman"/>
          <w:sz w:val="24"/>
          <w:szCs w:val="24"/>
        </w:rPr>
        <w:t>, 104550. https://doi.org/10.1016/j.appet.2019.104550</w:t>
      </w:r>
    </w:p>
    <w:p w14:paraId="00000E0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McMillan, S. (2001). What time is dinner. </w:t>
      </w:r>
      <w:r w:rsidRPr="000E4FE6">
        <w:rPr>
          <w:rFonts w:ascii="Times New Roman" w:hAnsi="Times New Roman" w:cs="Times New Roman"/>
          <w:i/>
          <w:sz w:val="24"/>
          <w:szCs w:val="24"/>
        </w:rPr>
        <w:t>History Magazine</w:t>
      </w:r>
      <w:r w:rsidRPr="000E4FE6">
        <w:rPr>
          <w:rFonts w:ascii="Times New Roman" w:hAnsi="Times New Roman" w:cs="Times New Roman"/>
          <w:sz w:val="24"/>
          <w:szCs w:val="24"/>
        </w:rPr>
        <w:t>.</w:t>
      </w:r>
    </w:p>
    <w:p w14:paraId="00000E1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Mekhmoukh</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Chapelot</w:t>
      </w:r>
      <w:proofErr w:type="spellEnd"/>
      <w:r w:rsidRPr="000E4FE6">
        <w:rPr>
          <w:rFonts w:ascii="Times New Roman" w:hAnsi="Times New Roman" w:cs="Times New Roman"/>
          <w:sz w:val="24"/>
          <w:szCs w:val="24"/>
        </w:rPr>
        <w:t xml:space="preserve">, D., and </w:t>
      </w:r>
      <w:proofErr w:type="spellStart"/>
      <w:r w:rsidRPr="000E4FE6">
        <w:rPr>
          <w:rFonts w:ascii="Times New Roman" w:hAnsi="Times New Roman" w:cs="Times New Roman"/>
          <w:sz w:val="24"/>
          <w:szCs w:val="24"/>
        </w:rPr>
        <w:t>Bellisle</w:t>
      </w:r>
      <w:proofErr w:type="spellEnd"/>
      <w:r w:rsidRPr="000E4FE6">
        <w:rPr>
          <w:rFonts w:ascii="Times New Roman" w:hAnsi="Times New Roman" w:cs="Times New Roman"/>
          <w:sz w:val="24"/>
          <w:szCs w:val="24"/>
        </w:rPr>
        <w:t xml:space="preserve">, F. (2012). Influence of environmental factors on meal intake in overweight and normal-weight male adolescents. A laboratory </w:t>
      </w:r>
      <w:proofErr w:type="gramStart"/>
      <w:r w:rsidRPr="000E4FE6">
        <w:rPr>
          <w:rFonts w:ascii="Times New Roman" w:hAnsi="Times New Roman" w:cs="Times New Roman"/>
          <w:sz w:val="24"/>
          <w:szCs w:val="24"/>
        </w:rPr>
        <w:t>study</w:t>
      </w:r>
      <w:proofErr w:type="gramEnd"/>
      <w:r w:rsidRPr="000E4FE6">
        <w:rPr>
          <w:rFonts w:ascii="Times New Roman" w:hAnsi="Times New Roman" w:cs="Times New Roman"/>
          <w:sz w:val="24"/>
          <w:szCs w:val="24"/>
        </w:rPr>
        <w:t>.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59</w:t>
      </w:r>
      <w:r w:rsidRPr="000E4FE6">
        <w:rPr>
          <w:rFonts w:ascii="Times New Roman" w:hAnsi="Times New Roman" w:cs="Times New Roman"/>
          <w:sz w:val="24"/>
          <w:szCs w:val="24"/>
        </w:rPr>
        <w:t>(1), 90–95. https://doi.org/10.1016/j.appet.2012.03.021</w:t>
      </w:r>
    </w:p>
    <w:p w14:paraId="00000E1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Mela, D J, and </w:t>
      </w:r>
      <w:proofErr w:type="spellStart"/>
      <w:r w:rsidRPr="000E4FE6">
        <w:rPr>
          <w:rFonts w:ascii="Times New Roman" w:hAnsi="Times New Roman" w:cs="Times New Roman"/>
          <w:sz w:val="24"/>
          <w:szCs w:val="24"/>
        </w:rPr>
        <w:t>Sacchetti</w:t>
      </w:r>
      <w:proofErr w:type="spellEnd"/>
      <w:r w:rsidRPr="000E4FE6">
        <w:rPr>
          <w:rFonts w:ascii="Times New Roman" w:hAnsi="Times New Roman" w:cs="Times New Roman"/>
          <w:sz w:val="24"/>
          <w:szCs w:val="24"/>
        </w:rPr>
        <w:t>, D. A. (1991). Sensory preferences for fats: relationships with diet and body composition.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53</w:t>
      </w:r>
      <w:r w:rsidRPr="000E4FE6">
        <w:rPr>
          <w:rFonts w:ascii="Times New Roman" w:hAnsi="Times New Roman" w:cs="Times New Roman"/>
          <w:sz w:val="24"/>
          <w:szCs w:val="24"/>
        </w:rPr>
        <w:t>(4), 908–915. https://doi.org/10.1093/ajcn/53.4.908</w:t>
      </w:r>
    </w:p>
    <w:p w14:paraId="00000E1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Mela, David J. (2006). Eating for pleasure or just wanting to eat? Reconsidering sensory hedonic responses as a driver of obesity.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47</w:t>
      </w:r>
      <w:r w:rsidRPr="000E4FE6">
        <w:rPr>
          <w:rFonts w:ascii="Times New Roman" w:hAnsi="Times New Roman" w:cs="Times New Roman"/>
          <w:sz w:val="24"/>
          <w:szCs w:val="24"/>
        </w:rPr>
        <w:t>(1), 10–17. https://doi.org/10.1016/j.appet.2006.02.006</w:t>
      </w:r>
    </w:p>
    <w:p w14:paraId="00000E1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Mela, David J., and Rogers, P. J. (1998). Control of appetite and energy balance and imbalance. In </w:t>
      </w:r>
      <w:r w:rsidRPr="000E4FE6">
        <w:rPr>
          <w:rFonts w:ascii="Times New Roman" w:hAnsi="Times New Roman" w:cs="Times New Roman"/>
          <w:i/>
          <w:sz w:val="24"/>
          <w:szCs w:val="24"/>
        </w:rPr>
        <w:t>Food, eating and obesity</w:t>
      </w:r>
      <w:r w:rsidRPr="000E4FE6">
        <w:rPr>
          <w:rFonts w:ascii="Times New Roman" w:hAnsi="Times New Roman" w:cs="Times New Roman"/>
          <w:sz w:val="24"/>
          <w:szCs w:val="24"/>
        </w:rPr>
        <w:t> (pp. 1–13). Boston, MA: Springer US. https://doi.org/10.1007/978-1-4899-3254-9_1</w:t>
      </w:r>
    </w:p>
    <w:p w14:paraId="00000E1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Melbye</w:t>
      </w:r>
      <w:proofErr w:type="spellEnd"/>
      <w:r w:rsidRPr="000E4FE6">
        <w:rPr>
          <w:rFonts w:ascii="Times New Roman" w:hAnsi="Times New Roman" w:cs="Times New Roman"/>
          <w:sz w:val="24"/>
          <w:szCs w:val="24"/>
        </w:rPr>
        <w:t xml:space="preserve">, E. L., Bergh, I. H., </w:t>
      </w:r>
      <w:proofErr w:type="spellStart"/>
      <w:r w:rsidRPr="000E4FE6">
        <w:rPr>
          <w:rFonts w:ascii="Times New Roman" w:hAnsi="Times New Roman" w:cs="Times New Roman"/>
          <w:sz w:val="24"/>
          <w:szCs w:val="24"/>
        </w:rPr>
        <w:t>Hausken</w:t>
      </w:r>
      <w:proofErr w:type="spellEnd"/>
      <w:r w:rsidRPr="000E4FE6">
        <w:rPr>
          <w:rFonts w:ascii="Times New Roman" w:hAnsi="Times New Roman" w:cs="Times New Roman"/>
          <w:sz w:val="24"/>
          <w:szCs w:val="24"/>
        </w:rPr>
        <w:t xml:space="preserve">, S. E. S., </w:t>
      </w:r>
      <w:proofErr w:type="spellStart"/>
      <w:r w:rsidRPr="000E4FE6">
        <w:rPr>
          <w:rFonts w:ascii="Times New Roman" w:hAnsi="Times New Roman" w:cs="Times New Roman"/>
          <w:sz w:val="24"/>
          <w:szCs w:val="24"/>
        </w:rPr>
        <w:t>Sleddens</w:t>
      </w:r>
      <w:proofErr w:type="spellEnd"/>
      <w:r w:rsidRPr="000E4FE6">
        <w:rPr>
          <w:rFonts w:ascii="Times New Roman" w:hAnsi="Times New Roman" w:cs="Times New Roman"/>
          <w:sz w:val="24"/>
          <w:szCs w:val="24"/>
        </w:rPr>
        <w:t xml:space="preserve">, E. F. C., </w:t>
      </w:r>
      <w:proofErr w:type="spellStart"/>
      <w:r w:rsidRPr="000E4FE6">
        <w:rPr>
          <w:rFonts w:ascii="Times New Roman" w:hAnsi="Times New Roman" w:cs="Times New Roman"/>
          <w:sz w:val="24"/>
          <w:szCs w:val="24"/>
        </w:rPr>
        <w:t>Glavin</w:t>
      </w:r>
      <w:proofErr w:type="spellEnd"/>
      <w:r w:rsidRPr="000E4FE6">
        <w:rPr>
          <w:rFonts w:ascii="Times New Roman" w:hAnsi="Times New Roman" w:cs="Times New Roman"/>
          <w:sz w:val="24"/>
          <w:szCs w:val="24"/>
        </w:rPr>
        <w:t xml:space="preserve">, K., Lien, N., and </w:t>
      </w:r>
      <w:proofErr w:type="spellStart"/>
      <w:r w:rsidRPr="000E4FE6">
        <w:rPr>
          <w:rFonts w:ascii="Times New Roman" w:hAnsi="Times New Roman" w:cs="Times New Roman"/>
          <w:sz w:val="24"/>
          <w:szCs w:val="24"/>
        </w:rPr>
        <w:t>Bjelland</w:t>
      </w:r>
      <w:proofErr w:type="spellEnd"/>
      <w:r w:rsidRPr="000E4FE6">
        <w:rPr>
          <w:rFonts w:ascii="Times New Roman" w:hAnsi="Times New Roman" w:cs="Times New Roman"/>
          <w:sz w:val="24"/>
          <w:szCs w:val="24"/>
        </w:rPr>
        <w:t>, M. (2016). Adolescent impulsivity and soft drink consumption: The role of parental regulation.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96</w:t>
      </w:r>
      <w:r w:rsidRPr="000E4FE6">
        <w:rPr>
          <w:rFonts w:ascii="Times New Roman" w:hAnsi="Times New Roman" w:cs="Times New Roman"/>
          <w:sz w:val="24"/>
          <w:szCs w:val="24"/>
        </w:rPr>
        <w:t>, 432–442. https://doi.org/10.1016/j.appet.2015.09.040</w:t>
      </w:r>
    </w:p>
    <w:p w14:paraId="00000E15" w14:textId="3D710A0C" w:rsidR="00CB4215"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Meldrum, D. R., Morris, M. A., and </w:t>
      </w:r>
      <w:proofErr w:type="spellStart"/>
      <w:r w:rsidRPr="000E4FE6">
        <w:rPr>
          <w:rFonts w:ascii="Times New Roman" w:hAnsi="Times New Roman" w:cs="Times New Roman"/>
          <w:sz w:val="24"/>
          <w:szCs w:val="24"/>
        </w:rPr>
        <w:t>Gambone</w:t>
      </w:r>
      <w:proofErr w:type="spellEnd"/>
      <w:r w:rsidRPr="000E4FE6">
        <w:rPr>
          <w:rFonts w:ascii="Times New Roman" w:hAnsi="Times New Roman" w:cs="Times New Roman"/>
          <w:sz w:val="24"/>
          <w:szCs w:val="24"/>
        </w:rPr>
        <w:t>, J. C. (2017). Obesity pandemic: causes, consequences, and solutions-but do we have the will? </w:t>
      </w:r>
      <w:r w:rsidRPr="000E4FE6">
        <w:rPr>
          <w:rFonts w:ascii="Times New Roman" w:hAnsi="Times New Roman" w:cs="Times New Roman"/>
          <w:i/>
          <w:sz w:val="24"/>
          <w:szCs w:val="24"/>
        </w:rPr>
        <w:t>Fertility and Sterility</w:t>
      </w:r>
      <w:r w:rsidRPr="000E4FE6">
        <w:rPr>
          <w:rFonts w:ascii="Times New Roman" w:hAnsi="Times New Roman" w:cs="Times New Roman"/>
          <w:sz w:val="24"/>
          <w:szCs w:val="24"/>
        </w:rPr>
        <w:t>, </w:t>
      </w:r>
      <w:r w:rsidRPr="000E4FE6">
        <w:rPr>
          <w:rFonts w:ascii="Times New Roman" w:hAnsi="Times New Roman" w:cs="Times New Roman"/>
          <w:i/>
          <w:sz w:val="24"/>
          <w:szCs w:val="24"/>
        </w:rPr>
        <w:t>107</w:t>
      </w:r>
      <w:r w:rsidRPr="000E4FE6">
        <w:rPr>
          <w:rFonts w:ascii="Times New Roman" w:hAnsi="Times New Roman" w:cs="Times New Roman"/>
          <w:sz w:val="24"/>
          <w:szCs w:val="24"/>
        </w:rPr>
        <w:t xml:space="preserve">(4), 833–839. </w:t>
      </w:r>
      <w:hyperlink r:id="rId829" w:history="1">
        <w:r w:rsidR="00743AE7" w:rsidRPr="00CB0261">
          <w:rPr>
            <w:rStyle w:val="Hyperlink"/>
            <w:rFonts w:ascii="Times New Roman" w:hAnsi="Times New Roman" w:cs="Times New Roman"/>
            <w:sz w:val="24"/>
            <w:szCs w:val="24"/>
          </w:rPr>
          <w:t>https://doi.org/10.1016/j.fertnstert.2017.02.104</w:t>
        </w:r>
      </w:hyperlink>
    </w:p>
    <w:p w14:paraId="71524B3D" w14:textId="5A67024C"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t>Melnyk, B. M., Fineout-Overholt, E., Stillwell, S. B., and Williamson, K. M. (2010). Evidence-based practice: step by step: the seven steps of evidence-based practice. The American Journal of Nursing, 110(1), 51–53. https://doi.org/10.1097/01.NAJ.0000366056.06605.d2</w:t>
      </w:r>
    </w:p>
    <w:p w14:paraId="00000E1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Michie, S., Johnston, M., Francis, J., </w:t>
      </w:r>
      <w:proofErr w:type="spellStart"/>
      <w:r w:rsidRPr="000E4FE6">
        <w:rPr>
          <w:rFonts w:ascii="Times New Roman" w:hAnsi="Times New Roman" w:cs="Times New Roman"/>
          <w:sz w:val="24"/>
          <w:szCs w:val="24"/>
        </w:rPr>
        <w:t>Hardeman</w:t>
      </w:r>
      <w:proofErr w:type="spellEnd"/>
      <w:r w:rsidRPr="000E4FE6">
        <w:rPr>
          <w:rFonts w:ascii="Times New Roman" w:hAnsi="Times New Roman" w:cs="Times New Roman"/>
          <w:sz w:val="24"/>
          <w:szCs w:val="24"/>
        </w:rPr>
        <w:t>, W., and Eccles, M. (2008). From theory to intervention: mapping theoretically derived behavioural determinants to behaviour change techniques. </w:t>
      </w:r>
      <w:r w:rsidRPr="000E4FE6">
        <w:rPr>
          <w:rFonts w:ascii="Times New Roman" w:hAnsi="Times New Roman" w:cs="Times New Roman"/>
          <w:i/>
          <w:sz w:val="24"/>
          <w:szCs w:val="24"/>
        </w:rPr>
        <w:t>Applied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57</w:t>
      </w:r>
      <w:r w:rsidRPr="000E4FE6">
        <w:rPr>
          <w:rFonts w:ascii="Times New Roman" w:hAnsi="Times New Roman" w:cs="Times New Roman"/>
          <w:sz w:val="24"/>
          <w:szCs w:val="24"/>
        </w:rPr>
        <w:t>(4), 660–680. https://doi.org/10.1111/j.1464-0597.2008.00341.x</w:t>
      </w:r>
    </w:p>
    <w:p w14:paraId="00000E1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Michie, S., Richardson, M., Johnston, M., Abraham, C., Francis, J., </w:t>
      </w:r>
      <w:proofErr w:type="spellStart"/>
      <w:r w:rsidRPr="000E4FE6">
        <w:rPr>
          <w:rFonts w:ascii="Times New Roman" w:hAnsi="Times New Roman" w:cs="Times New Roman"/>
          <w:sz w:val="24"/>
          <w:szCs w:val="24"/>
        </w:rPr>
        <w:t>Hardeman</w:t>
      </w:r>
      <w:proofErr w:type="spellEnd"/>
      <w:r w:rsidRPr="000E4FE6">
        <w:rPr>
          <w:rFonts w:ascii="Times New Roman" w:hAnsi="Times New Roman" w:cs="Times New Roman"/>
          <w:sz w:val="24"/>
          <w:szCs w:val="24"/>
        </w:rPr>
        <w:t xml:space="preserve">, W., … Wood, C. E. (2013). The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change technique taxonomy (v1) of 93 hierarchically clustered techniques: building an international consensus for the reporting of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change interventions. </w:t>
      </w:r>
      <w:r w:rsidRPr="000E4FE6">
        <w:rPr>
          <w:rFonts w:ascii="Times New Roman" w:hAnsi="Times New Roman" w:cs="Times New Roman"/>
          <w:i/>
          <w:sz w:val="24"/>
          <w:szCs w:val="24"/>
        </w:rPr>
        <w:t xml:space="preserve">Annals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46</w:t>
      </w:r>
      <w:r w:rsidRPr="000E4FE6">
        <w:rPr>
          <w:rFonts w:ascii="Times New Roman" w:hAnsi="Times New Roman" w:cs="Times New Roman"/>
          <w:sz w:val="24"/>
          <w:szCs w:val="24"/>
        </w:rPr>
        <w:t>(1), 81–95. https://doi.org/10.1007/s12160-013-9486-6</w:t>
      </w:r>
    </w:p>
    <w:p w14:paraId="00000E1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Michie, van </w:t>
      </w:r>
      <w:proofErr w:type="spellStart"/>
      <w:r w:rsidRPr="000E4FE6">
        <w:rPr>
          <w:rFonts w:ascii="Times New Roman" w:hAnsi="Times New Roman" w:cs="Times New Roman"/>
          <w:sz w:val="24"/>
          <w:szCs w:val="24"/>
        </w:rPr>
        <w:t>Stralen</w:t>
      </w:r>
      <w:proofErr w:type="spellEnd"/>
      <w:r w:rsidRPr="000E4FE6">
        <w:rPr>
          <w:rFonts w:ascii="Times New Roman" w:hAnsi="Times New Roman" w:cs="Times New Roman"/>
          <w:sz w:val="24"/>
          <w:szCs w:val="24"/>
        </w:rPr>
        <w:t>, and West. (2011). The behaviour change wheel: a new method for characterising and designing behaviour change interventions. </w:t>
      </w:r>
      <w:r w:rsidRPr="000E4FE6">
        <w:rPr>
          <w:rFonts w:ascii="Times New Roman" w:hAnsi="Times New Roman" w:cs="Times New Roman"/>
          <w:i/>
          <w:sz w:val="24"/>
          <w:szCs w:val="24"/>
        </w:rPr>
        <w:t>Implementation Science</w:t>
      </w:r>
      <w:r w:rsidRPr="000E4FE6">
        <w:rPr>
          <w:rFonts w:ascii="Times New Roman" w:hAnsi="Times New Roman" w:cs="Times New Roman"/>
          <w:sz w:val="24"/>
          <w:szCs w:val="24"/>
        </w:rPr>
        <w:t>, </w:t>
      </w:r>
      <w:r w:rsidRPr="000E4FE6">
        <w:rPr>
          <w:rFonts w:ascii="Times New Roman" w:hAnsi="Times New Roman" w:cs="Times New Roman"/>
          <w:i/>
          <w:sz w:val="24"/>
          <w:szCs w:val="24"/>
        </w:rPr>
        <w:t>6</w:t>
      </w:r>
      <w:r w:rsidRPr="000E4FE6">
        <w:rPr>
          <w:rFonts w:ascii="Times New Roman" w:hAnsi="Times New Roman" w:cs="Times New Roman"/>
          <w:sz w:val="24"/>
          <w:szCs w:val="24"/>
        </w:rPr>
        <w:t>, 42. https://doi.org/10.1186/1748-5908-6-42</w:t>
      </w:r>
    </w:p>
    <w:p w14:paraId="00000E1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Millar, B. M. (2017). Clocking self-regulation: why time of day matters for health psychology. </w:t>
      </w:r>
      <w:r w:rsidRPr="000E4FE6">
        <w:rPr>
          <w:rFonts w:ascii="Times New Roman" w:hAnsi="Times New Roman" w:cs="Times New Roman"/>
          <w:i/>
          <w:sz w:val="24"/>
          <w:szCs w:val="24"/>
        </w:rPr>
        <w:t>Health Psychology Review</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(4), 345–357. https://doi.org/10.1080/17437199.2017.1316673</w:t>
      </w:r>
    </w:p>
    <w:p w14:paraId="00000E1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Miller, M. A., </w:t>
      </w:r>
      <w:proofErr w:type="spellStart"/>
      <w:r w:rsidRPr="000E4FE6">
        <w:rPr>
          <w:rFonts w:ascii="Times New Roman" w:hAnsi="Times New Roman" w:cs="Times New Roman"/>
          <w:sz w:val="24"/>
          <w:szCs w:val="24"/>
        </w:rPr>
        <w:t>Rothenberger</w:t>
      </w:r>
      <w:proofErr w:type="spellEnd"/>
      <w:r w:rsidRPr="000E4FE6">
        <w:rPr>
          <w:rFonts w:ascii="Times New Roman" w:hAnsi="Times New Roman" w:cs="Times New Roman"/>
          <w:sz w:val="24"/>
          <w:szCs w:val="24"/>
        </w:rPr>
        <w:t xml:space="preserve">, S. D., Hasler, B. P., </w:t>
      </w:r>
      <w:proofErr w:type="spellStart"/>
      <w:r w:rsidRPr="000E4FE6">
        <w:rPr>
          <w:rFonts w:ascii="Times New Roman" w:hAnsi="Times New Roman" w:cs="Times New Roman"/>
          <w:sz w:val="24"/>
          <w:szCs w:val="24"/>
        </w:rPr>
        <w:t>Donofry</w:t>
      </w:r>
      <w:proofErr w:type="spellEnd"/>
      <w:r w:rsidRPr="000E4FE6">
        <w:rPr>
          <w:rFonts w:ascii="Times New Roman" w:hAnsi="Times New Roman" w:cs="Times New Roman"/>
          <w:sz w:val="24"/>
          <w:szCs w:val="24"/>
        </w:rPr>
        <w:t xml:space="preserve">, S. D., Wong, P. M., </w:t>
      </w:r>
      <w:proofErr w:type="spellStart"/>
      <w:r w:rsidRPr="000E4FE6">
        <w:rPr>
          <w:rFonts w:ascii="Times New Roman" w:hAnsi="Times New Roman" w:cs="Times New Roman"/>
          <w:sz w:val="24"/>
          <w:szCs w:val="24"/>
        </w:rPr>
        <w:t>Manuck</w:t>
      </w:r>
      <w:proofErr w:type="spellEnd"/>
      <w:r w:rsidRPr="000E4FE6">
        <w:rPr>
          <w:rFonts w:ascii="Times New Roman" w:hAnsi="Times New Roman" w:cs="Times New Roman"/>
          <w:sz w:val="24"/>
          <w:szCs w:val="24"/>
        </w:rPr>
        <w:t xml:space="preserve">, S. B., … </w:t>
      </w:r>
      <w:proofErr w:type="spellStart"/>
      <w:r w:rsidRPr="000E4FE6">
        <w:rPr>
          <w:rFonts w:ascii="Times New Roman" w:hAnsi="Times New Roman" w:cs="Times New Roman"/>
          <w:sz w:val="24"/>
          <w:szCs w:val="24"/>
        </w:rPr>
        <w:t>Roecklein</w:t>
      </w:r>
      <w:proofErr w:type="spellEnd"/>
      <w:r w:rsidRPr="000E4FE6">
        <w:rPr>
          <w:rFonts w:ascii="Times New Roman" w:hAnsi="Times New Roman" w:cs="Times New Roman"/>
          <w:sz w:val="24"/>
          <w:szCs w:val="24"/>
        </w:rPr>
        <w:t xml:space="preserve">, K. A. (2015). Chronotype predicts positive affect rhythms measured </w:t>
      </w:r>
      <w:r w:rsidRPr="000E4FE6">
        <w:rPr>
          <w:rFonts w:ascii="Times New Roman" w:hAnsi="Times New Roman" w:cs="Times New Roman"/>
          <w:sz w:val="24"/>
          <w:szCs w:val="24"/>
        </w:rPr>
        <w:lastRenderedPageBreak/>
        <w:t>by ecological momentary assessment. </w:t>
      </w:r>
      <w:r w:rsidRPr="000E4FE6">
        <w:rPr>
          <w:rFonts w:ascii="Times New Roman" w:hAnsi="Times New Roman" w:cs="Times New Roman"/>
          <w:i/>
          <w:sz w:val="24"/>
          <w:szCs w:val="24"/>
        </w:rPr>
        <w:t>Chronobiology International</w:t>
      </w:r>
      <w:r w:rsidRPr="000E4FE6">
        <w:rPr>
          <w:rFonts w:ascii="Times New Roman" w:hAnsi="Times New Roman" w:cs="Times New Roman"/>
          <w:sz w:val="24"/>
          <w:szCs w:val="24"/>
        </w:rPr>
        <w:t>, </w:t>
      </w:r>
      <w:r w:rsidRPr="000E4FE6">
        <w:rPr>
          <w:rFonts w:ascii="Times New Roman" w:hAnsi="Times New Roman" w:cs="Times New Roman"/>
          <w:i/>
          <w:sz w:val="24"/>
          <w:szCs w:val="24"/>
        </w:rPr>
        <w:t>32</w:t>
      </w:r>
      <w:r w:rsidRPr="000E4FE6">
        <w:rPr>
          <w:rFonts w:ascii="Times New Roman" w:hAnsi="Times New Roman" w:cs="Times New Roman"/>
          <w:sz w:val="24"/>
          <w:szCs w:val="24"/>
        </w:rPr>
        <w:t>(3), 376–384. https://doi.org/10.3109/07420528.2014.983602</w:t>
      </w:r>
    </w:p>
    <w:p w14:paraId="00000E1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Mills, J. P., Perry, C. D., and </w:t>
      </w:r>
      <w:proofErr w:type="spellStart"/>
      <w:r w:rsidRPr="000E4FE6">
        <w:rPr>
          <w:rFonts w:ascii="Times New Roman" w:hAnsi="Times New Roman" w:cs="Times New Roman"/>
          <w:sz w:val="24"/>
          <w:szCs w:val="24"/>
        </w:rPr>
        <w:t>Reicks</w:t>
      </w:r>
      <w:proofErr w:type="spellEnd"/>
      <w:r w:rsidRPr="000E4FE6">
        <w:rPr>
          <w:rFonts w:ascii="Times New Roman" w:hAnsi="Times New Roman" w:cs="Times New Roman"/>
          <w:sz w:val="24"/>
          <w:szCs w:val="24"/>
        </w:rPr>
        <w:t>, M. (2011). Eating frequency is associated with energy intake but not obesity in midlife women.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(3), 552–559. https://doi.org/10.1038/oby.2010.265</w:t>
      </w:r>
    </w:p>
    <w:p w14:paraId="00000E1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Milsom, V. A., Middleton, K. M. R., and Perri, M. G. (2011). Successful long-term weight loss maintenance in a rural population. </w:t>
      </w:r>
      <w:r w:rsidRPr="000E4FE6">
        <w:rPr>
          <w:rFonts w:ascii="Times New Roman" w:hAnsi="Times New Roman" w:cs="Times New Roman"/>
          <w:i/>
          <w:sz w:val="24"/>
          <w:szCs w:val="24"/>
        </w:rPr>
        <w:t>Clinical Interventions in Aging</w:t>
      </w:r>
      <w:r w:rsidRPr="000E4FE6">
        <w:rPr>
          <w:rFonts w:ascii="Times New Roman" w:hAnsi="Times New Roman" w:cs="Times New Roman"/>
          <w:sz w:val="24"/>
          <w:szCs w:val="24"/>
        </w:rPr>
        <w:t>, </w:t>
      </w:r>
      <w:r w:rsidRPr="000E4FE6">
        <w:rPr>
          <w:rFonts w:ascii="Times New Roman" w:hAnsi="Times New Roman" w:cs="Times New Roman"/>
          <w:i/>
          <w:sz w:val="24"/>
          <w:szCs w:val="24"/>
        </w:rPr>
        <w:t>6</w:t>
      </w:r>
      <w:r w:rsidRPr="000E4FE6">
        <w:rPr>
          <w:rFonts w:ascii="Times New Roman" w:hAnsi="Times New Roman" w:cs="Times New Roman"/>
          <w:sz w:val="24"/>
          <w:szCs w:val="24"/>
        </w:rPr>
        <w:t>, 303–309. https://doi.org/10.2147/CIA.S25389</w:t>
      </w:r>
    </w:p>
    <w:p w14:paraId="00000E1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Milton, K, Bull, F. C., and Bauman, A. (2011). Reliability and validity testing of a single-item physical activity measure. </w:t>
      </w:r>
      <w:r w:rsidRPr="000E4FE6">
        <w:rPr>
          <w:rFonts w:ascii="Times New Roman" w:hAnsi="Times New Roman" w:cs="Times New Roman"/>
          <w:i/>
          <w:sz w:val="24"/>
          <w:szCs w:val="24"/>
        </w:rPr>
        <w:t>British Journal of Sports Medicine</w:t>
      </w:r>
      <w:r w:rsidRPr="000E4FE6">
        <w:rPr>
          <w:rFonts w:ascii="Times New Roman" w:hAnsi="Times New Roman" w:cs="Times New Roman"/>
          <w:sz w:val="24"/>
          <w:szCs w:val="24"/>
        </w:rPr>
        <w:t>, </w:t>
      </w:r>
      <w:r w:rsidRPr="000E4FE6">
        <w:rPr>
          <w:rFonts w:ascii="Times New Roman" w:hAnsi="Times New Roman" w:cs="Times New Roman"/>
          <w:i/>
          <w:sz w:val="24"/>
          <w:szCs w:val="24"/>
        </w:rPr>
        <w:t>45</w:t>
      </w:r>
      <w:r w:rsidRPr="000E4FE6">
        <w:rPr>
          <w:rFonts w:ascii="Times New Roman" w:hAnsi="Times New Roman" w:cs="Times New Roman"/>
          <w:sz w:val="24"/>
          <w:szCs w:val="24"/>
        </w:rPr>
        <w:t>(3), 203–208. https://doi.org/10.1136/bjsm.2009.068395</w:t>
      </w:r>
    </w:p>
    <w:p w14:paraId="00000E1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Milton, Karen, </w:t>
      </w:r>
      <w:proofErr w:type="spellStart"/>
      <w:r w:rsidRPr="000E4FE6">
        <w:rPr>
          <w:rFonts w:ascii="Times New Roman" w:hAnsi="Times New Roman" w:cs="Times New Roman"/>
          <w:sz w:val="24"/>
          <w:szCs w:val="24"/>
        </w:rPr>
        <w:t>Clemes</w:t>
      </w:r>
      <w:proofErr w:type="spellEnd"/>
      <w:r w:rsidRPr="000E4FE6">
        <w:rPr>
          <w:rFonts w:ascii="Times New Roman" w:hAnsi="Times New Roman" w:cs="Times New Roman"/>
          <w:sz w:val="24"/>
          <w:szCs w:val="24"/>
        </w:rPr>
        <w:t>, S., and Bull, F. (2013). Can a single question provide an accurate measure of physical activity? </w:t>
      </w:r>
      <w:r w:rsidRPr="000E4FE6">
        <w:rPr>
          <w:rFonts w:ascii="Times New Roman" w:hAnsi="Times New Roman" w:cs="Times New Roman"/>
          <w:i/>
          <w:sz w:val="24"/>
          <w:szCs w:val="24"/>
        </w:rPr>
        <w:t>British Journal of Sports Medicine</w:t>
      </w:r>
      <w:r w:rsidRPr="000E4FE6">
        <w:rPr>
          <w:rFonts w:ascii="Times New Roman" w:hAnsi="Times New Roman" w:cs="Times New Roman"/>
          <w:sz w:val="24"/>
          <w:szCs w:val="24"/>
        </w:rPr>
        <w:t>, </w:t>
      </w:r>
      <w:r w:rsidRPr="000E4FE6">
        <w:rPr>
          <w:rFonts w:ascii="Times New Roman" w:hAnsi="Times New Roman" w:cs="Times New Roman"/>
          <w:i/>
          <w:sz w:val="24"/>
          <w:szCs w:val="24"/>
        </w:rPr>
        <w:t>47</w:t>
      </w:r>
      <w:r w:rsidRPr="000E4FE6">
        <w:rPr>
          <w:rFonts w:ascii="Times New Roman" w:hAnsi="Times New Roman" w:cs="Times New Roman"/>
          <w:sz w:val="24"/>
          <w:szCs w:val="24"/>
        </w:rPr>
        <w:t>(1), 44–48. https://doi.org/10.1136/bjsports-2011-090899</w:t>
      </w:r>
    </w:p>
    <w:p w14:paraId="00000E1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Mogensen</w:t>
      </w:r>
      <w:proofErr w:type="spellEnd"/>
      <w:r w:rsidRPr="000E4FE6">
        <w:rPr>
          <w:rFonts w:ascii="Times New Roman" w:hAnsi="Times New Roman" w:cs="Times New Roman"/>
          <w:sz w:val="24"/>
          <w:szCs w:val="24"/>
        </w:rPr>
        <w:t xml:space="preserve">, C. S., </w:t>
      </w:r>
      <w:proofErr w:type="spellStart"/>
      <w:r w:rsidRPr="000E4FE6">
        <w:rPr>
          <w:rFonts w:ascii="Times New Roman" w:hAnsi="Times New Roman" w:cs="Times New Roman"/>
          <w:sz w:val="24"/>
          <w:szCs w:val="24"/>
        </w:rPr>
        <w:t>Færch</w:t>
      </w:r>
      <w:proofErr w:type="spellEnd"/>
      <w:r w:rsidRPr="000E4FE6">
        <w:rPr>
          <w:rFonts w:ascii="Times New Roman" w:hAnsi="Times New Roman" w:cs="Times New Roman"/>
          <w:sz w:val="24"/>
          <w:szCs w:val="24"/>
        </w:rPr>
        <w:t xml:space="preserve">, K., Bruhn, L., </w:t>
      </w:r>
      <w:proofErr w:type="spellStart"/>
      <w:r w:rsidRPr="000E4FE6">
        <w:rPr>
          <w:rFonts w:ascii="Times New Roman" w:hAnsi="Times New Roman" w:cs="Times New Roman"/>
          <w:sz w:val="24"/>
          <w:szCs w:val="24"/>
        </w:rPr>
        <w:t>Amadid</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Tetens</w:t>
      </w:r>
      <w:proofErr w:type="spellEnd"/>
      <w:r w:rsidRPr="000E4FE6">
        <w:rPr>
          <w:rFonts w:ascii="Times New Roman" w:hAnsi="Times New Roman" w:cs="Times New Roman"/>
          <w:sz w:val="24"/>
          <w:szCs w:val="24"/>
        </w:rPr>
        <w:t xml:space="preserve">, I., Quist, J. S., and </w:t>
      </w:r>
      <w:proofErr w:type="spellStart"/>
      <w:r w:rsidRPr="000E4FE6">
        <w:rPr>
          <w:rFonts w:ascii="Times New Roman" w:hAnsi="Times New Roman" w:cs="Times New Roman"/>
          <w:sz w:val="24"/>
          <w:szCs w:val="24"/>
        </w:rPr>
        <w:t>Clemmensen</w:t>
      </w:r>
      <w:proofErr w:type="spellEnd"/>
      <w:r w:rsidRPr="000E4FE6">
        <w:rPr>
          <w:rFonts w:ascii="Times New Roman" w:hAnsi="Times New Roman" w:cs="Times New Roman"/>
          <w:sz w:val="24"/>
          <w:szCs w:val="24"/>
        </w:rPr>
        <w:t>, K. K. B. (2020). Timing and Frequency of Daily Energy Intake in Adults with Prediabetes and Overweight or Obesity and Their Associations with Body Fat.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(11). https://doi.org/10.3390/nu12113484</w:t>
      </w:r>
    </w:p>
    <w:p w14:paraId="00000E2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Mogenson</w:t>
      </w:r>
      <w:proofErr w:type="spellEnd"/>
      <w:r w:rsidRPr="000E4FE6">
        <w:rPr>
          <w:rFonts w:ascii="Times New Roman" w:hAnsi="Times New Roman" w:cs="Times New Roman"/>
          <w:sz w:val="24"/>
          <w:szCs w:val="24"/>
        </w:rPr>
        <w:t xml:space="preserve">, G. J., Jones, D. L., and </w:t>
      </w:r>
      <w:proofErr w:type="spellStart"/>
      <w:r w:rsidRPr="000E4FE6">
        <w:rPr>
          <w:rFonts w:ascii="Times New Roman" w:hAnsi="Times New Roman" w:cs="Times New Roman"/>
          <w:sz w:val="24"/>
          <w:szCs w:val="24"/>
        </w:rPr>
        <w:t>Yim</w:t>
      </w:r>
      <w:proofErr w:type="spellEnd"/>
      <w:r w:rsidRPr="000E4FE6">
        <w:rPr>
          <w:rFonts w:ascii="Times New Roman" w:hAnsi="Times New Roman" w:cs="Times New Roman"/>
          <w:sz w:val="24"/>
          <w:szCs w:val="24"/>
        </w:rPr>
        <w:t>, C. Y. (1980). From motivation to action: functional interface between the limbic system and the motor system. </w:t>
      </w:r>
      <w:r w:rsidRPr="000E4FE6">
        <w:rPr>
          <w:rFonts w:ascii="Times New Roman" w:hAnsi="Times New Roman" w:cs="Times New Roman"/>
          <w:i/>
          <w:sz w:val="24"/>
          <w:szCs w:val="24"/>
        </w:rPr>
        <w:t>Progress in Neurobiology</w:t>
      </w:r>
      <w:r w:rsidRPr="000E4FE6">
        <w:rPr>
          <w:rFonts w:ascii="Times New Roman" w:hAnsi="Times New Roman" w:cs="Times New Roman"/>
          <w:sz w:val="24"/>
          <w:szCs w:val="24"/>
        </w:rPr>
        <w:t>, </w:t>
      </w:r>
      <w:r w:rsidRPr="000E4FE6">
        <w:rPr>
          <w:rFonts w:ascii="Times New Roman" w:hAnsi="Times New Roman" w:cs="Times New Roman"/>
          <w:i/>
          <w:sz w:val="24"/>
          <w:szCs w:val="24"/>
        </w:rPr>
        <w:t>14</w:t>
      </w:r>
      <w:r w:rsidRPr="000E4FE6">
        <w:rPr>
          <w:rFonts w:ascii="Times New Roman" w:hAnsi="Times New Roman" w:cs="Times New Roman"/>
          <w:sz w:val="24"/>
          <w:szCs w:val="24"/>
        </w:rPr>
        <w:t>(2–3), 69–97. https://doi.org/10.1016/0301-0082(80)90018-0</w:t>
      </w:r>
    </w:p>
    <w:p w14:paraId="00000E2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Montoye</w:t>
      </w:r>
      <w:proofErr w:type="spellEnd"/>
      <w:r w:rsidRPr="000E4FE6">
        <w:rPr>
          <w:rFonts w:ascii="Times New Roman" w:hAnsi="Times New Roman" w:cs="Times New Roman"/>
          <w:sz w:val="24"/>
          <w:szCs w:val="24"/>
        </w:rPr>
        <w:t xml:space="preserve">, H. J., Washburn, R., Servais, S., </w:t>
      </w:r>
      <w:proofErr w:type="spellStart"/>
      <w:r w:rsidRPr="000E4FE6">
        <w:rPr>
          <w:rFonts w:ascii="Times New Roman" w:hAnsi="Times New Roman" w:cs="Times New Roman"/>
          <w:sz w:val="24"/>
          <w:szCs w:val="24"/>
        </w:rPr>
        <w:t>Ertl</w:t>
      </w:r>
      <w:proofErr w:type="spellEnd"/>
      <w:r w:rsidRPr="000E4FE6">
        <w:rPr>
          <w:rFonts w:ascii="Times New Roman" w:hAnsi="Times New Roman" w:cs="Times New Roman"/>
          <w:sz w:val="24"/>
          <w:szCs w:val="24"/>
        </w:rPr>
        <w:t>, A., Webster, J. G., and Nagle, F. J. (1983). Estimation of energy expenditure by a portable accelerometer. </w:t>
      </w:r>
      <w:r w:rsidRPr="000E4FE6">
        <w:rPr>
          <w:rFonts w:ascii="Times New Roman" w:hAnsi="Times New Roman" w:cs="Times New Roman"/>
          <w:i/>
          <w:sz w:val="24"/>
          <w:szCs w:val="24"/>
        </w:rPr>
        <w:t>Medicine and Science in Sports and Exercise</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(5), 403–407.</w:t>
      </w:r>
    </w:p>
    <w:p w14:paraId="00000E2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Moon, S., Kang, J., Kim, S. H., Chung, H. S., Kim, Y. J., Yu, J. M., … Kim, T. (2020). Beneficial Effects of Time-Restricted Eating on Metabolic Diseases: A Systemic Review and Meta-Analysis.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(5). https://doi.org/10.3390/nu12051267</w:t>
      </w:r>
    </w:p>
    <w:p w14:paraId="00000E2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Morgan, L. M., Shi, J.-W., Hampton, S. M., and Frost, G. (2012). Effect of meal timing and glycaemic index on glucose control and insulin secretion in healthy volunteers.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108</w:t>
      </w:r>
      <w:r w:rsidRPr="000E4FE6">
        <w:rPr>
          <w:rFonts w:ascii="Times New Roman" w:hAnsi="Times New Roman" w:cs="Times New Roman"/>
          <w:sz w:val="24"/>
          <w:szCs w:val="24"/>
        </w:rPr>
        <w:t>(7), 1286–1291. https://doi.org/10.1017/S0007114511006507</w:t>
      </w:r>
    </w:p>
    <w:p w14:paraId="00000E2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Morris, C. J., Garcia, J. I., Myers, S., Yang, J. N., </w:t>
      </w:r>
      <w:proofErr w:type="spellStart"/>
      <w:r w:rsidRPr="000E4FE6">
        <w:rPr>
          <w:rFonts w:ascii="Times New Roman" w:hAnsi="Times New Roman" w:cs="Times New Roman"/>
          <w:sz w:val="24"/>
          <w:szCs w:val="24"/>
        </w:rPr>
        <w:t>Trienekens</w:t>
      </w:r>
      <w:proofErr w:type="spellEnd"/>
      <w:r w:rsidRPr="000E4FE6">
        <w:rPr>
          <w:rFonts w:ascii="Times New Roman" w:hAnsi="Times New Roman" w:cs="Times New Roman"/>
          <w:sz w:val="24"/>
          <w:szCs w:val="24"/>
        </w:rPr>
        <w:t>, N., and Scheer, F. A. J. L. (2015). The Human Circadian System Has a Dominating Role in Causing the Morning/Evening Difference in Diet-Induced Thermogenesis.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(10), 2053–2058. https://doi.org/10.1002/oby.21189</w:t>
      </w:r>
    </w:p>
    <w:p w14:paraId="00000E2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Morris, C. J., Purvis, T. E., Hu, K., and Scheer, F. A. J. L. (2016). Circadian misalignment increases cardiovascular disease risk factors in humans. </w:t>
      </w:r>
      <w:r w:rsidRPr="000E4FE6">
        <w:rPr>
          <w:rFonts w:ascii="Times New Roman" w:hAnsi="Times New Roman" w:cs="Times New Roman"/>
          <w:i/>
          <w:sz w:val="24"/>
          <w:szCs w:val="24"/>
        </w:rPr>
        <w:t>Proceedings of the National Academy of Sciences of the United States of America</w:t>
      </w:r>
      <w:r w:rsidRPr="000E4FE6">
        <w:rPr>
          <w:rFonts w:ascii="Times New Roman" w:hAnsi="Times New Roman" w:cs="Times New Roman"/>
          <w:sz w:val="24"/>
          <w:szCs w:val="24"/>
        </w:rPr>
        <w:t>, </w:t>
      </w:r>
      <w:r w:rsidRPr="000E4FE6">
        <w:rPr>
          <w:rFonts w:ascii="Times New Roman" w:hAnsi="Times New Roman" w:cs="Times New Roman"/>
          <w:i/>
          <w:sz w:val="24"/>
          <w:szCs w:val="24"/>
        </w:rPr>
        <w:t>113</w:t>
      </w:r>
      <w:r w:rsidRPr="000E4FE6">
        <w:rPr>
          <w:rFonts w:ascii="Times New Roman" w:hAnsi="Times New Roman" w:cs="Times New Roman"/>
          <w:sz w:val="24"/>
          <w:szCs w:val="24"/>
        </w:rPr>
        <w:t>(10), E1402-11. https://doi.org/10.1073/pnas.1516953113</w:t>
      </w:r>
    </w:p>
    <w:p w14:paraId="00000E2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Morris, C. J., Yang, J. N., Garcia, J. I., Myers, S., </w:t>
      </w:r>
      <w:proofErr w:type="spellStart"/>
      <w:r w:rsidRPr="000E4FE6">
        <w:rPr>
          <w:rFonts w:ascii="Times New Roman" w:hAnsi="Times New Roman" w:cs="Times New Roman"/>
          <w:sz w:val="24"/>
          <w:szCs w:val="24"/>
        </w:rPr>
        <w:t>Bozzi</w:t>
      </w:r>
      <w:proofErr w:type="spellEnd"/>
      <w:r w:rsidRPr="000E4FE6">
        <w:rPr>
          <w:rFonts w:ascii="Times New Roman" w:hAnsi="Times New Roman" w:cs="Times New Roman"/>
          <w:sz w:val="24"/>
          <w:szCs w:val="24"/>
        </w:rPr>
        <w:t>, I., Wang, W., … Scheer, F. A. J. L. (2015). Endogenous circadian system and circadian misalignment impact glucose tolerance via separate mechanisms in humans. </w:t>
      </w:r>
      <w:r w:rsidRPr="000E4FE6">
        <w:rPr>
          <w:rFonts w:ascii="Times New Roman" w:hAnsi="Times New Roman" w:cs="Times New Roman"/>
          <w:i/>
          <w:sz w:val="24"/>
          <w:szCs w:val="24"/>
        </w:rPr>
        <w:t>Proceedings of the National Academy of Sciences of the United States of America</w:t>
      </w:r>
      <w:r w:rsidRPr="000E4FE6">
        <w:rPr>
          <w:rFonts w:ascii="Times New Roman" w:hAnsi="Times New Roman" w:cs="Times New Roman"/>
          <w:sz w:val="24"/>
          <w:szCs w:val="24"/>
        </w:rPr>
        <w:t>, </w:t>
      </w:r>
      <w:r w:rsidRPr="000E4FE6">
        <w:rPr>
          <w:rFonts w:ascii="Times New Roman" w:hAnsi="Times New Roman" w:cs="Times New Roman"/>
          <w:i/>
          <w:sz w:val="24"/>
          <w:szCs w:val="24"/>
        </w:rPr>
        <w:t>112</w:t>
      </w:r>
      <w:r w:rsidRPr="000E4FE6">
        <w:rPr>
          <w:rFonts w:ascii="Times New Roman" w:hAnsi="Times New Roman" w:cs="Times New Roman"/>
          <w:sz w:val="24"/>
          <w:szCs w:val="24"/>
        </w:rPr>
        <w:t>(17), E2225-34. https://doi.org/10.1073/pnas.1418955112</w:t>
      </w:r>
    </w:p>
    <w:p w14:paraId="00000E2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Morris, M. A., Hutchinson, J., </w:t>
      </w:r>
      <w:proofErr w:type="spellStart"/>
      <w:r w:rsidRPr="000E4FE6">
        <w:rPr>
          <w:rFonts w:ascii="Times New Roman" w:hAnsi="Times New Roman" w:cs="Times New Roman"/>
          <w:sz w:val="24"/>
          <w:szCs w:val="24"/>
        </w:rPr>
        <w:t>Gianfrancesco</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Alwan</w:t>
      </w:r>
      <w:proofErr w:type="spellEnd"/>
      <w:r w:rsidRPr="000E4FE6">
        <w:rPr>
          <w:rFonts w:ascii="Times New Roman" w:hAnsi="Times New Roman" w:cs="Times New Roman"/>
          <w:sz w:val="24"/>
          <w:szCs w:val="24"/>
        </w:rPr>
        <w:t>, N. A., Carter, M. C., Scott, E. M., and Cade, J. E. (2019). Relationship of the Frequency, Distribution, and Content of Meals/Snacks to Glycaemic Control in Gestational Diabetes: The myfood24 GDM Pilot Study.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(1). https://doi.org/10.3390/nu12010003</w:t>
      </w:r>
    </w:p>
    <w:p w14:paraId="00000E2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Moss, R. H., Conner, M., and O’Connor, D. B. (2021). Exploring the effects of positive and negative emotions on eating behaviours in children and young adults. </w:t>
      </w:r>
      <w:r w:rsidRPr="000E4FE6">
        <w:rPr>
          <w:rFonts w:ascii="Times New Roman" w:hAnsi="Times New Roman" w:cs="Times New Roman"/>
          <w:i/>
          <w:sz w:val="24"/>
          <w:szCs w:val="24"/>
        </w:rPr>
        <w:t>Psychology, Health &amp; Medicine</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(4), 457–466. https://doi.org/10.1080/13548506.2020.1761553</w:t>
      </w:r>
    </w:p>
    <w:p w14:paraId="00000E2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Mota</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Fidalgo</w:t>
      </w:r>
      <w:proofErr w:type="spellEnd"/>
      <w:r w:rsidRPr="000E4FE6">
        <w:rPr>
          <w:rFonts w:ascii="Times New Roman" w:hAnsi="Times New Roman" w:cs="Times New Roman"/>
          <w:sz w:val="24"/>
          <w:szCs w:val="24"/>
        </w:rPr>
        <w:t>, F., Silva, R., Ribeiro, J. C., Santos, R., Carvalho, J., and Santos, M. P. (2008). Relationships between physical activity, obesity and meal frequency in adolescents. </w:t>
      </w:r>
      <w:r w:rsidRPr="000E4FE6">
        <w:rPr>
          <w:rFonts w:ascii="Times New Roman" w:hAnsi="Times New Roman" w:cs="Times New Roman"/>
          <w:i/>
          <w:sz w:val="24"/>
          <w:szCs w:val="24"/>
        </w:rPr>
        <w:t>Annals of Human Biology</w:t>
      </w:r>
      <w:r w:rsidRPr="000E4FE6">
        <w:rPr>
          <w:rFonts w:ascii="Times New Roman" w:hAnsi="Times New Roman" w:cs="Times New Roman"/>
          <w:sz w:val="24"/>
          <w:szCs w:val="24"/>
        </w:rPr>
        <w:t>, </w:t>
      </w:r>
      <w:r w:rsidRPr="000E4FE6">
        <w:rPr>
          <w:rFonts w:ascii="Times New Roman" w:hAnsi="Times New Roman" w:cs="Times New Roman"/>
          <w:i/>
          <w:sz w:val="24"/>
          <w:szCs w:val="24"/>
        </w:rPr>
        <w:t>35</w:t>
      </w:r>
      <w:r w:rsidRPr="000E4FE6">
        <w:rPr>
          <w:rFonts w:ascii="Times New Roman" w:hAnsi="Times New Roman" w:cs="Times New Roman"/>
          <w:sz w:val="24"/>
          <w:szCs w:val="24"/>
        </w:rPr>
        <w:t>(1), 1–10. https://doi.org/10.1080/03014460701779617</w:t>
      </w:r>
    </w:p>
    <w:p w14:paraId="00000E2A" w14:textId="670A08A3" w:rsidR="00CB4215"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Mujahid, M. S., Diez Roux, A. V., Shen, M., Gowda, D., Sánchez, B., Shea, S., … Jackson, S. A. (2008). Relation between </w:t>
      </w:r>
      <w:proofErr w:type="spellStart"/>
      <w:r w:rsidRPr="000E4FE6">
        <w:rPr>
          <w:rFonts w:ascii="Times New Roman" w:hAnsi="Times New Roman" w:cs="Times New Roman"/>
          <w:sz w:val="24"/>
          <w:szCs w:val="24"/>
        </w:rPr>
        <w:t>neighborhood</w:t>
      </w:r>
      <w:proofErr w:type="spellEnd"/>
      <w:r w:rsidRPr="000E4FE6">
        <w:rPr>
          <w:rFonts w:ascii="Times New Roman" w:hAnsi="Times New Roman" w:cs="Times New Roman"/>
          <w:sz w:val="24"/>
          <w:szCs w:val="24"/>
        </w:rPr>
        <w:t xml:space="preserve"> environments and obesity in the Multi-Ethnic Study of Atherosclerosis. </w:t>
      </w:r>
      <w:r w:rsidRPr="000E4FE6">
        <w:rPr>
          <w:rFonts w:ascii="Times New Roman" w:hAnsi="Times New Roman" w:cs="Times New Roman"/>
          <w:i/>
          <w:sz w:val="24"/>
          <w:szCs w:val="24"/>
        </w:rPr>
        <w:t>American Journal of Epidemiology</w:t>
      </w:r>
      <w:r w:rsidRPr="000E4FE6">
        <w:rPr>
          <w:rFonts w:ascii="Times New Roman" w:hAnsi="Times New Roman" w:cs="Times New Roman"/>
          <w:sz w:val="24"/>
          <w:szCs w:val="24"/>
        </w:rPr>
        <w:t>, </w:t>
      </w:r>
      <w:r w:rsidRPr="000E4FE6">
        <w:rPr>
          <w:rFonts w:ascii="Times New Roman" w:hAnsi="Times New Roman" w:cs="Times New Roman"/>
          <w:i/>
          <w:sz w:val="24"/>
          <w:szCs w:val="24"/>
        </w:rPr>
        <w:t>167</w:t>
      </w:r>
      <w:r w:rsidRPr="000E4FE6">
        <w:rPr>
          <w:rFonts w:ascii="Times New Roman" w:hAnsi="Times New Roman" w:cs="Times New Roman"/>
          <w:sz w:val="24"/>
          <w:szCs w:val="24"/>
        </w:rPr>
        <w:t xml:space="preserve">(11), 1349–1357. </w:t>
      </w:r>
      <w:hyperlink r:id="rId830" w:history="1">
        <w:r w:rsidR="00743AE7" w:rsidRPr="00CB0261">
          <w:rPr>
            <w:rStyle w:val="Hyperlink"/>
            <w:rFonts w:ascii="Times New Roman" w:hAnsi="Times New Roman" w:cs="Times New Roman"/>
            <w:sz w:val="24"/>
            <w:szCs w:val="24"/>
          </w:rPr>
          <w:t>https://doi.org/10.1093/aje/kwn047</w:t>
        </w:r>
      </w:hyperlink>
    </w:p>
    <w:p w14:paraId="114C28D7" w14:textId="2E67BD7D"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t xml:space="preserve">Munn, Z., Peters, M. D. J., Stern, C., </w:t>
      </w:r>
      <w:proofErr w:type="spellStart"/>
      <w:r w:rsidRPr="00743AE7">
        <w:rPr>
          <w:rFonts w:ascii="Times New Roman" w:hAnsi="Times New Roman" w:cs="Times New Roman"/>
          <w:sz w:val="24"/>
          <w:szCs w:val="24"/>
        </w:rPr>
        <w:t>Tufanaru</w:t>
      </w:r>
      <w:proofErr w:type="spellEnd"/>
      <w:r w:rsidRPr="00743AE7">
        <w:rPr>
          <w:rFonts w:ascii="Times New Roman" w:hAnsi="Times New Roman" w:cs="Times New Roman"/>
          <w:sz w:val="24"/>
          <w:szCs w:val="24"/>
        </w:rPr>
        <w:t xml:space="preserve">, C., McArthur, A., and </w:t>
      </w:r>
      <w:proofErr w:type="spellStart"/>
      <w:r w:rsidRPr="00743AE7">
        <w:rPr>
          <w:rFonts w:ascii="Times New Roman" w:hAnsi="Times New Roman" w:cs="Times New Roman"/>
          <w:sz w:val="24"/>
          <w:szCs w:val="24"/>
        </w:rPr>
        <w:t>Aromataris</w:t>
      </w:r>
      <w:proofErr w:type="spellEnd"/>
      <w:r w:rsidRPr="00743AE7">
        <w:rPr>
          <w:rFonts w:ascii="Times New Roman" w:hAnsi="Times New Roman" w:cs="Times New Roman"/>
          <w:sz w:val="24"/>
          <w:szCs w:val="24"/>
        </w:rPr>
        <w:t>, E. (2018). Systematic review or scoping review? Guidance for authors when choosing between a systematic or scoping review approach. BMC Medical Research Methodology, 18(1), 143. https://doi.org/10.1186/s12874-018-0611-x</w:t>
      </w:r>
    </w:p>
    <w:p w14:paraId="00000E2B"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r w:rsidRPr="000E4FE6">
        <w:rPr>
          <w:rFonts w:ascii="Times New Roman" w:hAnsi="Times New Roman" w:cs="Times New Roman"/>
          <w:sz w:val="24"/>
          <w:szCs w:val="24"/>
        </w:rPr>
        <w:t xml:space="preserve">Muñoz, J. G., Gallego, M. G., Soler, I. D., Ortega, M. B., </w:t>
      </w:r>
      <w:proofErr w:type="spellStart"/>
      <w:r w:rsidRPr="000E4FE6">
        <w:rPr>
          <w:rFonts w:ascii="Times New Roman" w:hAnsi="Times New Roman" w:cs="Times New Roman"/>
          <w:sz w:val="24"/>
          <w:szCs w:val="24"/>
        </w:rPr>
        <w:t>Cáceres</w:t>
      </w:r>
      <w:proofErr w:type="spellEnd"/>
      <w:r w:rsidRPr="000E4FE6">
        <w:rPr>
          <w:rFonts w:ascii="Times New Roman" w:hAnsi="Times New Roman" w:cs="Times New Roman"/>
          <w:sz w:val="24"/>
          <w:szCs w:val="24"/>
        </w:rPr>
        <w:t xml:space="preserve">, C. M., and </w:t>
      </w:r>
      <w:proofErr w:type="spellStart"/>
      <w:r w:rsidRPr="000E4FE6">
        <w:rPr>
          <w:rFonts w:ascii="Times New Roman" w:hAnsi="Times New Roman" w:cs="Times New Roman"/>
          <w:sz w:val="24"/>
          <w:szCs w:val="24"/>
        </w:rPr>
        <w:t>Morante</w:t>
      </w:r>
      <w:proofErr w:type="spellEnd"/>
      <w:r w:rsidRPr="000E4FE6">
        <w:rPr>
          <w:rFonts w:ascii="Times New Roman" w:hAnsi="Times New Roman" w:cs="Times New Roman"/>
          <w:sz w:val="24"/>
          <w:szCs w:val="24"/>
        </w:rPr>
        <w:t>, J. H. (2020). Effect of a chronotype-adjusted diet on weight loss effectiveness: A randomized clinical trial. </w:t>
      </w:r>
      <w:proofErr w:type="spellStart"/>
      <w:r w:rsidRPr="000E4FE6">
        <w:rPr>
          <w:rFonts w:ascii="Times New Roman" w:hAnsi="Times New Roman" w:cs="Times New Roman"/>
          <w:i/>
          <w:sz w:val="24"/>
          <w:szCs w:val="24"/>
          <w:lang w:val="es-ES_tradnl"/>
        </w:rPr>
        <w:t>Clinical</w:t>
      </w:r>
      <w:proofErr w:type="spellEnd"/>
      <w:r w:rsidRPr="000E4FE6">
        <w:rPr>
          <w:rFonts w:ascii="Times New Roman" w:hAnsi="Times New Roman" w:cs="Times New Roman"/>
          <w:i/>
          <w:sz w:val="24"/>
          <w:szCs w:val="24"/>
          <w:lang w:val="es-ES_tradnl"/>
        </w:rPr>
        <w:t xml:space="preserve"> </w:t>
      </w:r>
      <w:proofErr w:type="spellStart"/>
      <w:r w:rsidRPr="000E4FE6">
        <w:rPr>
          <w:rFonts w:ascii="Times New Roman" w:hAnsi="Times New Roman" w:cs="Times New Roman"/>
          <w:i/>
          <w:sz w:val="24"/>
          <w:szCs w:val="24"/>
          <w:lang w:val="es-ES_tradnl"/>
        </w:rPr>
        <w:t>Nutrition</w:t>
      </w:r>
      <w:proofErr w:type="spellEnd"/>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39</w:t>
      </w:r>
      <w:r w:rsidRPr="000E4FE6">
        <w:rPr>
          <w:rFonts w:ascii="Times New Roman" w:hAnsi="Times New Roman" w:cs="Times New Roman"/>
          <w:sz w:val="24"/>
          <w:szCs w:val="24"/>
          <w:lang w:val="es-ES_tradnl"/>
        </w:rPr>
        <w:t>(4), 1041–1048.</w:t>
      </w:r>
    </w:p>
    <w:p w14:paraId="00000E2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Muñoz, J. S. G., </w:t>
      </w:r>
      <w:proofErr w:type="spellStart"/>
      <w:r w:rsidRPr="000E4FE6">
        <w:rPr>
          <w:rFonts w:ascii="Times New Roman" w:hAnsi="Times New Roman" w:cs="Times New Roman"/>
          <w:sz w:val="24"/>
          <w:szCs w:val="24"/>
          <w:lang w:val="es-ES_tradnl"/>
        </w:rPr>
        <w:t>Cañavate</w:t>
      </w:r>
      <w:proofErr w:type="spellEnd"/>
      <w:r w:rsidRPr="000E4FE6">
        <w:rPr>
          <w:rFonts w:ascii="Times New Roman" w:hAnsi="Times New Roman" w:cs="Times New Roman"/>
          <w:sz w:val="24"/>
          <w:szCs w:val="24"/>
          <w:lang w:val="es-ES_tradnl"/>
        </w:rPr>
        <w:t xml:space="preserve">, R., Hernández, C. M., Cara-Salmerón, V., and Morante, J. J. H. (2017). </w:t>
      </w:r>
      <w:r w:rsidRPr="000E4FE6">
        <w:rPr>
          <w:rFonts w:ascii="Times New Roman" w:hAnsi="Times New Roman" w:cs="Times New Roman"/>
          <w:sz w:val="24"/>
          <w:szCs w:val="24"/>
        </w:rPr>
        <w:t>The association among chronotype, timing of food intake and food preferences depends on body mass status. </w:t>
      </w:r>
      <w:r w:rsidRPr="000E4FE6">
        <w:rPr>
          <w:rFonts w:ascii="Times New Roman" w:hAnsi="Times New Roman" w:cs="Times New Roman"/>
          <w:i/>
          <w:sz w:val="24"/>
          <w:szCs w:val="24"/>
        </w:rPr>
        <w:t>European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71</w:t>
      </w:r>
      <w:r w:rsidRPr="000E4FE6">
        <w:rPr>
          <w:rFonts w:ascii="Times New Roman" w:hAnsi="Times New Roman" w:cs="Times New Roman"/>
          <w:sz w:val="24"/>
          <w:szCs w:val="24"/>
        </w:rPr>
        <w:t>(6), 736–742. https://doi.org/10.1038/ejcn.2016.182</w:t>
      </w:r>
    </w:p>
    <w:p w14:paraId="00000E2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Murakami, K, and Livingstone, M. B. E. (2014). Eating frequency in relation to body mass index and waist circumference in British adults.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38</w:t>
      </w:r>
      <w:r w:rsidRPr="000E4FE6">
        <w:rPr>
          <w:rFonts w:ascii="Times New Roman" w:hAnsi="Times New Roman" w:cs="Times New Roman"/>
          <w:sz w:val="24"/>
          <w:szCs w:val="24"/>
        </w:rPr>
        <w:t>(9), 1200–1206. https://doi.org/10.1038/ijo.2014.1</w:t>
      </w:r>
    </w:p>
    <w:p w14:paraId="00000E2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Murakami, </w:t>
      </w:r>
      <w:proofErr w:type="spellStart"/>
      <w:r w:rsidRPr="000E4FE6">
        <w:rPr>
          <w:rFonts w:ascii="Times New Roman" w:hAnsi="Times New Roman" w:cs="Times New Roman"/>
          <w:sz w:val="24"/>
          <w:szCs w:val="24"/>
        </w:rPr>
        <w:t>Kentaro</w:t>
      </w:r>
      <w:proofErr w:type="spellEnd"/>
      <w:r w:rsidRPr="000E4FE6">
        <w:rPr>
          <w:rFonts w:ascii="Times New Roman" w:hAnsi="Times New Roman" w:cs="Times New Roman"/>
          <w:sz w:val="24"/>
          <w:szCs w:val="24"/>
        </w:rPr>
        <w:t>, Livingstone, M. B. E., Okubo, H., and Sasaki, S. (2017). Energy density of the diets of Japanese adults in relation to food and nutrient intake and general and abdominal obesity: a cross-sectional analysis from the 2012 National Health and Nutrition Survey, Japan.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117</w:t>
      </w:r>
      <w:r w:rsidRPr="000E4FE6">
        <w:rPr>
          <w:rFonts w:ascii="Times New Roman" w:hAnsi="Times New Roman" w:cs="Times New Roman"/>
          <w:sz w:val="24"/>
          <w:szCs w:val="24"/>
        </w:rPr>
        <w:t>(1), 161–169. https://doi.org/10.1017/S0007114516004451</w:t>
      </w:r>
    </w:p>
    <w:p w14:paraId="00000E2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Murray, C., Lombardi, A., Bender, F., and Gerdes, H. (2013). Social support: main and moderating effects on the relation between financial stress and adjustment among college students with disabilities. </w:t>
      </w:r>
      <w:r w:rsidRPr="000E4FE6">
        <w:rPr>
          <w:rFonts w:ascii="Times New Roman" w:hAnsi="Times New Roman" w:cs="Times New Roman"/>
          <w:i/>
          <w:sz w:val="24"/>
          <w:szCs w:val="24"/>
        </w:rPr>
        <w:t xml:space="preserve">Social Psychology of </w:t>
      </w:r>
      <w:proofErr w:type="gramStart"/>
      <w:r w:rsidRPr="000E4FE6">
        <w:rPr>
          <w:rFonts w:ascii="Times New Roman" w:hAnsi="Times New Roman" w:cs="Times New Roman"/>
          <w:i/>
          <w:sz w:val="24"/>
          <w:szCs w:val="24"/>
        </w:rPr>
        <w:t>Education :</w:t>
      </w:r>
      <w:proofErr w:type="gramEnd"/>
      <w:r w:rsidRPr="000E4FE6">
        <w:rPr>
          <w:rFonts w:ascii="Times New Roman" w:hAnsi="Times New Roman" w:cs="Times New Roman"/>
          <w:i/>
          <w:sz w:val="24"/>
          <w:szCs w:val="24"/>
        </w:rPr>
        <w:t xml:space="preserve"> An International Journal</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(2), 277–295. https://doi.org/10.1007/s11218-012-9204-4</w:t>
      </w:r>
    </w:p>
    <w:p w14:paraId="00000E3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Murray, G., Nicholas, C. L., Kleiman, J., Dwyer, R., Carrington, M. J., Allen, N. B., and Trinder, J. (2009). Nature’s clocks and human mood: the circadian system modulates reward motivation. </w:t>
      </w:r>
      <w:r w:rsidRPr="000E4FE6">
        <w:rPr>
          <w:rFonts w:ascii="Times New Roman" w:hAnsi="Times New Roman" w:cs="Times New Roman"/>
          <w:i/>
          <w:sz w:val="24"/>
          <w:szCs w:val="24"/>
        </w:rPr>
        <w:t>Emotion</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(5), 705–716. https://doi.org/10.1037/a0017080</w:t>
      </w:r>
    </w:p>
    <w:p w14:paraId="00000E3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Mwita</w:t>
      </w:r>
      <w:proofErr w:type="spellEnd"/>
      <w:r w:rsidRPr="000E4FE6">
        <w:rPr>
          <w:rFonts w:ascii="Times New Roman" w:hAnsi="Times New Roman" w:cs="Times New Roman"/>
          <w:sz w:val="24"/>
          <w:szCs w:val="24"/>
        </w:rPr>
        <w:t>, K. (2022). Strengths and weaknesses of qualitative research in social science studies. </w:t>
      </w:r>
      <w:r w:rsidRPr="000E4FE6">
        <w:rPr>
          <w:rFonts w:ascii="Times New Roman" w:hAnsi="Times New Roman" w:cs="Times New Roman"/>
          <w:i/>
          <w:sz w:val="24"/>
          <w:szCs w:val="24"/>
        </w:rPr>
        <w:t>International Journal of Research in Business and Social Science (2147-4478)</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(6), 618–625. https://doi.org/10.20525/ijrbs.v11i6.1920</w:t>
      </w:r>
    </w:p>
    <w:p w14:paraId="00000E3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Myers, A., Gibbons, C., Butler, E., Dalton, M., Buckland, N., Blundell, J., and Finlayson, G. (2017). A novel integrative procedure for identifying and integrating three-dimensions of objectively measured free-living sedentary behaviour. </w:t>
      </w:r>
      <w:r w:rsidRPr="000E4FE6">
        <w:rPr>
          <w:rFonts w:ascii="Times New Roman" w:hAnsi="Times New Roman" w:cs="Times New Roman"/>
          <w:i/>
          <w:sz w:val="24"/>
          <w:szCs w:val="24"/>
        </w:rPr>
        <w:t>BMC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17</w:t>
      </w:r>
      <w:r w:rsidRPr="000E4FE6">
        <w:rPr>
          <w:rFonts w:ascii="Times New Roman" w:hAnsi="Times New Roman" w:cs="Times New Roman"/>
          <w:sz w:val="24"/>
          <w:szCs w:val="24"/>
        </w:rPr>
        <w:t>(1), 979. https://doi.org/10.1186/s12889-017-4994-0</w:t>
      </w:r>
    </w:p>
    <w:p w14:paraId="00000E3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Myhre, J. B., </w:t>
      </w:r>
      <w:proofErr w:type="spellStart"/>
      <w:r w:rsidRPr="000E4FE6">
        <w:rPr>
          <w:rFonts w:ascii="Times New Roman" w:hAnsi="Times New Roman" w:cs="Times New Roman"/>
          <w:sz w:val="24"/>
          <w:szCs w:val="24"/>
        </w:rPr>
        <w:t>Løken</w:t>
      </w:r>
      <w:proofErr w:type="spellEnd"/>
      <w:r w:rsidRPr="000E4FE6">
        <w:rPr>
          <w:rFonts w:ascii="Times New Roman" w:hAnsi="Times New Roman" w:cs="Times New Roman"/>
          <w:sz w:val="24"/>
          <w:szCs w:val="24"/>
        </w:rPr>
        <w:t xml:space="preserve">, E. B., </w:t>
      </w:r>
      <w:proofErr w:type="spellStart"/>
      <w:r w:rsidRPr="000E4FE6">
        <w:rPr>
          <w:rFonts w:ascii="Times New Roman" w:hAnsi="Times New Roman" w:cs="Times New Roman"/>
          <w:sz w:val="24"/>
          <w:szCs w:val="24"/>
        </w:rPr>
        <w:t>Wandel</w:t>
      </w:r>
      <w:proofErr w:type="spellEnd"/>
      <w:r w:rsidRPr="000E4FE6">
        <w:rPr>
          <w:rFonts w:ascii="Times New Roman" w:hAnsi="Times New Roman" w:cs="Times New Roman"/>
          <w:sz w:val="24"/>
          <w:szCs w:val="24"/>
        </w:rPr>
        <w:t>, M., and Andersen, L. F. (2015). The contribution of snacks to dietary intake and their association with eating location among Norwegian adults - results from a cross-sectional dietary survey. </w:t>
      </w:r>
      <w:r w:rsidRPr="000E4FE6">
        <w:rPr>
          <w:rFonts w:ascii="Times New Roman" w:hAnsi="Times New Roman" w:cs="Times New Roman"/>
          <w:i/>
          <w:sz w:val="24"/>
          <w:szCs w:val="24"/>
        </w:rPr>
        <w:t>BMC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 369. https://doi.org/10.1186/s12889-015-1712-7</w:t>
      </w:r>
    </w:p>
    <w:p w14:paraId="00000E3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Nago</w:t>
      </w:r>
      <w:proofErr w:type="spellEnd"/>
      <w:r w:rsidRPr="000E4FE6">
        <w:rPr>
          <w:rFonts w:ascii="Times New Roman" w:hAnsi="Times New Roman" w:cs="Times New Roman"/>
          <w:sz w:val="24"/>
          <w:szCs w:val="24"/>
        </w:rPr>
        <w:t xml:space="preserve">, E. S., </w:t>
      </w:r>
      <w:proofErr w:type="spellStart"/>
      <w:r w:rsidRPr="000E4FE6">
        <w:rPr>
          <w:rFonts w:ascii="Times New Roman" w:hAnsi="Times New Roman" w:cs="Times New Roman"/>
          <w:sz w:val="24"/>
          <w:szCs w:val="24"/>
        </w:rPr>
        <w:t>Lachat</w:t>
      </w:r>
      <w:proofErr w:type="spellEnd"/>
      <w:r w:rsidRPr="000E4FE6">
        <w:rPr>
          <w:rFonts w:ascii="Times New Roman" w:hAnsi="Times New Roman" w:cs="Times New Roman"/>
          <w:sz w:val="24"/>
          <w:szCs w:val="24"/>
        </w:rPr>
        <w:t xml:space="preserve">, C. K., </w:t>
      </w:r>
      <w:proofErr w:type="spellStart"/>
      <w:r w:rsidRPr="000E4FE6">
        <w:rPr>
          <w:rFonts w:ascii="Times New Roman" w:hAnsi="Times New Roman" w:cs="Times New Roman"/>
          <w:sz w:val="24"/>
          <w:szCs w:val="24"/>
        </w:rPr>
        <w:t>Dossa</w:t>
      </w:r>
      <w:proofErr w:type="spellEnd"/>
      <w:r w:rsidRPr="000E4FE6">
        <w:rPr>
          <w:rFonts w:ascii="Times New Roman" w:hAnsi="Times New Roman" w:cs="Times New Roman"/>
          <w:sz w:val="24"/>
          <w:szCs w:val="24"/>
        </w:rPr>
        <w:t xml:space="preserve">, R. A. M., and </w:t>
      </w:r>
      <w:proofErr w:type="spellStart"/>
      <w:r w:rsidRPr="000E4FE6">
        <w:rPr>
          <w:rFonts w:ascii="Times New Roman" w:hAnsi="Times New Roman" w:cs="Times New Roman"/>
          <w:sz w:val="24"/>
          <w:szCs w:val="24"/>
        </w:rPr>
        <w:t>Kolsteren</w:t>
      </w:r>
      <w:proofErr w:type="spellEnd"/>
      <w:r w:rsidRPr="000E4FE6">
        <w:rPr>
          <w:rFonts w:ascii="Times New Roman" w:hAnsi="Times New Roman" w:cs="Times New Roman"/>
          <w:sz w:val="24"/>
          <w:szCs w:val="24"/>
        </w:rPr>
        <w:t xml:space="preserve">, P. W. (2014). Association of out-of-home eating with anthropometric changes: a systematic review of prospective </w:t>
      </w:r>
      <w:r w:rsidRPr="000E4FE6">
        <w:rPr>
          <w:rFonts w:ascii="Times New Roman" w:hAnsi="Times New Roman" w:cs="Times New Roman"/>
          <w:sz w:val="24"/>
          <w:szCs w:val="24"/>
        </w:rPr>
        <w:lastRenderedPageBreak/>
        <w:t>studies. </w:t>
      </w:r>
      <w:r w:rsidRPr="000E4FE6">
        <w:rPr>
          <w:rFonts w:ascii="Times New Roman" w:hAnsi="Times New Roman" w:cs="Times New Roman"/>
          <w:i/>
          <w:sz w:val="24"/>
          <w:szCs w:val="24"/>
        </w:rPr>
        <w:t>Critical Reviews in Food Science and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54</w:t>
      </w:r>
      <w:r w:rsidRPr="000E4FE6">
        <w:rPr>
          <w:rFonts w:ascii="Times New Roman" w:hAnsi="Times New Roman" w:cs="Times New Roman"/>
          <w:sz w:val="24"/>
          <w:szCs w:val="24"/>
        </w:rPr>
        <w:t>(9), 1103–1116. https://doi.org/10.1080/10408398.2011.627095</w:t>
      </w:r>
    </w:p>
    <w:p w14:paraId="00000E3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Nago</w:t>
      </w:r>
      <w:proofErr w:type="spellEnd"/>
      <w:r w:rsidRPr="000E4FE6">
        <w:rPr>
          <w:rFonts w:ascii="Times New Roman" w:hAnsi="Times New Roman" w:cs="Times New Roman"/>
          <w:sz w:val="24"/>
          <w:szCs w:val="24"/>
        </w:rPr>
        <w:t xml:space="preserve">, E. S., </w:t>
      </w:r>
      <w:proofErr w:type="spellStart"/>
      <w:r w:rsidRPr="000E4FE6">
        <w:rPr>
          <w:rFonts w:ascii="Times New Roman" w:hAnsi="Times New Roman" w:cs="Times New Roman"/>
          <w:sz w:val="24"/>
          <w:szCs w:val="24"/>
        </w:rPr>
        <w:t>Lachat</w:t>
      </w:r>
      <w:proofErr w:type="spellEnd"/>
      <w:r w:rsidRPr="000E4FE6">
        <w:rPr>
          <w:rFonts w:ascii="Times New Roman" w:hAnsi="Times New Roman" w:cs="Times New Roman"/>
          <w:sz w:val="24"/>
          <w:szCs w:val="24"/>
        </w:rPr>
        <w:t xml:space="preserve">, C. K., </w:t>
      </w:r>
      <w:proofErr w:type="spellStart"/>
      <w:r w:rsidRPr="000E4FE6">
        <w:rPr>
          <w:rFonts w:ascii="Times New Roman" w:hAnsi="Times New Roman" w:cs="Times New Roman"/>
          <w:sz w:val="24"/>
          <w:szCs w:val="24"/>
        </w:rPr>
        <w:t>Huybregts</w:t>
      </w:r>
      <w:proofErr w:type="spellEnd"/>
      <w:r w:rsidRPr="000E4FE6">
        <w:rPr>
          <w:rFonts w:ascii="Times New Roman" w:hAnsi="Times New Roman" w:cs="Times New Roman"/>
          <w:sz w:val="24"/>
          <w:szCs w:val="24"/>
        </w:rPr>
        <w:t xml:space="preserve">, L., </w:t>
      </w:r>
      <w:proofErr w:type="spellStart"/>
      <w:r w:rsidRPr="000E4FE6">
        <w:rPr>
          <w:rFonts w:ascii="Times New Roman" w:hAnsi="Times New Roman" w:cs="Times New Roman"/>
          <w:sz w:val="24"/>
          <w:szCs w:val="24"/>
        </w:rPr>
        <w:t>Roberfroid</w:t>
      </w:r>
      <w:proofErr w:type="spellEnd"/>
      <w:r w:rsidRPr="000E4FE6">
        <w:rPr>
          <w:rFonts w:ascii="Times New Roman" w:hAnsi="Times New Roman" w:cs="Times New Roman"/>
          <w:sz w:val="24"/>
          <w:szCs w:val="24"/>
        </w:rPr>
        <w:t xml:space="preserve">, D., </w:t>
      </w:r>
      <w:proofErr w:type="spellStart"/>
      <w:r w:rsidRPr="000E4FE6">
        <w:rPr>
          <w:rFonts w:ascii="Times New Roman" w:hAnsi="Times New Roman" w:cs="Times New Roman"/>
          <w:sz w:val="24"/>
          <w:szCs w:val="24"/>
        </w:rPr>
        <w:t>Dossa</w:t>
      </w:r>
      <w:proofErr w:type="spellEnd"/>
      <w:r w:rsidRPr="000E4FE6">
        <w:rPr>
          <w:rFonts w:ascii="Times New Roman" w:hAnsi="Times New Roman" w:cs="Times New Roman"/>
          <w:sz w:val="24"/>
          <w:szCs w:val="24"/>
        </w:rPr>
        <w:t xml:space="preserve">, R. A., and </w:t>
      </w:r>
      <w:proofErr w:type="spellStart"/>
      <w:r w:rsidRPr="000E4FE6">
        <w:rPr>
          <w:rFonts w:ascii="Times New Roman" w:hAnsi="Times New Roman" w:cs="Times New Roman"/>
          <w:sz w:val="24"/>
          <w:szCs w:val="24"/>
        </w:rPr>
        <w:t>Kolsteren</w:t>
      </w:r>
      <w:proofErr w:type="spellEnd"/>
      <w:r w:rsidRPr="000E4FE6">
        <w:rPr>
          <w:rFonts w:ascii="Times New Roman" w:hAnsi="Times New Roman" w:cs="Times New Roman"/>
          <w:sz w:val="24"/>
          <w:szCs w:val="24"/>
        </w:rPr>
        <w:t>, P. W. (2010). Food, energy and macronutrient contribution of out-of-home foods in school-going adolescents in Cotonou, Benin.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103</w:t>
      </w:r>
      <w:r w:rsidRPr="000E4FE6">
        <w:rPr>
          <w:rFonts w:ascii="Times New Roman" w:hAnsi="Times New Roman" w:cs="Times New Roman"/>
          <w:sz w:val="24"/>
          <w:szCs w:val="24"/>
        </w:rPr>
        <w:t>(2), 281–288. https://doi.org/10.1017/S0007114509991668</w:t>
      </w:r>
    </w:p>
    <w:p w14:paraId="00000E3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Nakazato</w:t>
      </w:r>
      <w:proofErr w:type="spellEnd"/>
      <w:r w:rsidRPr="000E4FE6">
        <w:rPr>
          <w:rFonts w:ascii="Times New Roman" w:hAnsi="Times New Roman" w:cs="Times New Roman"/>
          <w:sz w:val="24"/>
          <w:szCs w:val="24"/>
        </w:rPr>
        <w:t xml:space="preserve">, M., Murakami, N., Date, Y., Kojima, M., Matsuo, H., </w:t>
      </w:r>
      <w:proofErr w:type="spellStart"/>
      <w:r w:rsidRPr="000E4FE6">
        <w:rPr>
          <w:rFonts w:ascii="Times New Roman" w:hAnsi="Times New Roman" w:cs="Times New Roman"/>
          <w:sz w:val="24"/>
          <w:szCs w:val="24"/>
        </w:rPr>
        <w:t>Kangawa</w:t>
      </w:r>
      <w:proofErr w:type="spellEnd"/>
      <w:r w:rsidRPr="000E4FE6">
        <w:rPr>
          <w:rFonts w:ascii="Times New Roman" w:hAnsi="Times New Roman" w:cs="Times New Roman"/>
          <w:sz w:val="24"/>
          <w:szCs w:val="24"/>
        </w:rPr>
        <w:t xml:space="preserve">, K., and </w:t>
      </w:r>
      <w:proofErr w:type="spellStart"/>
      <w:r w:rsidRPr="000E4FE6">
        <w:rPr>
          <w:rFonts w:ascii="Times New Roman" w:hAnsi="Times New Roman" w:cs="Times New Roman"/>
          <w:sz w:val="24"/>
          <w:szCs w:val="24"/>
        </w:rPr>
        <w:t>Matsukura</w:t>
      </w:r>
      <w:proofErr w:type="spellEnd"/>
      <w:r w:rsidRPr="000E4FE6">
        <w:rPr>
          <w:rFonts w:ascii="Times New Roman" w:hAnsi="Times New Roman" w:cs="Times New Roman"/>
          <w:sz w:val="24"/>
          <w:szCs w:val="24"/>
        </w:rPr>
        <w:t>, S. (2001). A role for ghrelin in the central regulation of feeding. </w:t>
      </w:r>
      <w:r w:rsidRPr="000E4FE6">
        <w:rPr>
          <w:rFonts w:ascii="Times New Roman" w:hAnsi="Times New Roman" w:cs="Times New Roman"/>
          <w:i/>
          <w:sz w:val="24"/>
          <w:szCs w:val="24"/>
        </w:rPr>
        <w:t>Nature</w:t>
      </w:r>
      <w:r w:rsidRPr="000E4FE6">
        <w:rPr>
          <w:rFonts w:ascii="Times New Roman" w:hAnsi="Times New Roman" w:cs="Times New Roman"/>
          <w:sz w:val="24"/>
          <w:szCs w:val="24"/>
        </w:rPr>
        <w:t>, </w:t>
      </w:r>
      <w:r w:rsidRPr="000E4FE6">
        <w:rPr>
          <w:rFonts w:ascii="Times New Roman" w:hAnsi="Times New Roman" w:cs="Times New Roman"/>
          <w:i/>
          <w:sz w:val="24"/>
          <w:szCs w:val="24"/>
        </w:rPr>
        <w:t>409</w:t>
      </w:r>
      <w:r w:rsidRPr="000E4FE6">
        <w:rPr>
          <w:rFonts w:ascii="Times New Roman" w:hAnsi="Times New Roman" w:cs="Times New Roman"/>
          <w:sz w:val="24"/>
          <w:szCs w:val="24"/>
        </w:rPr>
        <w:t>(6817), 194–198. https://doi.org/10.1038/35051587</w:t>
      </w:r>
    </w:p>
    <w:p w14:paraId="00000E3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Nansel</w:t>
      </w:r>
      <w:proofErr w:type="spellEnd"/>
      <w:r w:rsidRPr="000E4FE6">
        <w:rPr>
          <w:rFonts w:ascii="Times New Roman" w:hAnsi="Times New Roman" w:cs="Times New Roman"/>
          <w:sz w:val="24"/>
          <w:szCs w:val="24"/>
        </w:rPr>
        <w:t>, T. R., Lipsky, L. M., Eisenberg, M. H., Haynie, D. L., Liu, D., and Simons-Morton, B. (2016). Greater Food Reward Sensitivity Is Associated with More Frequent Intake of Discretionary Foods in a Nationally Representative Sample of Young Adults. </w:t>
      </w:r>
      <w:r w:rsidRPr="000E4FE6">
        <w:rPr>
          <w:rFonts w:ascii="Times New Roman" w:hAnsi="Times New Roman" w:cs="Times New Roman"/>
          <w:i/>
          <w:sz w:val="24"/>
          <w:szCs w:val="24"/>
        </w:rPr>
        <w:t>Frontiers in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 33. https://doi.org/10.3389/fnut.2016.00033</w:t>
      </w:r>
    </w:p>
    <w:p w14:paraId="00000E3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Natalucci</w:t>
      </w:r>
      <w:proofErr w:type="spellEnd"/>
      <w:r w:rsidRPr="000E4FE6">
        <w:rPr>
          <w:rFonts w:ascii="Times New Roman" w:hAnsi="Times New Roman" w:cs="Times New Roman"/>
          <w:sz w:val="24"/>
          <w:szCs w:val="24"/>
        </w:rPr>
        <w:t xml:space="preserve">, G., </w:t>
      </w:r>
      <w:proofErr w:type="spellStart"/>
      <w:r w:rsidRPr="000E4FE6">
        <w:rPr>
          <w:rFonts w:ascii="Times New Roman" w:hAnsi="Times New Roman" w:cs="Times New Roman"/>
          <w:sz w:val="24"/>
          <w:szCs w:val="24"/>
        </w:rPr>
        <w:t>Riedl</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Gleiss</w:t>
      </w:r>
      <w:proofErr w:type="spellEnd"/>
      <w:r w:rsidRPr="000E4FE6">
        <w:rPr>
          <w:rFonts w:ascii="Times New Roman" w:hAnsi="Times New Roman" w:cs="Times New Roman"/>
          <w:sz w:val="24"/>
          <w:szCs w:val="24"/>
        </w:rPr>
        <w:t>, A., Zidek, T., and Frisch, H. (2005). Spontaneous 24-h ghrelin secretion pattern in fasting subjects: maintenance of a meal-related pattern. </w:t>
      </w:r>
      <w:r w:rsidRPr="000E4FE6">
        <w:rPr>
          <w:rFonts w:ascii="Times New Roman" w:hAnsi="Times New Roman" w:cs="Times New Roman"/>
          <w:i/>
          <w:sz w:val="24"/>
          <w:szCs w:val="24"/>
        </w:rPr>
        <w:t>European Journal of Endocrinology</w:t>
      </w:r>
      <w:r w:rsidRPr="000E4FE6">
        <w:rPr>
          <w:rFonts w:ascii="Times New Roman" w:hAnsi="Times New Roman" w:cs="Times New Roman"/>
          <w:sz w:val="24"/>
          <w:szCs w:val="24"/>
        </w:rPr>
        <w:t>, </w:t>
      </w:r>
      <w:r w:rsidRPr="000E4FE6">
        <w:rPr>
          <w:rFonts w:ascii="Times New Roman" w:hAnsi="Times New Roman" w:cs="Times New Roman"/>
          <w:i/>
          <w:sz w:val="24"/>
          <w:szCs w:val="24"/>
        </w:rPr>
        <w:t>152</w:t>
      </w:r>
      <w:r w:rsidRPr="000E4FE6">
        <w:rPr>
          <w:rFonts w:ascii="Times New Roman" w:hAnsi="Times New Roman" w:cs="Times New Roman"/>
          <w:sz w:val="24"/>
          <w:szCs w:val="24"/>
        </w:rPr>
        <w:t>(6), 845–850. https://doi.org/10.1530/eje.1.01919</w:t>
      </w:r>
    </w:p>
    <w:p w14:paraId="00000E3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Nater, U. M., </w:t>
      </w:r>
      <w:proofErr w:type="spellStart"/>
      <w:r w:rsidRPr="000E4FE6">
        <w:rPr>
          <w:rFonts w:ascii="Times New Roman" w:hAnsi="Times New Roman" w:cs="Times New Roman"/>
          <w:sz w:val="24"/>
          <w:szCs w:val="24"/>
        </w:rPr>
        <w:t>Rohleder</w:t>
      </w:r>
      <w:proofErr w:type="spellEnd"/>
      <w:r w:rsidRPr="000E4FE6">
        <w:rPr>
          <w:rFonts w:ascii="Times New Roman" w:hAnsi="Times New Roman" w:cs="Times New Roman"/>
          <w:sz w:val="24"/>
          <w:szCs w:val="24"/>
        </w:rPr>
        <w:t xml:space="preserve">, N., </w:t>
      </w:r>
      <w:proofErr w:type="spellStart"/>
      <w:r w:rsidRPr="000E4FE6">
        <w:rPr>
          <w:rFonts w:ascii="Times New Roman" w:hAnsi="Times New Roman" w:cs="Times New Roman"/>
          <w:sz w:val="24"/>
          <w:szCs w:val="24"/>
        </w:rPr>
        <w:t>Schlotz</w:t>
      </w:r>
      <w:proofErr w:type="spellEnd"/>
      <w:r w:rsidRPr="000E4FE6">
        <w:rPr>
          <w:rFonts w:ascii="Times New Roman" w:hAnsi="Times New Roman" w:cs="Times New Roman"/>
          <w:sz w:val="24"/>
          <w:szCs w:val="24"/>
        </w:rPr>
        <w:t xml:space="preserve">, W., Ehlert, U., and </w:t>
      </w:r>
      <w:proofErr w:type="spellStart"/>
      <w:r w:rsidRPr="000E4FE6">
        <w:rPr>
          <w:rFonts w:ascii="Times New Roman" w:hAnsi="Times New Roman" w:cs="Times New Roman"/>
          <w:sz w:val="24"/>
          <w:szCs w:val="24"/>
        </w:rPr>
        <w:t>Kirschbaum</w:t>
      </w:r>
      <w:proofErr w:type="spellEnd"/>
      <w:r w:rsidRPr="000E4FE6">
        <w:rPr>
          <w:rFonts w:ascii="Times New Roman" w:hAnsi="Times New Roman" w:cs="Times New Roman"/>
          <w:sz w:val="24"/>
          <w:szCs w:val="24"/>
        </w:rPr>
        <w:t>, C. (2007). Determinants of the diurnal course of salivary alpha-amylase. </w:t>
      </w:r>
      <w:proofErr w:type="spellStart"/>
      <w:r w:rsidRPr="000E4FE6">
        <w:rPr>
          <w:rFonts w:ascii="Times New Roman" w:hAnsi="Times New Roman" w:cs="Times New Roman"/>
          <w:i/>
          <w:sz w:val="24"/>
          <w:szCs w:val="24"/>
        </w:rPr>
        <w:t>Psychoneuroendocrinology</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32</w:t>
      </w:r>
      <w:r w:rsidRPr="000E4FE6">
        <w:rPr>
          <w:rFonts w:ascii="Times New Roman" w:hAnsi="Times New Roman" w:cs="Times New Roman"/>
          <w:sz w:val="24"/>
          <w:szCs w:val="24"/>
        </w:rPr>
        <w:t>(4), 392–401. https://doi.org/10.1016/j.psyneuen.2007.02.007</w:t>
      </w:r>
    </w:p>
    <w:p w14:paraId="00000E3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Nawaz, H., Chan, W., Abdulrahman, M., Larson, D., and Katz, D. L. (2001). Self-reported weight and height: implications for obesity research. </w:t>
      </w:r>
      <w:r w:rsidRPr="000E4FE6">
        <w:rPr>
          <w:rFonts w:ascii="Times New Roman" w:hAnsi="Times New Roman" w:cs="Times New Roman"/>
          <w:i/>
          <w:sz w:val="24"/>
          <w:szCs w:val="24"/>
        </w:rPr>
        <w:t>American Journal of Preventive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20</w:t>
      </w:r>
      <w:r w:rsidRPr="000E4FE6">
        <w:rPr>
          <w:rFonts w:ascii="Times New Roman" w:hAnsi="Times New Roman" w:cs="Times New Roman"/>
          <w:sz w:val="24"/>
          <w:szCs w:val="24"/>
        </w:rPr>
        <w:t>(4), 294–298. https://doi.org/10.1016/s0749-3797(01)00293-8</w:t>
      </w:r>
    </w:p>
    <w:p w14:paraId="00000E3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Nederkoorn</w:t>
      </w:r>
      <w:proofErr w:type="spellEnd"/>
      <w:r w:rsidRPr="000E4FE6">
        <w:rPr>
          <w:rFonts w:ascii="Times New Roman" w:hAnsi="Times New Roman" w:cs="Times New Roman"/>
          <w:sz w:val="24"/>
          <w:szCs w:val="24"/>
        </w:rPr>
        <w:t>, C, Smulders, F. T., and Jansen, A. (2000). Cephalic phase responses, craving and food intake in normal subjects.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35</w:t>
      </w:r>
      <w:r w:rsidRPr="000E4FE6">
        <w:rPr>
          <w:rFonts w:ascii="Times New Roman" w:hAnsi="Times New Roman" w:cs="Times New Roman"/>
          <w:sz w:val="24"/>
          <w:szCs w:val="24"/>
        </w:rPr>
        <w:t>(1), 45–55. https://doi.org/10.1006/appe.2000.0328</w:t>
      </w:r>
    </w:p>
    <w:p w14:paraId="00000E3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Nederkoorn</w:t>
      </w:r>
      <w:proofErr w:type="spellEnd"/>
      <w:r w:rsidRPr="000E4FE6">
        <w:rPr>
          <w:rFonts w:ascii="Times New Roman" w:hAnsi="Times New Roman" w:cs="Times New Roman"/>
          <w:sz w:val="24"/>
          <w:szCs w:val="24"/>
        </w:rPr>
        <w:t>, Chantal, and Jansen, A. (2002). Cue reactivity and regulation of food intake.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(1), 61–72. https://doi.org/10.1016/S1471-0153(01)00045-9</w:t>
      </w:r>
    </w:p>
    <w:p w14:paraId="00000E3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Nelson, K. M., </w:t>
      </w:r>
      <w:proofErr w:type="spellStart"/>
      <w:r w:rsidRPr="000E4FE6">
        <w:rPr>
          <w:rFonts w:ascii="Times New Roman" w:hAnsi="Times New Roman" w:cs="Times New Roman"/>
          <w:sz w:val="24"/>
          <w:szCs w:val="24"/>
        </w:rPr>
        <w:t>Weinsier</w:t>
      </w:r>
      <w:proofErr w:type="spellEnd"/>
      <w:r w:rsidRPr="000E4FE6">
        <w:rPr>
          <w:rFonts w:ascii="Times New Roman" w:hAnsi="Times New Roman" w:cs="Times New Roman"/>
          <w:sz w:val="24"/>
          <w:szCs w:val="24"/>
        </w:rPr>
        <w:t>, R. L., Long, C. L., and Schutz, Y. (1992). Prediction of resting energy expenditure from fat-free mass and fat mass.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56</w:t>
      </w:r>
      <w:r w:rsidRPr="000E4FE6">
        <w:rPr>
          <w:rFonts w:ascii="Times New Roman" w:hAnsi="Times New Roman" w:cs="Times New Roman"/>
          <w:sz w:val="24"/>
          <w:szCs w:val="24"/>
        </w:rPr>
        <w:t>(5), 848–856. https://doi.org/10.1093/ajcn/56.5.848</w:t>
      </w:r>
    </w:p>
    <w:p w14:paraId="00000E3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Neumark-Sztainer</w:t>
      </w:r>
      <w:proofErr w:type="spellEnd"/>
      <w:r w:rsidRPr="000E4FE6">
        <w:rPr>
          <w:rFonts w:ascii="Times New Roman" w:hAnsi="Times New Roman" w:cs="Times New Roman"/>
          <w:sz w:val="24"/>
          <w:szCs w:val="24"/>
        </w:rPr>
        <w:t xml:space="preserve">, D., Paxton, S. J., Hannan, P. J., Haines, J., and Story, M. (2006). Does body satisfaction matter? Five-year longitudinal associations between body satisfaction and health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in adolescent females and males. </w:t>
      </w:r>
      <w:r w:rsidRPr="000E4FE6">
        <w:rPr>
          <w:rFonts w:ascii="Times New Roman" w:hAnsi="Times New Roman" w:cs="Times New Roman"/>
          <w:i/>
          <w:sz w:val="24"/>
          <w:szCs w:val="24"/>
        </w:rPr>
        <w:t>The Journal of Adolescent Health</w:t>
      </w:r>
      <w:r w:rsidRPr="000E4FE6">
        <w:rPr>
          <w:rFonts w:ascii="Times New Roman" w:hAnsi="Times New Roman" w:cs="Times New Roman"/>
          <w:sz w:val="24"/>
          <w:szCs w:val="24"/>
        </w:rPr>
        <w:t>, </w:t>
      </w:r>
      <w:r w:rsidRPr="000E4FE6">
        <w:rPr>
          <w:rFonts w:ascii="Times New Roman" w:hAnsi="Times New Roman" w:cs="Times New Roman"/>
          <w:i/>
          <w:sz w:val="24"/>
          <w:szCs w:val="24"/>
        </w:rPr>
        <w:t>39</w:t>
      </w:r>
      <w:r w:rsidRPr="000E4FE6">
        <w:rPr>
          <w:rFonts w:ascii="Times New Roman" w:hAnsi="Times New Roman" w:cs="Times New Roman"/>
          <w:sz w:val="24"/>
          <w:szCs w:val="24"/>
        </w:rPr>
        <w:t>(2), 244–251. https://doi.org/10.1016/j.jadohealth.2005.12.001</w:t>
      </w:r>
    </w:p>
    <w:p w14:paraId="00000E3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Nicholls, W., Devonport, T. J., and Blake, M. (2016). The association between emotions and eating behaviour in an obese population with binge eating disorder.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17</w:t>
      </w:r>
      <w:r w:rsidRPr="000E4FE6">
        <w:rPr>
          <w:rFonts w:ascii="Times New Roman" w:hAnsi="Times New Roman" w:cs="Times New Roman"/>
          <w:sz w:val="24"/>
          <w:szCs w:val="24"/>
        </w:rPr>
        <w:t>(1), 30–42. https://doi.org/10.1111/obr.12329</w:t>
      </w:r>
    </w:p>
    <w:p w14:paraId="00000E4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Nichols, J F, Morgan, C. G., Chabot, L. E., </w:t>
      </w:r>
      <w:proofErr w:type="spellStart"/>
      <w:r w:rsidRPr="000E4FE6">
        <w:rPr>
          <w:rFonts w:ascii="Times New Roman" w:hAnsi="Times New Roman" w:cs="Times New Roman"/>
          <w:sz w:val="24"/>
          <w:szCs w:val="24"/>
        </w:rPr>
        <w:t>Sallis</w:t>
      </w:r>
      <w:proofErr w:type="spellEnd"/>
      <w:r w:rsidRPr="000E4FE6">
        <w:rPr>
          <w:rFonts w:ascii="Times New Roman" w:hAnsi="Times New Roman" w:cs="Times New Roman"/>
          <w:sz w:val="24"/>
          <w:szCs w:val="24"/>
        </w:rPr>
        <w:t xml:space="preserve">, J. F., and </w:t>
      </w:r>
      <w:proofErr w:type="spellStart"/>
      <w:r w:rsidRPr="000E4FE6">
        <w:rPr>
          <w:rFonts w:ascii="Times New Roman" w:hAnsi="Times New Roman" w:cs="Times New Roman"/>
          <w:sz w:val="24"/>
          <w:szCs w:val="24"/>
        </w:rPr>
        <w:t>Calfas</w:t>
      </w:r>
      <w:proofErr w:type="spellEnd"/>
      <w:r w:rsidRPr="000E4FE6">
        <w:rPr>
          <w:rFonts w:ascii="Times New Roman" w:hAnsi="Times New Roman" w:cs="Times New Roman"/>
          <w:sz w:val="24"/>
          <w:szCs w:val="24"/>
        </w:rPr>
        <w:t>, K. J. (2000). Assessment of physical activity with the Computer Science and Applications, Inc., accelerometer: laboratory versus field validation. </w:t>
      </w:r>
      <w:r w:rsidRPr="000E4FE6">
        <w:rPr>
          <w:rFonts w:ascii="Times New Roman" w:hAnsi="Times New Roman" w:cs="Times New Roman"/>
          <w:i/>
          <w:sz w:val="24"/>
          <w:szCs w:val="24"/>
        </w:rPr>
        <w:t>Research Quarterly for Exercise and Sport</w:t>
      </w:r>
      <w:r w:rsidRPr="000E4FE6">
        <w:rPr>
          <w:rFonts w:ascii="Times New Roman" w:hAnsi="Times New Roman" w:cs="Times New Roman"/>
          <w:sz w:val="24"/>
          <w:szCs w:val="24"/>
        </w:rPr>
        <w:t>, </w:t>
      </w:r>
      <w:r w:rsidRPr="000E4FE6">
        <w:rPr>
          <w:rFonts w:ascii="Times New Roman" w:hAnsi="Times New Roman" w:cs="Times New Roman"/>
          <w:i/>
          <w:sz w:val="24"/>
          <w:szCs w:val="24"/>
        </w:rPr>
        <w:t>71</w:t>
      </w:r>
      <w:r w:rsidRPr="000E4FE6">
        <w:rPr>
          <w:rFonts w:ascii="Times New Roman" w:hAnsi="Times New Roman" w:cs="Times New Roman"/>
          <w:sz w:val="24"/>
          <w:szCs w:val="24"/>
        </w:rPr>
        <w:t>(1), 36–43. https://doi.org/10.1080/02701367.2000.10608878</w:t>
      </w:r>
    </w:p>
    <w:p w14:paraId="00000E4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Nichols, JEANNE F., Morgan, C. G., </w:t>
      </w:r>
      <w:proofErr w:type="spellStart"/>
      <w:r w:rsidRPr="000E4FE6">
        <w:rPr>
          <w:rFonts w:ascii="Times New Roman" w:hAnsi="Times New Roman" w:cs="Times New Roman"/>
          <w:sz w:val="24"/>
          <w:szCs w:val="24"/>
        </w:rPr>
        <w:t>Sarkin</w:t>
      </w:r>
      <w:proofErr w:type="spellEnd"/>
      <w:r w:rsidRPr="000E4FE6">
        <w:rPr>
          <w:rFonts w:ascii="Times New Roman" w:hAnsi="Times New Roman" w:cs="Times New Roman"/>
          <w:sz w:val="24"/>
          <w:szCs w:val="24"/>
        </w:rPr>
        <w:t xml:space="preserve">, J. A., </w:t>
      </w:r>
      <w:proofErr w:type="spellStart"/>
      <w:r w:rsidRPr="000E4FE6">
        <w:rPr>
          <w:rFonts w:ascii="Times New Roman" w:hAnsi="Times New Roman" w:cs="Times New Roman"/>
          <w:sz w:val="24"/>
          <w:szCs w:val="24"/>
        </w:rPr>
        <w:t>Sallis</w:t>
      </w:r>
      <w:proofErr w:type="spellEnd"/>
      <w:r w:rsidRPr="000E4FE6">
        <w:rPr>
          <w:rFonts w:ascii="Times New Roman" w:hAnsi="Times New Roman" w:cs="Times New Roman"/>
          <w:sz w:val="24"/>
          <w:szCs w:val="24"/>
        </w:rPr>
        <w:t xml:space="preserve">, J. F., and </w:t>
      </w:r>
      <w:proofErr w:type="spellStart"/>
      <w:r w:rsidRPr="000E4FE6">
        <w:rPr>
          <w:rFonts w:ascii="Times New Roman" w:hAnsi="Times New Roman" w:cs="Times New Roman"/>
          <w:sz w:val="24"/>
          <w:szCs w:val="24"/>
        </w:rPr>
        <w:t>Calfas</w:t>
      </w:r>
      <w:proofErr w:type="spellEnd"/>
      <w:r w:rsidRPr="000E4FE6">
        <w:rPr>
          <w:rFonts w:ascii="Times New Roman" w:hAnsi="Times New Roman" w:cs="Times New Roman"/>
          <w:sz w:val="24"/>
          <w:szCs w:val="24"/>
        </w:rPr>
        <w:t xml:space="preserve">, K. J. (1999). Validity, reliability, and calibration of the </w:t>
      </w:r>
      <w:proofErr w:type="spellStart"/>
      <w:r w:rsidRPr="000E4FE6">
        <w:rPr>
          <w:rFonts w:ascii="Times New Roman" w:hAnsi="Times New Roman" w:cs="Times New Roman"/>
          <w:sz w:val="24"/>
          <w:szCs w:val="24"/>
        </w:rPr>
        <w:t>Tritrac</w:t>
      </w:r>
      <w:proofErr w:type="spellEnd"/>
      <w:r w:rsidRPr="000E4FE6">
        <w:rPr>
          <w:rFonts w:ascii="Times New Roman" w:hAnsi="Times New Roman" w:cs="Times New Roman"/>
          <w:sz w:val="24"/>
          <w:szCs w:val="24"/>
        </w:rPr>
        <w:t xml:space="preserve"> accelerometer as a measure of physical activity. </w:t>
      </w:r>
      <w:r w:rsidRPr="000E4FE6">
        <w:rPr>
          <w:rFonts w:ascii="Times New Roman" w:hAnsi="Times New Roman" w:cs="Times New Roman"/>
          <w:i/>
          <w:sz w:val="24"/>
          <w:szCs w:val="24"/>
        </w:rPr>
        <w:t>Medicine &amp; Science in Sports &amp; Exercise</w:t>
      </w:r>
      <w:r w:rsidRPr="000E4FE6">
        <w:rPr>
          <w:rFonts w:ascii="Times New Roman" w:hAnsi="Times New Roman" w:cs="Times New Roman"/>
          <w:sz w:val="24"/>
          <w:szCs w:val="24"/>
        </w:rPr>
        <w:t>, </w:t>
      </w:r>
      <w:r w:rsidRPr="000E4FE6">
        <w:rPr>
          <w:rFonts w:ascii="Times New Roman" w:hAnsi="Times New Roman" w:cs="Times New Roman"/>
          <w:i/>
          <w:sz w:val="24"/>
          <w:szCs w:val="24"/>
        </w:rPr>
        <w:t>31</w:t>
      </w:r>
      <w:r w:rsidRPr="000E4FE6">
        <w:rPr>
          <w:rFonts w:ascii="Times New Roman" w:hAnsi="Times New Roman" w:cs="Times New Roman"/>
          <w:sz w:val="24"/>
          <w:szCs w:val="24"/>
        </w:rPr>
        <w:t>(6), 908–912. https://doi.org/10.1097/00005768-199906000-00022</w:t>
      </w:r>
    </w:p>
    <w:p w14:paraId="00000E4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Nicklas, T. A., </w:t>
      </w:r>
      <w:proofErr w:type="spellStart"/>
      <w:r w:rsidRPr="000E4FE6">
        <w:rPr>
          <w:rFonts w:ascii="Times New Roman" w:hAnsi="Times New Roman" w:cs="Times New Roman"/>
          <w:sz w:val="24"/>
          <w:szCs w:val="24"/>
        </w:rPr>
        <w:t>Reger</w:t>
      </w:r>
      <w:proofErr w:type="spellEnd"/>
      <w:r w:rsidRPr="000E4FE6">
        <w:rPr>
          <w:rFonts w:ascii="Times New Roman" w:hAnsi="Times New Roman" w:cs="Times New Roman"/>
          <w:sz w:val="24"/>
          <w:szCs w:val="24"/>
        </w:rPr>
        <w:t xml:space="preserve">, C., Myers, L., and O’Neil, C. (2000). Breakfast consumption with and without vitamin-mineral supplement use </w:t>
      </w:r>
      <w:proofErr w:type="spellStart"/>
      <w:r w:rsidRPr="000E4FE6">
        <w:rPr>
          <w:rFonts w:ascii="Times New Roman" w:hAnsi="Times New Roman" w:cs="Times New Roman"/>
          <w:sz w:val="24"/>
          <w:szCs w:val="24"/>
        </w:rPr>
        <w:t>favorably</w:t>
      </w:r>
      <w:proofErr w:type="spellEnd"/>
      <w:r w:rsidRPr="000E4FE6">
        <w:rPr>
          <w:rFonts w:ascii="Times New Roman" w:hAnsi="Times New Roman" w:cs="Times New Roman"/>
          <w:sz w:val="24"/>
          <w:szCs w:val="24"/>
        </w:rPr>
        <w:t xml:space="preserve"> impacts daily nutrient intake of ninth-grade students. </w:t>
      </w:r>
      <w:r w:rsidRPr="000E4FE6">
        <w:rPr>
          <w:rFonts w:ascii="Times New Roman" w:hAnsi="Times New Roman" w:cs="Times New Roman"/>
          <w:i/>
          <w:sz w:val="24"/>
          <w:szCs w:val="24"/>
        </w:rPr>
        <w:t>The Journal of Adolescent Health</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(5), 314–321. https://doi.org/10.1016/s1054-139x(00)00113-0</w:t>
      </w:r>
    </w:p>
    <w:p w14:paraId="00000E4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Nielsen, S. J., and Popkin, B. M. (2003). Patterns and trends in food portion sizes, 1977-1998. </w:t>
      </w:r>
      <w:r w:rsidRPr="000E4FE6">
        <w:rPr>
          <w:rFonts w:ascii="Times New Roman" w:hAnsi="Times New Roman" w:cs="Times New Roman"/>
          <w:i/>
          <w:sz w:val="24"/>
          <w:szCs w:val="24"/>
        </w:rPr>
        <w:t>The Journal of the American Medical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289</w:t>
      </w:r>
      <w:r w:rsidRPr="000E4FE6">
        <w:rPr>
          <w:rFonts w:ascii="Times New Roman" w:hAnsi="Times New Roman" w:cs="Times New Roman"/>
          <w:sz w:val="24"/>
          <w:szCs w:val="24"/>
        </w:rPr>
        <w:t>(4), 450–453. https://doi.org/10.1001/jama.289.4.450</w:t>
      </w:r>
    </w:p>
    <w:p w14:paraId="00000E4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Nix, E., and </w:t>
      </w:r>
      <w:proofErr w:type="spellStart"/>
      <w:r w:rsidRPr="000E4FE6">
        <w:rPr>
          <w:rFonts w:ascii="Times New Roman" w:hAnsi="Times New Roman" w:cs="Times New Roman"/>
          <w:sz w:val="24"/>
          <w:szCs w:val="24"/>
        </w:rPr>
        <w:t>Wengreen</w:t>
      </w:r>
      <w:proofErr w:type="spellEnd"/>
      <w:r w:rsidRPr="000E4FE6">
        <w:rPr>
          <w:rFonts w:ascii="Times New Roman" w:hAnsi="Times New Roman" w:cs="Times New Roman"/>
          <w:sz w:val="24"/>
          <w:szCs w:val="24"/>
        </w:rPr>
        <w:t>, H. J. (2017). Social approval bias in self-reported fruit and vegetable intake after presentation of a normative message in college students.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116</w:t>
      </w:r>
      <w:r w:rsidRPr="000E4FE6">
        <w:rPr>
          <w:rFonts w:ascii="Times New Roman" w:hAnsi="Times New Roman" w:cs="Times New Roman"/>
          <w:sz w:val="24"/>
          <w:szCs w:val="24"/>
        </w:rPr>
        <w:t>, 552–558. https://doi.org/10.1016/j.appet.2017.05.045</w:t>
      </w:r>
    </w:p>
    <w:p w14:paraId="00000E4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Norris, V., Molina, F., and Gewirtz, A. T. (2013). Hypothesis: bacteria control host appetites. </w:t>
      </w:r>
      <w:r w:rsidRPr="000E4FE6">
        <w:rPr>
          <w:rFonts w:ascii="Times New Roman" w:hAnsi="Times New Roman" w:cs="Times New Roman"/>
          <w:i/>
          <w:sz w:val="24"/>
          <w:szCs w:val="24"/>
        </w:rPr>
        <w:t>Journal of Bacteriology</w:t>
      </w:r>
      <w:r w:rsidRPr="000E4FE6">
        <w:rPr>
          <w:rFonts w:ascii="Times New Roman" w:hAnsi="Times New Roman" w:cs="Times New Roman"/>
          <w:sz w:val="24"/>
          <w:szCs w:val="24"/>
        </w:rPr>
        <w:t>, </w:t>
      </w:r>
      <w:r w:rsidRPr="000E4FE6">
        <w:rPr>
          <w:rFonts w:ascii="Times New Roman" w:hAnsi="Times New Roman" w:cs="Times New Roman"/>
          <w:i/>
          <w:sz w:val="24"/>
          <w:szCs w:val="24"/>
        </w:rPr>
        <w:t>195</w:t>
      </w:r>
      <w:r w:rsidRPr="000E4FE6">
        <w:rPr>
          <w:rFonts w:ascii="Times New Roman" w:hAnsi="Times New Roman" w:cs="Times New Roman"/>
          <w:sz w:val="24"/>
          <w:szCs w:val="24"/>
        </w:rPr>
        <w:t>(3), 411–416. https://doi.org/10.1128/JB.01384-12</w:t>
      </w:r>
    </w:p>
    <w:p w14:paraId="00000E4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Novotny, R., Williams, A. E., </w:t>
      </w:r>
      <w:proofErr w:type="spellStart"/>
      <w:r w:rsidRPr="000E4FE6">
        <w:rPr>
          <w:rFonts w:ascii="Times New Roman" w:hAnsi="Times New Roman" w:cs="Times New Roman"/>
          <w:sz w:val="24"/>
          <w:szCs w:val="24"/>
        </w:rPr>
        <w:t>Vinoya</w:t>
      </w:r>
      <w:proofErr w:type="spellEnd"/>
      <w:r w:rsidRPr="000E4FE6">
        <w:rPr>
          <w:rFonts w:ascii="Times New Roman" w:hAnsi="Times New Roman" w:cs="Times New Roman"/>
          <w:sz w:val="24"/>
          <w:szCs w:val="24"/>
        </w:rPr>
        <w:t>, A. C., Oshiro, C. E. S., and Vogt, T. M. (2009). US acculturation, food intake, and obesity among Asian-Pacific hotel workers. </w:t>
      </w:r>
      <w:r w:rsidRPr="000E4FE6">
        <w:rPr>
          <w:rFonts w:ascii="Times New Roman" w:hAnsi="Times New Roman" w:cs="Times New Roman"/>
          <w:i/>
          <w:sz w:val="24"/>
          <w:szCs w:val="24"/>
        </w:rPr>
        <w:t>Journal of the 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109</w:t>
      </w:r>
      <w:r w:rsidRPr="000E4FE6">
        <w:rPr>
          <w:rFonts w:ascii="Times New Roman" w:hAnsi="Times New Roman" w:cs="Times New Roman"/>
          <w:sz w:val="24"/>
          <w:szCs w:val="24"/>
        </w:rPr>
        <w:t>(10), 1712–1718. https://doi.org/10.1016/j.jada.2009.07.013</w:t>
      </w:r>
    </w:p>
    <w:p w14:paraId="00000E4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i/>
          <w:sz w:val="24"/>
          <w:szCs w:val="24"/>
        </w:rPr>
        <w:t>Obese humans and rats (psychology revivals)</w:t>
      </w:r>
      <w:r w:rsidRPr="000E4FE6">
        <w:rPr>
          <w:rFonts w:ascii="Times New Roman" w:hAnsi="Times New Roman" w:cs="Times New Roman"/>
          <w:sz w:val="24"/>
          <w:szCs w:val="24"/>
        </w:rPr>
        <w:t>. (1899). Routledge. https://doi.org/10.4324/9781315737683</w:t>
      </w:r>
    </w:p>
    <w:p w14:paraId="00000E4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Ochs, E., and Shohet, M. (2006). The cultural structuring of mealtime socialization. </w:t>
      </w:r>
      <w:r w:rsidRPr="000E4FE6">
        <w:rPr>
          <w:rFonts w:ascii="Times New Roman" w:hAnsi="Times New Roman" w:cs="Times New Roman"/>
          <w:i/>
          <w:sz w:val="24"/>
          <w:szCs w:val="24"/>
        </w:rPr>
        <w:t>New Directions for Child and Adolescent Development</w:t>
      </w:r>
      <w:r w:rsidRPr="000E4FE6">
        <w:rPr>
          <w:rFonts w:ascii="Times New Roman" w:hAnsi="Times New Roman" w:cs="Times New Roman"/>
          <w:sz w:val="24"/>
          <w:szCs w:val="24"/>
        </w:rPr>
        <w:t>, </w:t>
      </w:r>
      <w:r w:rsidRPr="000E4FE6">
        <w:rPr>
          <w:rFonts w:ascii="Times New Roman" w:hAnsi="Times New Roman" w:cs="Times New Roman"/>
          <w:i/>
          <w:sz w:val="24"/>
          <w:szCs w:val="24"/>
        </w:rPr>
        <w:t>2006</w:t>
      </w:r>
      <w:r w:rsidRPr="000E4FE6">
        <w:rPr>
          <w:rFonts w:ascii="Times New Roman" w:hAnsi="Times New Roman" w:cs="Times New Roman"/>
          <w:sz w:val="24"/>
          <w:szCs w:val="24"/>
        </w:rPr>
        <w:t>(111), 35–49. https://doi.org/10.1002/cd.154</w:t>
      </w:r>
    </w:p>
    <w:p w14:paraId="00000E4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O’Connor, S. G., Boyd, P., Bailey, C. P., Shams-White, M. M., </w:t>
      </w:r>
      <w:proofErr w:type="spellStart"/>
      <w:r w:rsidRPr="000E4FE6">
        <w:rPr>
          <w:rFonts w:ascii="Times New Roman" w:hAnsi="Times New Roman" w:cs="Times New Roman"/>
          <w:sz w:val="24"/>
          <w:szCs w:val="24"/>
        </w:rPr>
        <w:t>Agurs</w:t>
      </w:r>
      <w:proofErr w:type="spellEnd"/>
      <w:r w:rsidRPr="000E4FE6">
        <w:rPr>
          <w:rFonts w:ascii="Times New Roman" w:hAnsi="Times New Roman" w:cs="Times New Roman"/>
          <w:sz w:val="24"/>
          <w:szCs w:val="24"/>
        </w:rPr>
        <w:t xml:space="preserve">-Collins, T., Hall, K., … </w:t>
      </w:r>
      <w:proofErr w:type="spellStart"/>
      <w:r w:rsidRPr="000E4FE6">
        <w:rPr>
          <w:rFonts w:ascii="Times New Roman" w:hAnsi="Times New Roman" w:cs="Times New Roman"/>
          <w:sz w:val="24"/>
          <w:szCs w:val="24"/>
        </w:rPr>
        <w:t>Czajkowski</w:t>
      </w:r>
      <w:proofErr w:type="spellEnd"/>
      <w:r w:rsidRPr="000E4FE6">
        <w:rPr>
          <w:rFonts w:ascii="Times New Roman" w:hAnsi="Times New Roman" w:cs="Times New Roman"/>
          <w:sz w:val="24"/>
          <w:szCs w:val="24"/>
        </w:rPr>
        <w:t>, S. M. (2021). Perspective: Time-Restricted Eating Compared with Caloric Restriction: Potential Facilitators and Barriers of Long-Term Weight Loss Maintenance. </w:t>
      </w:r>
      <w:r w:rsidRPr="000E4FE6">
        <w:rPr>
          <w:rFonts w:ascii="Times New Roman" w:hAnsi="Times New Roman" w:cs="Times New Roman"/>
          <w:i/>
          <w:sz w:val="24"/>
          <w:szCs w:val="24"/>
        </w:rPr>
        <w:t>Advances in Nutrition (Bethesda, Md.)</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(2), 325–333. https://doi.org/10.1093/advances/nmaa168</w:t>
      </w:r>
    </w:p>
    <w:p w14:paraId="00000E4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Okada, C., </w:t>
      </w:r>
      <w:proofErr w:type="spellStart"/>
      <w:r w:rsidRPr="000E4FE6">
        <w:rPr>
          <w:rFonts w:ascii="Times New Roman" w:hAnsi="Times New Roman" w:cs="Times New Roman"/>
          <w:sz w:val="24"/>
          <w:szCs w:val="24"/>
        </w:rPr>
        <w:t>Imano</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Muraki</w:t>
      </w:r>
      <w:proofErr w:type="spellEnd"/>
      <w:r w:rsidRPr="000E4FE6">
        <w:rPr>
          <w:rFonts w:ascii="Times New Roman" w:hAnsi="Times New Roman" w:cs="Times New Roman"/>
          <w:sz w:val="24"/>
          <w:szCs w:val="24"/>
        </w:rPr>
        <w:t>, I., Yamada, K., and Iso, H. (2019). The Association of Having a Late Dinner or Bedtime Snack and Skipping Breakfast with Overweight in Japanese Women. </w:t>
      </w:r>
      <w:r w:rsidRPr="000E4FE6">
        <w:rPr>
          <w:rFonts w:ascii="Times New Roman" w:hAnsi="Times New Roman" w:cs="Times New Roman"/>
          <w:i/>
          <w:sz w:val="24"/>
          <w:szCs w:val="24"/>
        </w:rPr>
        <w:t>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2019</w:t>
      </w:r>
      <w:r w:rsidRPr="000E4FE6">
        <w:rPr>
          <w:rFonts w:ascii="Times New Roman" w:hAnsi="Times New Roman" w:cs="Times New Roman"/>
          <w:sz w:val="24"/>
          <w:szCs w:val="24"/>
        </w:rPr>
        <w:t>, 2439571. https://doi.org/10.1155/2019/2439571</w:t>
      </w:r>
    </w:p>
    <w:p w14:paraId="00000E4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Olfert, M. D., Barr, M. L., </w:t>
      </w:r>
      <w:proofErr w:type="spellStart"/>
      <w:r w:rsidRPr="000E4FE6">
        <w:rPr>
          <w:rFonts w:ascii="Times New Roman" w:hAnsi="Times New Roman" w:cs="Times New Roman"/>
          <w:sz w:val="24"/>
          <w:szCs w:val="24"/>
        </w:rPr>
        <w:t>Charlier</w:t>
      </w:r>
      <w:proofErr w:type="spellEnd"/>
      <w:r w:rsidRPr="000E4FE6">
        <w:rPr>
          <w:rFonts w:ascii="Times New Roman" w:hAnsi="Times New Roman" w:cs="Times New Roman"/>
          <w:sz w:val="24"/>
          <w:szCs w:val="24"/>
        </w:rPr>
        <w:t xml:space="preserve">, C. M., </w:t>
      </w:r>
      <w:proofErr w:type="spellStart"/>
      <w:r w:rsidRPr="000E4FE6">
        <w:rPr>
          <w:rFonts w:ascii="Times New Roman" w:hAnsi="Times New Roman" w:cs="Times New Roman"/>
          <w:sz w:val="24"/>
          <w:szCs w:val="24"/>
        </w:rPr>
        <w:t>Famodu</w:t>
      </w:r>
      <w:proofErr w:type="spellEnd"/>
      <w:r w:rsidRPr="000E4FE6">
        <w:rPr>
          <w:rFonts w:ascii="Times New Roman" w:hAnsi="Times New Roman" w:cs="Times New Roman"/>
          <w:sz w:val="24"/>
          <w:szCs w:val="24"/>
        </w:rPr>
        <w:t>, O. A., Zhou, W., Mathews, A. E., … Colby, S. E. (2018). Self-Reported vs. Measured Height, Weight, and BMI in Young Adults. </w:t>
      </w:r>
      <w:r w:rsidRPr="000E4FE6">
        <w:rPr>
          <w:rFonts w:ascii="Times New Roman" w:hAnsi="Times New Roman" w:cs="Times New Roman"/>
          <w:i/>
          <w:sz w:val="24"/>
          <w:szCs w:val="24"/>
        </w:rPr>
        <w:t>International Journal of Environmental Research and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(10). https://doi.org/10.3390/ijerph15102216</w:t>
      </w:r>
    </w:p>
    <w:p w14:paraId="00000E4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Oliver, G., and Wardle, J. (1999). Perceived effects of stress on food choice.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66</w:t>
      </w:r>
      <w:r w:rsidRPr="000E4FE6">
        <w:rPr>
          <w:rFonts w:ascii="Times New Roman" w:hAnsi="Times New Roman" w:cs="Times New Roman"/>
          <w:sz w:val="24"/>
          <w:szCs w:val="24"/>
        </w:rPr>
        <w:t>(3), 511–515. https://doi.org/10.1016/s0031-9384(98)00322-9</w:t>
      </w:r>
    </w:p>
    <w:p w14:paraId="00000E4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O’Neil, C. E., Byrd-</w:t>
      </w:r>
      <w:proofErr w:type="spellStart"/>
      <w:r w:rsidRPr="000E4FE6">
        <w:rPr>
          <w:rFonts w:ascii="Times New Roman" w:hAnsi="Times New Roman" w:cs="Times New Roman"/>
          <w:sz w:val="24"/>
          <w:szCs w:val="24"/>
        </w:rPr>
        <w:t>Bredbenner</w:t>
      </w:r>
      <w:proofErr w:type="spellEnd"/>
      <w:r w:rsidRPr="000E4FE6">
        <w:rPr>
          <w:rFonts w:ascii="Times New Roman" w:hAnsi="Times New Roman" w:cs="Times New Roman"/>
          <w:sz w:val="24"/>
          <w:szCs w:val="24"/>
        </w:rPr>
        <w:t>, C., Hayes, D., Jana, L., Klinger, S. E., and Stephenson-Martin, S. (2014). The role of breakfast in health: definition and criteria for a quality breakfast. </w:t>
      </w:r>
      <w:r w:rsidRPr="000E4FE6">
        <w:rPr>
          <w:rFonts w:ascii="Times New Roman" w:hAnsi="Times New Roman" w:cs="Times New Roman"/>
          <w:i/>
          <w:sz w:val="24"/>
          <w:szCs w:val="24"/>
        </w:rPr>
        <w:t>Journal of the Academy of Nutrition and Dietetics</w:t>
      </w:r>
      <w:r w:rsidRPr="000E4FE6">
        <w:rPr>
          <w:rFonts w:ascii="Times New Roman" w:hAnsi="Times New Roman" w:cs="Times New Roman"/>
          <w:sz w:val="24"/>
          <w:szCs w:val="24"/>
        </w:rPr>
        <w:t>, </w:t>
      </w:r>
      <w:r w:rsidRPr="000E4FE6">
        <w:rPr>
          <w:rFonts w:ascii="Times New Roman" w:hAnsi="Times New Roman" w:cs="Times New Roman"/>
          <w:i/>
          <w:sz w:val="24"/>
          <w:szCs w:val="24"/>
        </w:rPr>
        <w:t>114</w:t>
      </w:r>
      <w:r w:rsidRPr="000E4FE6">
        <w:rPr>
          <w:rFonts w:ascii="Times New Roman" w:hAnsi="Times New Roman" w:cs="Times New Roman"/>
          <w:sz w:val="24"/>
          <w:szCs w:val="24"/>
        </w:rPr>
        <w:t xml:space="preserve">(12 </w:t>
      </w:r>
      <w:proofErr w:type="spellStart"/>
      <w:r w:rsidRPr="000E4FE6">
        <w:rPr>
          <w:rFonts w:ascii="Times New Roman" w:hAnsi="Times New Roman" w:cs="Times New Roman"/>
          <w:sz w:val="24"/>
          <w:szCs w:val="24"/>
        </w:rPr>
        <w:t>Suppl</w:t>
      </w:r>
      <w:proofErr w:type="spellEnd"/>
      <w:r w:rsidRPr="000E4FE6">
        <w:rPr>
          <w:rFonts w:ascii="Times New Roman" w:hAnsi="Times New Roman" w:cs="Times New Roman"/>
          <w:sz w:val="24"/>
          <w:szCs w:val="24"/>
        </w:rPr>
        <w:t>), S8–S26. https://doi.org/10.1016/j.jand.2014.08.022</w:t>
      </w:r>
    </w:p>
    <w:p w14:paraId="00000E4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Oosterman</w:t>
      </w:r>
      <w:proofErr w:type="spellEnd"/>
      <w:r w:rsidRPr="000E4FE6">
        <w:rPr>
          <w:rFonts w:ascii="Times New Roman" w:hAnsi="Times New Roman" w:cs="Times New Roman"/>
          <w:sz w:val="24"/>
          <w:szCs w:val="24"/>
        </w:rPr>
        <w:t xml:space="preserve">, J. E., </w:t>
      </w:r>
      <w:proofErr w:type="spellStart"/>
      <w:r w:rsidRPr="000E4FE6">
        <w:rPr>
          <w:rFonts w:ascii="Times New Roman" w:hAnsi="Times New Roman" w:cs="Times New Roman"/>
          <w:sz w:val="24"/>
          <w:szCs w:val="24"/>
        </w:rPr>
        <w:t>Kalsbeek</w:t>
      </w:r>
      <w:proofErr w:type="spellEnd"/>
      <w:r w:rsidRPr="000E4FE6">
        <w:rPr>
          <w:rFonts w:ascii="Times New Roman" w:hAnsi="Times New Roman" w:cs="Times New Roman"/>
          <w:sz w:val="24"/>
          <w:szCs w:val="24"/>
        </w:rPr>
        <w:t xml:space="preserve">, A., la Fleur, S. E., and </w:t>
      </w:r>
      <w:proofErr w:type="spellStart"/>
      <w:r w:rsidRPr="000E4FE6">
        <w:rPr>
          <w:rFonts w:ascii="Times New Roman" w:hAnsi="Times New Roman" w:cs="Times New Roman"/>
          <w:sz w:val="24"/>
          <w:szCs w:val="24"/>
        </w:rPr>
        <w:t>Belsham</w:t>
      </w:r>
      <w:proofErr w:type="spellEnd"/>
      <w:r w:rsidRPr="000E4FE6">
        <w:rPr>
          <w:rFonts w:ascii="Times New Roman" w:hAnsi="Times New Roman" w:cs="Times New Roman"/>
          <w:sz w:val="24"/>
          <w:szCs w:val="24"/>
        </w:rPr>
        <w:t>, D. D. (2015). Impact of nutrients on circadian rhythmicity. </w:t>
      </w:r>
      <w:r w:rsidRPr="000E4FE6">
        <w:rPr>
          <w:rFonts w:ascii="Times New Roman" w:hAnsi="Times New Roman" w:cs="Times New Roman"/>
          <w:i/>
          <w:sz w:val="24"/>
          <w:szCs w:val="24"/>
        </w:rPr>
        <w:t>American Journal of Physiology. Regulatory, Integrative and Comparative Physiology</w:t>
      </w:r>
      <w:r w:rsidRPr="000E4FE6">
        <w:rPr>
          <w:rFonts w:ascii="Times New Roman" w:hAnsi="Times New Roman" w:cs="Times New Roman"/>
          <w:sz w:val="24"/>
          <w:szCs w:val="24"/>
        </w:rPr>
        <w:t>, </w:t>
      </w:r>
      <w:r w:rsidRPr="000E4FE6">
        <w:rPr>
          <w:rFonts w:ascii="Times New Roman" w:hAnsi="Times New Roman" w:cs="Times New Roman"/>
          <w:i/>
          <w:sz w:val="24"/>
          <w:szCs w:val="24"/>
        </w:rPr>
        <w:t>308</w:t>
      </w:r>
      <w:r w:rsidRPr="000E4FE6">
        <w:rPr>
          <w:rFonts w:ascii="Times New Roman" w:hAnsi="Times New Roman" w:cs="Times New Roman"/>
          <w:sz w:val="24"/>
          <w:szCs w:val="24"/>
        </w:rPr>
        <w:t>(5), R337-50. https://doi.org/10.1152/ajpregu.00322.2014</w:t>
      </w:r>
    </w:p>
    <w:p w14:paraId="00000E4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lang w:val="es-ES_tradnl"/>
        </w:rPr>
        <w:t>Orfanos</w:t>
      </w:r>
      <w:proofErr w:type="spellEnd"/>
      <w:r w:rsidRPr="000E4FE6">
        <w:rPr>
          <w:rFonts w:ascii="Times New Roman" w:hAnsi="Times New Roman" w:cs="Times New Roman"/>
          <w:sz w:val="24"/>
          <w:szCs w:val="24"/>
          <w:lang w:val="es-ES_tradnl"/>
        </w:rPr>
        <w:t xml:space="preserve">, P., </w:t>
      </w:r>
      <w:proofErr w:type="spellStart"/>
      <w:r w:rsidRPr="000E4FE6">
        <w:rPr>
          <w:rFonts w:ascii="Times New Roman" w:hAnsi="Times New Roman" w:cs="Times New Roman"/>
          <w:sz w:val="24"/>
          <w:szCs w:val="24"/>
          <w:lang w:val="es-ES_tradnl"/>
        </w:rPr>
        <w:t>Naska</w:t>
      </w:r>
      <w:proofErr w:type="spellEnd"/>
      <w:r w:rsidRPr="000E4FE6">
        <w:rPr>
          <w:rFonts w:ascii="Times New Roman" w:hAnsi="Times New Roman" w:cs="Times New Roman"/>
          <w:sz w:val="24"/>
          <w:szCs w:val="24"/>
          <w:lang w:val="es-ES_tradnl"/>
        </w:rPr>
        <w:t xml:space="preserve">, A., </w:t>
      </w:r>
      <w:proofErr w:type="spellStart"/>
      <w:r w:rsidRPr="000E4FE6">
        <w:rPr>
          <w:rFonts w:ascii="Times New Roman" w:hAnsi="Times New Roman" w:cs="Times New Roman"/>
          <w:sz w:val="24"/>
          <w:szCs w:val="24"/>
          <w:lang w:val="es-ES_tradnl"/>
        </w:rPr>
        <w:t>Trichopoulos</w:t>
      </w:r>
      <w:proofErr w:type="spellEnd"/>
      <w:r w:rsidRPr="000E4FE6">
        <w:rPr>
          <w:rFonts w:ascii="Times New Roman" w:hAnsi="Times New Roman" w:cs="Times New Roman"/>
          <w:sz w:val="24"/>
          <w:szCs w:val="24"/>
          <w:lang w:val="es-ES_tradnl"/>
        </w:rPr>
        <w:t xml:space="preserve">, D., </w:t>
      </w:r>
      <w:proofErr w:type="spellStart"/>
      <w:r w:rsidRPr="000E4FE6">
        <w:rPr>
          <w:rFonts w:ascii="Times New Roman" w:hAnsi="Times New Roman" w:cs="Times New Roman"/>
          <w:sz w:val="24"/>
          <w:szCs w:val="24"/>
          <w:lang w:val="es-ES_tradnl"/>
        </w:rPr>
        <w:t>Slimani</w:t>
      </w:r>
      <w:proofErr w:type="spellEnd"/>
      <w:r w:rsidRPr="000E4FE6">
        <w:rPr>
          <w:rFonts w:ascii="Times New Roman" w:hAnsi="Times New Roman" w:cs="Times New Roman"/>
          <w:sz w:val="24"/>
          <w:szCs w:val="24"/>
          <w:lang w:val="es-ES_tradnl"/>
        </w:rPr>
        <w:t xml:space="preserve">, N., Ferrari, P., van </w:t>
      </w:r>
      <w:proofErr w:type="spellStart"/>
      <w:r w:rsidRPr="000E4FE6">
        <w:rPr>
          <w:rFonts w:ascii="Times New Roman" w:hAnsi="Times New Roman" w:cs="Times New Roman"/>
          <w:sz w:val="24"/>
          <w:szCs w:val="24"/>
          <w:lang w:val="es-ES_tradnl"/>
        </w:rPr>
        <w:t>Bakel</w:t>
      </w:r>
      <w:proofErr w:type="spellEnd"/>
      <w:r w:rsidRPr="000E4FE6">
        <w:rPr>
          <w:rFonts w:ascii="Times New Roman" w:hAnsi="Times New Roman" w:cs="Times New Roman"/>
          <w:sz w:val="24"/>
          <w:szCs w:val="24"/>
          <w:lang w:val="es-ES_tradnl"/>
        </w:rPr>
        <w:t xml:space="preserve">, M., … </w:t>
      </w:r>
      <w:proofErr w:type="spellStart"/>
      <w:r w:rsidRPr="000E4FE6">
        <w:rPr>
          <w:rFonts w:ascii="Times New Roman" w:hAnsi="Times New Roman" w:cs="Times New Roman"/>
          <w:sz w:val="24"/>
          <w:szCs w:val="24"/>
        </w:rPr>
        <w:t>Trichopoulou</w:t>
      </w:r>
      <w:proofErr w:type="spellEnd"/>
      <w:r w:rsidRPr="000E4FE6">
        <w:rPr>
          <w:rFonts w:ascii="Times New Roman" w:hAnsi="Times New Roman" w:cs="Times New Roman"/>
          <w:sz w:val="24"/>
          <w:szCs w:val="24"/>
        </w:rPr>
        <w:t>, A. (2007). Eating out of home and its correlates in 10 European countries. The European Prospective Investigation into Cancer and Nutrition (EPIC) study. </w:t>
      </w:r>
      <w:r w:rsidRPr="000E4FE6">
        <w:rPr>
          <w:rFonts w:ascii="Times New Roman" w:hAnsi="Times New Roman" w:cs="Times New Roman"/>
          <w:i/>
          <w:sz w:val="24"/>
          <w:szCs w:val="24"/>
        </w:rPr>
        <w:t>Public Health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(12), 1515–1525. https://doi.org/10.1017/S1368980007000171</w:t>
      </w:r>
    </w:p>
    <w:p w14:paraId="00000E50"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r w:rsidRPr="00AE7F93">
        <w:rPr>
          <w:rFonts w:ascii="Times New Roman" w:hAnsi="Times New Roman" w:cs="Times New Roman"/>
          <w:sz w:val="24"/>
          <w:szCs w:val="24"/>
        </w:rPr>
        <w:t>Ortega, R. M., Pérez-Rodrigo, C., and López-</w:t>
      </w:r>
      <w:proofErr w:type="spellStart"/>
      <w:r w:rsidRPr="00AE7F93">
        <w:rPr>
          <w:rFonts w:ascii="Times New Roman" w:hAnsi="Times New Roman" w:cs="Times New Roman"/>
          <w:sz w:val="24"/>
          <w:szCs w:val="24"/>
        </w:rPr>
        <w:t>Sobaler</w:t>
      </w:r>
      <w:proofErr w:type="spellEnd"/>
      <w:r w:rsidRPr="00AE7F93">
        <w:rPr>
          <w:rFonts w:ascii="Times New Roman" w:hAnsi="Times New Roman" w:cs="Times New Roman"/>
          <w:sz w:val="24"/>
          <w:szCs w:val="24"/>
        </w:rPr>
        <w:t>, A. M. (2015). Dietary assessment methods: dietary records. </w:t>
      </w:r>
      <w:proofErr w:type="spellStart"/>
      <w:r w:rsidRPr="000E4FE6">
        <w:rPr>
          <w:rFonts w:ascii="Times New Roman" w:hAnsi="Times New Roman" w:cs="Times New Roman"/>
          <w:i/>
          <w:sz w:val="24"/>
          <w:szCs w:val="24"/>
          <w:lang w:val="es-ES_tradnl"/>
        </w:rPr>
        <w:t>Nutricion</w:t>
      </w:r>
      <w:proofErr w:type="spellEnd"/>
      <w:r w:rsidRPr="000E4FE6">
        <w:rPr>
          <w:rFonts w:ascii="Times New Roman" w:hAnsi="Times New Roman" w:cs="Times New Roman"/>
          <w:i/>
          <w:sz w:val="24"/>
          <w:szCs w:val="24"/>
          <w:lang w:val="es-ES_tradnl"/>
        </w:rPr>
        <w:t xml:space="preserve"> </w:t>
      </w:r>
      <w:proofErr w:type="gramStart"/>
      <w:r w:rsidRPr="000E4FE6">
        <w:rPr>
          <w:rFonts w:ascii="Times New Roman" w:hAnsi="Times New Roman" w:cs="Times New Roman"/>
          <w:i/>
          <w:sz w:val="24"/>
          <w:szCs w:val="24"/>
          <w:lang w:val="es-ES_tradnl"/>
        </w:rPr>
        <w:t>Hospitalaria :</w:t>
      </w:r>
      <w:proofErr w:type="gramEnd"/>
      <w:r w:rsidRPr="000E4FE6">
        <w:rPr>
          <w:rFonts w:ascii="Times New Roman" w:hAnsi="Times New Roman" w:cs="Times New Roman"/>
          <w:i/>
          <w:sz w:val="24"/>
          <w:szCs w:val="24"/>
          <w:lang w:val="es-ES_tradnl"/>
        </w:rPr>
        <w:t xml:space="preserve"> </w:t>
      </w:r>
      <w:proofErr w:type="spellStart"/>
      <w:r w:rsidRPr="000E4FE6">
        <w:rPr>
          <w:rFonts w:ascii="Times New Roman" w:hAnsi="Times New Roman" w:cs="Times New Roman"/>
          <w:i/>
          <w:sz w:val="24"/>
          <w:szCs w:val="24"/>
          <w:lang w:val="es-ES_tradnl"/>
        </w:rPr>
        <w:t>Organo</w:t>
      </w:r>
      <w:proofErr w:type="spellEnd"/>
      <w:r w:rsidRPr="000E4FE6">
        <w:rPr>
          <w:rFonts w:ascii="Times New Roman" w:hAnsi="Times New Roman" w:cs="Times New Roman"/>
          <w:i/>
          <w:sz w:val="24"/>
          <w:szCs w:val="24"/>
          <w:lang w:val="es-ES_tradnl"/>
        </w:rPr>
        <w:t xml:space="preserve"> Oficial de La Sociedad </w:t>
      </w:r>
      <w:proofErr w:type="spellStart"/>
      <w:r w:rsidRPr="000E4FE6">
        <w:rPr>
          <w:rFonts w:ascii="Times New Roman" w:hAnsi="Times New Roman" w:cs="Times New Roman"/>
          <w:i/>
          <w:sz w:val="24"/>
          <w:szCs w:val="24"/>
          <w:lang w:val="es-ES_tradnl"/>
        </w:rPr>
        <w:lastRenderedPageBreak/>
        <w:t>Espanola</w:t>
      </w:r>
      <w:proofErr w:type="spellEnd"/>
      <w:r w:rsidRPr="000E4FE6">
        <w:rPr>
          <w:rFonts w:ascii="Times New Roman" w:hAnsi="Times New Roman" w:cs="Times New Roman"/>
          <w:i/>
          <w:sz w:val="24"/>
          <w:szCs w:val="24"/>
          <w:lang w:val="es-ES_tradnl"/>
        </w:rPr>
        <w:t xml:space="preserve"> de </w:t>
      </w:r>
      <w:proofErr w:type="spellStart"/>
      <w:r w:rsidRPr="000E4FE6">
        <w:rPr>
          <w:rFonts w:ascii="Times New Roman" w:hAnsi="Times New Roman" w:cs="Times New Roman"/>
          <w:i/>
          <w:sz w:val="24"/>
          <w:szCs w:val="24"/>
          <w:lang w:val="es-ES_tradnl"/>
        </w:rPr>
        <w:t>Nutricion</w:t>
      </w:r>
      <w:proofErr w:type="spellEnd"/>
      <w:r w:rsidRPr="000E4FE6">
        <w:rPr>
          <w:rFonts w:ascii="Times New Roman" w:hAnsi="Times New Roman" w:cs="Times New Roman"/>
          <w:i/>
          <w:sz w:val="24"/>
          <w:szCs w:val="24"/>
          <w:lang w:val="es-ES_tradnl"/>
        </w:rPr>
        <w:t xml:space="preserve"> Parenteral y Enteral</w:t>
      </w:r>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 xml:space="preserve">31 </w:t>
      </w:r>
      <w:proofErr w:type="spellStart"/>
      <w:r w:rsidRPr="000E4FE6">
        <w:rPr>
          <w:rFonts w:ascii="Times New Roman" w:hAnsi="Times New Roman" w:cs="Times New Roman"/>
          <w:i/>
          <w:sz w:val="24"/>
          <w:szCs w:val="24"/>
          <w:lang w:val="es-ES_tradnl"/>
        </w:rPr>
        <w:t>Suppl</w:t>
      </w:r>
      <w:proofErr w:type="spellEnd"/>
      <w:r w:rsidRPr="000E4FE6">
        <w:rPr>
          <w:rFonts w:ascii="Times New Roman" w:hAnsi="Times New Roman" w:cs="Times New Roman"/>
          <w:i/>
          <w:sz w:val="24"/>
          <w:szCs w:val="24"/>
          <w:lang w:val="es-ES_tradnl"/>
        </w:rPr>
        <w:t xml:space="preserve"> 3</w:t>
      </w:r>
      <w:r w:rsidRPr="000E4FE6">
        <w:rPr>
          <w:rFonts w:ascii="Times New Roman" w:hAnsi="Times New Roman" w:cs="Times New Roman"/>
          <w:sz w:val="24"/>
          <w:szCs w:val="24"/>
          <w:lang w:val="es-ES_tradnl"/>
        </w:rPr>
        <w:t>, 38–45. https://doi.org/10.3305/nh.2015.31.sup3.8749</w:t>
      </w:r>
    </w:p>
    <w:p w14:paraId="00000E5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Ouwens</w:t>
      </w:r>
      <w:proofErr w:type="spellEnd"/>
      <w:r w:rsidRPr="000E4FE6">
        <w:rPr>
          <w:rFonts w:ascii="Times New Roman" w:hAnsi="Times New Roman" w:cs="Times New Roman"/>
          <w:sz w:val="24"/>
          <w:szCs w:val="24"/>
        </w:rPr>
        <w:t xml:space="preserve">, M. A., van </w:t>
      </w:r>
      <w:proofErr w:type="spellStart"/>
      <w:r w:rsidRPr="000E4FE6">
        <w:rPr>
          <w:rFonts w:ascii="Times New Roman" w:hAnsi="Times New Roman" w:cs="Times New Roman"/>
          <w:sz w:val="24"/>
          <w:szCs w:val="24"/>
        </w:rPr>
        <w:t>Strien</w:t>
      </w:r>
      <w:proofErr w:type="spellEnd"/>
      <w:r w:rsidRPr="000E4FE6">
        <w:rPr>
          <w:rFonts w:ascii="Times New Roman" w:hAnsi="Times New Roman" w:cs="Times New Roman"/>
          <w:sz w:val="24"/>
          <w:szCs w:val="24"/>
        </w:rPr>
        <w:t xml:space="preserve">, T., and van der </w:t>
      </w:r>
      <w:proofErr w:type="spellStart"/>
      <w:r w:rsidRPr="000E4FE6">
        <w:rPr>
          <w:rFonts w:ascii="Times New Roman" w:hAnsi="Times New Roman" w:cs="Times New Roman"/>
          <w:sz w:val="24"/>
          <w:szCs w:val="24"/>
        </w:rPr>
        <w:t>Staak</w:t>
      </w:r>
      <w:proofErr w:type="spellEnd"/>
      <w:r w:rsidRPr="000E4FE6">
        <w:rPr>
          <w:rFonts w:ascii="Times New Roman" w:hAnsi="Times New Roman" w:cs="Times New Roman"/>
          <w:sz w:val="24"/>
          <w:szCs w:val="24"/>
        </w:rPr>
        <w:t>, C. P. F. (2003). Absence of a disinhibition effect of alcohol on food consumption.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(4), 323–332. https://doi.org/10.1016/S1471-0153(03)00033-3</w:t>
      </w:r>
    </w:p>
    <w:p w14:paraId="00000E5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Ovaskainen</w:t>
      </w:r>
      <w:proofErr w:type="spellEnd"/>
      <w:r w:rsidRPr="000E4FE6">
        <w:rPr>
          <w:rFonts w:ascii="Times New Roman" w:hAnsi="Times New Roman" w:cs="Times New Roman"/>
          <w:sz w:val="24"/>
          <w:szCs w:val="24"/>
        </w:rPr>
        <w:t xml:space="preserve">, M. L., </w:t>
      </w:r>
      <w:proofErr w:type="spellStart"/>
      <w:r w:rsidRPr="000E4FE6">
        <w:rPr>
          <w:rFonts w:ascii="Times New Roman" w:hAnsi="Times New Roman" w:cs="Times New Roman"/>
          <w:sz w:val="24"/>
          <w:szCs w:val="24"/>
        </w:rPr>
        <w:t>Reinivuo</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Tapanainen</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Hannila</w:t>
      </w:r>
      <w:proofErr w:type="spellEnd"/>
      <w:r w:rsidRPr="000E4FE6">
        <w:rPr>
          <w:rFonts w:ascii="Times New Roman" w:hAnsi="Times New Roman" w:cs="Times New Roman"/>
          <w:sz w:val="24"/>
          <w:szCs w:val="24"/>
        </w:rPr>
        <w:t xml:space="preserve">, M. L., Korhonen, T., and </w:t>
      </w:r>
      <w:proofErr w:type="spellStart"/>
      <w:r w:rsidRPr="000E4FE6">
        <w:rPr>
          <w:rFonts w:ascii="Times New Roman" w:hAnsi="Times New Roman" w:cs="Times New Roman"/>
          <w:sz w:val="24"/>
          <w:szCs w:val="24"/>
        </w:rPr>
        <w:t>Pakkala</w:t>
      </w:r>
      <w:proofErr w:type="spellEnd"/>
      <w:r w:rsidRPr="000E4FE6">
        <w:rPr>
          <w:rFonts w:ascii="Times New Roman" w:hAnsi="Times New Roman" w:cs="Times New Roman"/>
          <w:sz w:val="24"/>
          <w:szCs w:val="24"/>
        </w:rPr>
        <w:t>, H. (2006). Snacks as an element of energy intake and food consumption. </w:t>
      </w:r>
      <w:r w:rsidRPr="000E4FE6">
        <w:rPr>
          <w:rFonts w:ascii="Times New Roman" w:hAnsi="Times New Roman" w:cs="Times New Roman"/>
          <w:i/>
          <w:sz w:val="24"/>
          <w:szCs w:val="24"/>
        </w:rPr>
        <w:t>European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60</w:t>
      </w:r>
      <w:r w:rsidRPr="000E4FE6">
        <w:rPr>
          <w:rFonts w:ascii="Times New Roman" w:hAnsi="Times New Roman" w:cs="Times New Roman"/>
          <w:sz w:val="24"/>
          <w:szCs w:val="24"/>
        </w:rPr>
        <w:t>(4), 494–501. https://doi.org/10.1038/sj.ejcn.1602343</w:t>
      </w:r>
    </w:p>
    <w:p w14:paraId="00000E5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Özkan</w:t>
      </w:r>
      <w:proofErr w:type="spellEnd"/>
      <w:r w:rsidRPr="000E4FE6">
        <w:rPr>
          <w:rFonts w:ascii="Times New Roman" w:hAnsi="Times New Roman" w:cs="Times New Roman"/>
          <w:sz w:val="24"/>
          <w:szCs w:val="24"/>
        </w:rPr>
        <w:t xml:space="preserve">, N., and </w:t>
      </w:r>
      <w:proofErr w:type="spellStart"/>
      <w:r w:rsidRPr="000E4FE6">
        <w:rPr>
          <w:rFonts w:ascii="Times New Roman" w:hAnsi="Times New Roman" w:cs="Times New Roman"/>
          <w:sz w:val="24"/>
          <w:szCs w:val="24"/>
        </w:rPr>
        <w:t>Bilici</w:t>
      </w:r>
      <w:proofErr w:type="spellEnd"/>
      <w:r w:rsidRPr="000E4FE6">
        <w:rPr>
          <w:rFonts w:ascii="Times New Roman" w:hAnsi="Times New Roman" w:cs="Times New Roman"/>
          <w:sz w:val="24"/>
          <w:szCs w:val="24"/>
        </w:rPr>
        <w:t>, S. (2021). Are anthropometric measurements an indicator of intuitive and mindful eating? </w:t>
      </w:r>
      <w:r w:rsidRPr="000E4FE6">
        <w:rPr>
          <w:rFonts w:ascii="Times New Roman" w:hAnsi="Times New Roman" w:cs="Times New Roman"/>
          <w:i/>
          <w:sz w:val="24"/>
          <w:szCs w:val="24"/>
        </w:rPr>
        <w:t>Eating and Weight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(2), 639–648. https://doi.org/10.1007/s40519-020-00904-9</w:t>
      </w:r>
    </w:p>
    <w:p w14:paraId="00000E5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Paans</w:t>
      </w:r>
      <w:proofErr w:type="spellEnd"/>
      <w:r w:rsidRPr="000E4FE6">
        <w:rPr>
          <w:rFonts w:ascii="Times New Roman" w:hAnsi="Times New Roman" w:cs="Times New Roman"/>
          <w:sz w:val="24"/>
          <w:szCs w:val="24"/>
        </w:rPr>
        <w:t xml:space="preserve">, N. P. G., Gibson-Smith, D., Bot, M., van </w:t>
      </w:r>
      <w:proofErr w:type="spellStart"/>
      <w:r w:rsidRPr="000E4FE6">
        <w:rPr>
          <w:rFonts w:ascii="Times New Roman" w:hAnsi="Times New Roman" w:cs="Times New Roman"/>
          <w:sz w:val="24"/>
          <w:szCs w:val="24"/>
        </w:rPr>
        <w:t>Strien</w:t>
      </w:r>
      <w:proofErr w:type="spellEnd"/>
      <w:r w:rsidRPr="000E4FE6">
        <w:rPr>
          <w:rFonts w:ascii="Times New Roman" w:hAnsi="Times New Roman" w:cs="Times New Roman"/>
          <w:sz w:val="24"/>
          <w:szCs w:val="24"/>
        </w:rPr>
        <w:t xml:space="preserve">, T., Brouwer, I. A., Visser, M., and </w:t>
      </w:r>
      <w:proofErr w:type="spellStart"/>
      <w:r w:rsidRPr="000E4FE6">
        <w:rPr>
          <w:rFonts w:ascii="Times New Roman" w:hAnsi="Times New Roman" w:cs="Times New Roman"/>
          <w:sz w:val="24"/>
          <w:szCs w:val="24"/>
        </w:rPr>
        <w:t>Penninx</w:t>
      </w:r>
      <w:proofErr w:type="spellEnd"/>
      <w:r w:rsidRPr="000E4FE6">
        <w:rPr>
          <w:rFonts w:ascii="Times New Roman" w:hAnsi="Times New Roman" w:cs="Times New Roman"/>
          <w:sz w:val="24"/>
          <w:szCs w:val="24"/>
        </w:rPr>
        <w:t>, B. W. J. H. (2019). Depression and eating styles are independently associated with dietary intake.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134</w:t>
      </w:r>
      <w:r w:rsidRPr="000E4FE6">
        <w:rPr>
          <w:rFonts w:ascii="Times New Roman" w:hAnsi="Times New Roman" w:cs="Times New Roman"/>
          <w:sz w:val="24"/>
          <w:szCs w:val="24"/>
        </w:rPr>
        <w:t>, 103–110. https://doi.org/10.1016/j.appet.2018.12.030</w:t>
      </w:r>
    </w:p>
    <w:p w14:paraId="00000E5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Paddon</w:t>
      </w:r>
      <w:proofErr w:type="spellEnd"/>
      <w:r w:rsidRPr="000E4FE6">
        <w:rPr>
          <w:rFonts w:ascii="Times New Roman" w:hAnsi="Times New Roman" w:cs="Times New Roman"/>
          <w:sz w:val="24"/>
          <w:szCs w:val="24"/>
        </w:rPr>
        <w:t xml:space="preserve">-Jones, D., Westman, E., Mattes, R. D., Wolfe, R. R., </w:t>
      </w:r>
      <w:proofErr w:type="spellStart"/>
      <w:r w:rsidRPr="000E4FE6">
        <w:rPr>
          <w:rFonts w:ascii="Times New Roman" w:hAnsi="Times New Roman" w:cs="Times New Roman"/>
          <w:sz w:val="24"/>
          <w:szCs w:val="24"/>
        </w:rPr>
        <w:t>Astrup</w:t>
      </w:r>
      <w:proofErr w:type="spellEnd"/>
      <w:r w:rsidRPr="000E4FE6">
        <w:rPr>
          <w:rFonts w:ascii="Times New Roman" w:hAnsi="Times New Roman" w:cs="Times New Roman"/>
          <w:sz w:val="24"/>
          <w:szCs w:val="24"/>
        </w:rPr>
        <w:t xml:space="preserve">, A., and </w:t>
      </w:r>
      <w:proofErr w:type="spellStart"/>
      <w:r w:rsidRPr="000E4FE6">
        <w:rPr>
          <w:rFonts w:ascii="Times New Roman" w:hAnsi="Times New Roman" w:cs="Times New Roman"/>
          <w:sz w:val="24"/>
          <w:szCs w:val="24"/>
        </w:rPr>
        <w:t>Westerterp-Plantenga</w:t>
      </w:r>
      <w:proofErr w:type="spellEnd"/>
      <w:r w:rsidRPr="000E4FE6">
        <w:rPr>
          <w:rFonts w:ascii="Times New Roman" w:hAnsi="Times New Roman" w:cs="Times New Roman"/>
          <w:sz w:val="24"/>
          <w:szCs w:val="24"/>
        </w:rPr>
        <w:t>, M. (2008). Protein, weight management, and satiety.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87</w:t>
      </w:r>
      <w:r w:rsidRPr="000E4FE6">
        <w:rPr>
          <w:rFonts w:ascii="Times New Roman" w:hAnsi="Times New Roman" w:cs="Times New Roman"/>
          <w:sz w:val="24"/>
          <w:szCs w:val="24"/>
        </w:rPr>
        <w:t>(5), 1558S-1561S. https://doi.org/10.1093/ajcn/87.5.1558S</w:t>
      </w:r>
    </w:p>
    <w:p w14:paraId="00000E5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lang w:val="es-ES_tradnl"/>
        </w:rPr>
        <w:t>Palavras</w:t>
      </w:r>
      <w:proofErr w:type="spellEnd"/>
      <w:r w:rsidRPr="000E4FE6">
        <w:rPr>
          <w:rFonts w:ascii="Times New Roman" w:hAnsi="Times New Roman" w:cs="Times New Roman"/>
          <w:sz w:val="24"/>
          <w:szCs w:val="24"/>
          <w:lang w:val="es-ES_tradnl"/>
        </w:rPr>
        <w:t xml:space="preserve">, M. A., Hay, P., </w:t>
      </w:r>
      <w:proofErr w:type="spellStart"/>
      <w:r w:rsidRPr="000E4FE6">
        <w:rPr>
          <w:rFonts w:ascii="Times New Roman" w:hAnsi="Times New Roman" w:cs="Times New Roman"/>
          <w:sz w:val="24"/>
          <w:szCs w:val="24"/>
          <w:lang w:val="es-ES_tradnl"/>
        </w:rPr>
        <w:t>Touyz</w:t>
      </w:r>
      <w:proofErr w:type="spellEnd"/>
      <w:r w:rsidRPr="000E4FE6">
        <w:rPr>
          <w:rFonts w:ascii="Times New Roman" w:hAnsi="Times New Roman" w:cs="Times New Roman"/>
          <w:sz w:val="24"/>
          <w:szCs w:val="24"/>
          <w:lang w:val="es-ES_tradnl"/>
        </w:rPr>
        <w:t xml:space="preserve">, S., </w:t>
      </w:r>
      <w:proofErr w:type="spellStart"/>
      <w:r w:rsidRPr="000E4FE6">
        <w:rPr>
          <w:rFonts w:ascii="Times New Roman" w:hAnsi="Times New Roman" w:cs="Times New Roman"/>
          <w:sz w:val="24"/>
          <w:szCs w:val="24"/>
          <w:lang w:val="es-ES_tradnl"/>
        </w:rPr>
        <w:t>Sainsbury</w:t>
      </w:r>
      <w:proofErr w:type="spellEnd"/>
      <w:r w:rsidRPr="000E4FE6">
        <w:rPr>
          <w:rFonts w:ascii="Times New Roman" w:hAnsi="Times New Roman" w:cs="Times New Roman"/>
          <w:sz w:val="24"/>
          <w:szCs w:val="24"/>
          <w:lang w:val="es-ES_tradnl"/>
        </w:rPr>
        <w:t xml:space="preserve">, A., da Luz, F., </w:t>
      </w:r>
      <w:proofErr w:type="spellStart"/>
      <w:r w:rsidRPr="000E4FE6">
        <w:rPr>
          <w:rFonts w:ascii="Times New Roman" w:hAnsi="Times New Roman" w:cs="Times New Roman"/>
          <w:sz w:val="24"/>
          <w:szCs w:val="24"/>
          <w:lang w:val="es-ES_tradnl"/>
        </w:rPr>
        <w:t>Swinbourne</w:t>
      </w:r>
      <w:proofErr w:type="spellEnd"/>
      <w:r w:rsidRPr="000E4FE6">
        <w:rPr>
          <w:rFonts w:ascii="Times New Roman" w:hAnsi="Times New Roman" w:cs="Times New Roman"/>
          <w:sz w:val="24"/>
          <w:szCs w:val="24"/>
          <w:lang w:val="es-ES_tradnl"/>
        </w:rPr>
        <w:t xml:space="preserve">, J., … </w:t>
      </w:r>
      <w:proofErr w:type="spellStart"/>
      <w:r w:rsidRPr="000E4FE6">
        <w:rPr>
          <w:rFonts w:ascii="Times New Roman" w:hAnsi="Times New Roman" w:cs="Times New Roman"/>
          <w:sz w:val="24"/>
          <w:szCs w:val="24"/>
        </w:rPr>
        <w:t>Claudino</w:t>
      </w:r>
      <w:proofErr w:type="spellEnd"/>
      <w:r w:rsidRPr="000E4FE6">
        <w:rPr>
          <w:rFonts w:ascii="Times New Roman" w:hAnsi="Times New Roman" w:cs="Times New Roman"/>
          <w:sz w:val="24"/>
          <w:szCs w:val="24"/>
        </w:rPr>
        <w:t>, A. (2015). Comparing cognitive behavioural therapy for eating disorders integrated with behavioural weight loss therapy to cognitive behavioural therapy-enhanced alone in overweight or obese people with bulimia nervosa or binge eating disorder: study protocol for a randomised controlled trial. </w:t>
      </w:r>
      <w:r w:rsidRPr="000E4FE6">
        <w:rPr>
          <w:rFonts w:ascii="Times New Roman" w:hAnsi="Times New Roman" w:cs="Times New Roman"/>
          <w:i/>
          <w:sz w:val="24"/>
          <w:szCs w:val="24"/>
        </w:rPr>
        <w:t>Trials</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 578. https://doi.org/10.1186/s13063-015-1079-1</w:t>
      </w:r>
    </w:p>
    <w:p w14:paraId="00000E5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Palma, J.-A., and </w:t>
      </w:r>
      <w:proofErr w:type="spellStart"/>
      <w:r w:rsidRPr="000E4FE6">
        <w:rPr>
          <w:rFonts w:ascii="Times New Roman" w:hAnsi="Times New Roman" w:cs="Times New Roman"/>
          <w:sz w:val="24"/>
          <w:szCs w:val="24"/>
        </w:rPr>
        <w:t>Iriarte</w:t>
      </w:r>
      <w:proofErr w:type="spellEnd"/>
      <w:r w:rsidRPr="000E4FE6">
        <w:rPr>
          <w:rFonts w:ascii="Times New Roman" w:hAnsi="Times New Roman" w:cs="Times New Roman"/>
          <w:sz w:val="24"/>
          <w:szCs w:val="24"/>
        </w:rPr>
        <w:t xml:space="preserve">, J. (2012). </w:t>
      </w:r>
      <w:r w:rsidRPr="000E4FE6">
        <w:rPr>
          <w:rFonts w:ascii="Times New Roman" w:hAnsi="Times New Roman" w:cs="Times New Roman"/>
          <w:sz w:val="24"/>
          <w:szCs w:val="24"/>
          <w:lang w:val="es-ES_tradnl"/>
        </w:rPr>
        <w:t>Regulación del apetito: bases neuroendocrinas e implicaciones clínicas. </w:t>
      </w:r>
      <w:proofErr w:type="spellStart"/>
      <w:r w:rsidRPr="000E4FE6">
        <w:rPr>
          <w:rFonts w:ascii="Times New Roman" w:hAnsi="Times New Roman" w:cs="Times New Roman"/>
          <w:i/>
          <w:sz w:val="24"/>
          <w:szCs w:val="24"/>
        </w:rPr>
        <w:t>Medicina</w:t>
      </w:r>
      <w:proofErr w:type="spellEnd"/>
      <w:r w:rsidRPr="000E4FE6">
        <w:rPr>
          <w:rFonts w:ascii="Times New Roman" w:hAnsi="Times New Roman" w:cs="Times New Roman"/>
          <w:i/>
          <w:sz w:val="24"/>
          <w:szCs w:val="24"/>
        </w:rPr>
        <w:t xml:space="preserve"> </w:t>
      </w:r>
      <w:proofErr w:type="spellStart"/>
      <w:r w:rsidRPr="000E4FE6">
        <w:rPr>
          <w:rFonts w:ascii="Times New Roman" w:hAnsi="Times New Roman" w:cs="Times New Roman"/>
          <w:i/>
          <w:sz w:val="24"/>
          <w:szCs w:val="24"/>
        </w:rPr>
        <w:t>Clínica</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139</w:t>
      </w:r>
      <w:r w:rsidRPr="000E4FE6">
        <w:rPr>
          <w:rFonts w:ascii="Times New Roman" w:hAnsi="Times New Roman" w:cs="Times New Roman"/>
          <w:sz w:val="24"/>
          <w:szCs w:val="24"/>
        </w:rPr>
        <w:t>(2), 70–75. https://doi.org/10.1016/j.medcli.2011.11.024</w:t>
      </w:r>
    </w:p>
    <w:p w14:paraId="00000E5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Panda, S. (2016). Circadian physiology of metabolism. </w:t>
      </w:r>
      <w:r w:rsidRPr="000E4FE6">
        <w:rPr>
          <w:rFonts w:ascii="Times New Roman" w:hAnsi="Times New Roman" w:cs="Times New Roman"/>
          <w:i/>
          <w:sz w:val="24"/>
          <w:szCs w:val="24"/>
        </w:rPr>
        <w:t>Science</w:t>
      </w:r>
      <w:r w:rsidRPr="000E4FE6">
        <w:rPr>
          <w:rFonts w:ascii="Times New Roman" w:hAnsi="Times New Roman" w:cs="Times New Roman"/>
          <w:sz w:val="24"/>
          <w:szCs w:val="24"/>
        </w:rPr>
        <w:t>, </w:t>
      </w:r>
      <w:r w:rsidRPr="000E4FE6">
        <w:rPr>
          <w:rFonts w:ascii="Times New Roman" w:hAnsi="Times New Roman" w:cs="Times New Roman"/>
          <w:i/>
          <w:sz w:val="24"/>
          <w:szCs w:val="24"/>
        </w:rPr>
        <w:t>354</w:t>
      </w:r>
      <w:r w:rsidRPr="000E4FE6">
        <w:rPr>
          <w:rFonts w:ascii="Times New Roman" w:hAnsi="Times New Roman" w:cs="Times New Roman"/>
          <w:sz w:val="24"/>
          <w:szCs w:val="24"/>
        </w:rPr>
        <w:t>(6315), 1008–1015. https://doi.org/10.1126/science.aah4967</w:t>
      </w:r>
    </w:p>
    <w:p w14:paraId="00000E5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Paoli, A., Tinsley, G., Bianco, A., and Moro, T. (2019). The influence of meal frequency and timing on health in humans: the role of fasting.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(4). https://doi.org/10.3390/nu11040719</w:t>
      </w:r>
    </w:p>
    <w:p w14:paraId="00000E5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Parekh, P. K., and McClung, C. A. (2015). Circadian Mechanisms Underlying Reward-Related Neurophysiology and Synaptic Plasticity. </w:t>
      </w:r>
      <w:r w:rsidRPr="000E4FE6">
        <w:rPr>
          <w:rFonts w:ascii="Times New Roman" w:hAnsi="Times New Roman" w:cs="Times New Roman"/>
          <w:i/>
          <w:sz w:val="24"/>
          <w:szCs w:val="24"/>
        </w:rPr>
        <w:t>Frontiers in Psychiatry</w:t>
      </w:r>
      <w:r w:rsidRPr="000E4FE6">
        <w:rPr>
          <w:rFonts w:ascii="Times New Roman" w:hAnsi="Times New Roman" w:cs="Times New Roman"/>
          <w:sz w:val="24"/>
          <w:szCs w:val="24"/>
        </w:rPr>
        <w:t>, </w:t>
      </w:r>
      <w:r w:rsidRPr="000E4FE6">
        <w:rPr>
          <w:rFonts w:ascii="Times New Roman" w:hAnsi="Times New Roman" w:cs="Times New Roman"/>
          <w:i/>
          <w:sz w:val="24"/>
          <w:szCs w:val="24"/>
        </w:rPr>
        <w:t>6</w:t>
      </w:r>
      <w:r w:rsidRPr="000E4FE6">
        <w:rPr>
          <w:rFonts w:ascii="Times New Roman" w:hAnsi="Times New Roman" w:cs="Times New Roman"/>
          <w:sz w:val="24"/>
          <w:szCs w:val="24"/>
        </w:rPr>
        <w:t>, 187. https://doi.org/10.3389/fpsyt.2015.00187</w:t>
      </w:r>
    </w:p>
    <w:p w14:paraId="00000E5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Patterson, F., Malone, S. K., Lozano, A., </w:t>
      </w:r>
      <w:proofErr w:type="spellStart"/>
      <w:r w:rsidRPr="000E4FE6">
        <w:rPr>
          <w:rFonts w:ascii="Times New Roman" w:hAnsi="Times New Roman" w:cs="Times New Roman"/>
          <w:sz w:val="24"/>
          <w:szCs w:val="24"/>
        </w:rPr>
        <w:t>Grandner</w:t>
      </w:r>
      <w:proofErr w:type="spellEnd"/>
      <w:r w:rsidRPr="000E4FE6">
        <w:rPr>
          <w:rFonts w:ascii="Times New Roman" w:hAnsi="Times New Roman" w:cs="Times New Roman"/>
          <w:sz w:val="24"/>
          <w:szCs w:val="24"/>
        </w:rPr>
        <w:t xml:space="preserve">, M. A., and Hanlon, A. L. (2016). Smoking, Screen-Based Sedentary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and Diet Associated with Habitual Sleep Duration and Chronotype: Data from the UK Biobank. </w:t>
      </w:r>
      <w:r w:rsidRPr="000E4FE6">
        <w:rPr>
          <w:rFonts w:ascii="Times New Roman" w:hAnsi="Times New Roman" w:cs="Times New Roman"/>
          <w:i/>
          <w:sz w:val="24"/>
          <w:szCs w:val="24"/>
        </w:rPr>
        <w:t xml:space="preserve">Annals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50</w:t>
      </w:r>
      <w:r w:rsidRPr="000E4FE6">
        <w:rPr>
          <w:rFonts w:ascii="Times New Roman" w:hAnsi="Times New Roman" w:cs="Times New Roman"/>
          <w:sz w:val="24"/>
          <w:szCs w:val="24"/>
        </w:rPr>
        <w:t>(5), 715–726. https://doi.org/10.1007/s12160-016-9797-5</w:t>
      </w:r>
    </w:p>
    <w:p w14:paraId="00000E5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Pekkarinen</w:t>
      </w:r>
      <w:proofErr w:type="spellEnd"/>
      <w:r w:rsidRPr="000E4FE6">
        <w:rPr>
          <w:rFonts w:ascii="Times New Roman" w:hAnsi="Times New Roman" w:cs="Times New Roman"/>
          <w:sz w:val="24"/>
          <w:szCs w:val="24"/>
        </w:rPr>
        <w:t xml:space="preserve">, T., </w:t>
      </w:r>
      <w:proofErr w:type="spellStart"/>
      <w:r w:rsidRPr="000E4FE6">
        <w:rPr>
          <w:rFonts w:ascii="Times New Roman" w:hAnsi="Times New Roman" w:cs="Times New Roman"/>
          <w:sz w:val="24"/>
          <w:szCs w:val="24"/>
        </w:rPr>
        <w:t>Takala</w:t>
      </w:r>
      <w:proofErr w:type="spellEnd"/>
      <w:r w:rsidRPr="000E4FE6">
        <w:rPr>
          <w:rFonts w:ascii="Times New Roman" w:hAnsi="Times New Roman" w:cs="Times New Roman"/>
          <w:sz w:val="24"/>
          <w:szCs w:val="24"/>
        </w:rPr>
        <w:t xml:space="preserve">, I., and </w:t>
      </w:r>
      <w:proofErr w:type="spellStart"/>
      <w:r w:rsidRPr="000E4FE6">
        <w:rPr>
          <w:rFonts w:ascii="Times New Roman" w:hAnsi="Times New Roman" w:cs="Times New Roman"/>
          <w:sz w:val="24"/>
          <w:szCs w:val="24"/>
        </w:rPr>
        <w:t>Mustajoki</w:t>
      </w:r>
      <w:proofErr w:type="spellEnd"/>
      <w:r w:rsidRPr="000E4FE6">
        <w:rPr>
          <w:rFonts w:ascii="Times New Roman" w:hAnsi="Times New Roman" w:cs="Times New Roman"/>
          <w:sz w:val="24"/>
          <w:szCs w:val="24"/>
        </w:rPr>
        <w:t xml:space="preserve">, P. (1996). </w:t>
      </w:r>
      <w:proofErr w:type="gramStart"/>
      <w:r w:rsidRPr="000E4FE6">
        <w:rPr>
          <w:rFonts w:ascii="Times New Roman" w:hAnsi="Times New Roman" w:cs="Times New Roman"/>
          <w:sz w:val="24"/>
          <w:szCs w:val="24"/>
        </w:rPr>
        <w:t>Two year</w:t>
      </w:r>
      <w:proofErr w:type="gramEnd"/>
      <w:r w:rsidRPr="000E4FE6">
        <w:rPr>
          <w:rFonts w:ascii="Times New Roman" w:hAnsi="Times New Roman" w:cs="Times New Roman"/>
          <w:sz w:val="24"/>
          <w:szCs w:val="24"/>
        </w:rPr>
        <w:t xml:space="preserve"> maintenance of weight loss after a VLCD and behavioural therapy for obesity: correlation to the scores of questionnaires measuring eating behaviour.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20</w:t>
      </w:r>
      <w:r w:rsidRPr="000E4FE6">
        <w:rPr>
          <w:rFonts w:ascii="Times New Roman" w:hAnsi="Times New Roman" w:cs="Times New Roman"/>
          <w:sz w:val="24"/>
          <w:szCs w:val="24"/>
        </w:rPr>
        <w:t>(4), 332–337.</w:t>
      </w:r>
    </w:p>
    <w:p w14:paraId="00000E5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Pelchat, M L. (1997). Food cravings in young and elderly adults.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(2), 103–113. https://doi.org/10.1006/appe.1996.0063</w:t>
      </w:r>
    </w:p>
    <w:p w14:paraId="00000E5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Pelchat, Marcia Levin, Johnson, A., Chan, R., Valdez, J., and Ragland, J. D. (2004). Images of desire: food-craving activation during fMRI. </w:t>
      </w:r>
      <w:r w:rsidRPr="000E4FE6">
        <w:rPr>
          <w:rFonts w:ascii="Times New Roman" w:hAnsi="Times New Roman" w:cs="Times New Roman"/>
          <w:i/>
          <w:sz w:val="24"/>
          <w:szCs w:val="24"/>
        </w:rPr>
        <w:t>Neuroimage</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(4), 1486–1493. https://doi.org/10.1016/j.neuroimage.2004.08.023</w:t>
      </w:r>
    </w:p>
    <w:p w14:paraId="00000E5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Pendergast</w:t>
      </w:r>
      <w:proofErr w:type="spellEnd"/>
      <w:r w:rsidRPr="000E4FE6">
        <w:rPr>
          <w:rFonts w:ascii="Times New Roman" w:hAnsi="Times New Roman" w:cs="Times New Roman"/>
          <w:sz w:val="24"/>
          <w:szCs w:val="24"/>
        </w:rPr>
        <w:t xml:space="preserve">, F. J., </w:t>
      </w:r>
      <w:proofErr w:type="spellStart"/>
      <w:r w:rsidRPr="000E4FE6">
        <w:rPr>
          <w:rFonts w:ascii="Times New Roman" w:hAnsi="Times New Roman" w:cs="Times New Roman"/>
          <w:sz w:val="24"/>
          <w:szCs w:val="24"/>
        </w:rPr>
        <w:t>Ridgers</w:t>
      </w:r>
      <w:proofErr w:type="spellEnd"/>
      <w:r w:rsidRPr="000E4FE6">
        <w:rPr>
          <w:rFonts w:ascii="Times New Roman" w:hAnsi="Times New Roman" w:cs="Times New Roman"/>
          <w:sz w:val="24"/>
          <w:szCs w:val="24"/>
        </w:rPr>
        <w:t>, N. D., Worsley, A., and McNaughton, S. A. (2017). Evaluation of a smartphone food diary application using objectively measured energy expenditure. </w:t>
      </w:r>
      <w:r w:rsidRPr="000E4FE6">
        <w:rPr>
          <w:rFonts w:ascii="Times New Roman" w:hAnsi="Times New Roman" w:cs="Times New Roman"/>
          <w:i/>
          <w:sz w:val="24"/>
          <w:szCs w:val="24"/>
        </w:rPr>
        <w:t xml:space="preserve">The International Journal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Nutrition and Physical Activity</w:t>
      </w:r>
      <w:r w:rsidRPr="000E4FE6">
        <w:rPr>
          <w:rFonts w:ascii="Times New Roman" w:hAnsi="Times New Roman" w:cs="Times New Roman"/>
          <w:sz w:val="24"/>
          <w:szCs w:val="24"/>
        </w:rPr>
        <w:t>, </w:t>
      </w:r>
      <w:r w:rsidRPr="000E4FE6">
        <w:rPr>
          <w:rFonts w:ascii="Times New Roman" w:hAnsi="Times New Roman" w:cs="Times New Roman"/>
          <w:i/>
          <w:sz w:val="24"/>
          <w:szCs w:val="24"/>
        </w:rPr>
        <w:t>14</w:t>
      </w:r>
      <w:r w:rsidRPr="000E4FE6">
        <w:rPr>
          <w:rFonts w:ascii="Times New Roman" w:hAnsi="Times New Roman" w:cs="Times New Roman"/>
          <w:sz w:val="24"/>
          <w:szCs w:val="24"/>
        </w:rPr>
        <w:t>(1), 30. https://doi.org/10.1186/s12966-017-0488-9</w:t>
      </w:r>
    </w:p>
    <w:p w14:paraId="00000E6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Pérez-Martínez, P., </w:t>
      </w:r>
      <w:proofErr w:type="spellStart"/>
      <w:r w:rsidRPr="000E4FE6">
        <w:rPr>
          <w:rFonts w:ascii="Times New Roman" w:hAnsi="Times New Roman" w:cs="Times New Roman"/>
          <w:sz w:val="24"/>
          <w:szCs w:val="24"/>
          <w:lang w:val="es-ES_tradnl"/>
        </w:rPr>
        <w:t>Mikhailidis</w:t>
      </w:r>
      <w:proofErr w:type="spellEnd"/>
      <w:r w:rsidRPr="000E4FE6">
        <w:rPr>
          <w:rFonts w:ascii="Times New Roman" w:hAnsi="Times New Roman" w:cs="Times New Roman"/>
          <w:sz w:val="24"/>
          <w:szCs w:val="24"/>
          <w:lang w:val="es-ES_tradnl"/>
        </w:rPr>
        <w:t xml:space="preserve">, D. P., </w:t>
      </w:r>
      <w:proofErr w:type="spellStart"/>
      <w:r w:rsidRPr="000E4FE6">
        <w:rPr>
          <w:rFonts w:ascii="Times New Roman" w:hAnsi="Times New Roman" w:cs="Times New Roman"/>
          <w:sz w:val="24"/>
          <w:szCs w:val="24"/>
          <w:lang w:val="es-ES_tradnl"/>
        </w:rPr>
        <w:t>Athyros</w:t>
      </w:r>
      <w:proofErr w:type="spellEnd"/>
      <w:r w:rsidRPr="000E4FE6">
        <w:rPr>
          <w:rFonts w:ascii="Times New Roman" w:hAnsi="Times New Roman" w:cs="Times New Roman"/>
          <w:sz w:val="24"/>
          <w:szCs w:val="24"/>
          <w:lang w:val="es-ES_tradnl"/>
        </w:rPr>
        <w:t xml:space="preserve">, V. G., Bullo, M., Couture, P., Covas, M. I., … </w:t>
      </w:r>
      <w:r w:rsidRPr="000E4FE6">
        <w:rPr>
          <w:rFonts w:ascii="Times New Roman" w:hAnsi="Times New Roman" w:cs="Times New Roman"/>
          <w:sz w:val="24"/>
          <w:szCs w:val="24"/>
        </w:rPr>
        <w:t>López-Miranda, J. (2017). Lifestyle recommendations for the prevention and management of metabolic syndrome: an international panel recommendation. </w:t>
      </w:r>
      <w:r w:rsidRPr="000E4FE6">
        <w:rPr>
          <w:rFonts w:ascii="Times New Roman" w:hAnsi="Times New Roman" w:cs="Times New Roman"/>
          <w:i/>
          <w:sz w:val="24"/>
          <w:szCs w:val="24"/>
        </w:rPr>
        <w:t>Nutrition Reviews</w:t>
      </w:r>
      <w:r w:rsidRPr="000E4FE6">
        <w:rPr>
          <w:rFonts w:ascii="Times New Roman" w:hAnsi="Times New Roman" w:cs="Times New Roman"/>
          <w:sz w:val="24"/>
          <w:szCs w:val="24"/>
        </w:rPr>
        <w:t>, </w:t>
      </w:r>
      <w:r w:rsidRPr="000E4FE6">
        <w:rPr>
          <w:rFonts w:ascii="Times New Roman" w:hAnsi="Times New Roman" w:cs="Times New Roman"/>
          <w:i/>
          <w:sz w:val="24"/>
          <w:szCs w:val="24"/>
        </w:rPr>
        <w:t>75</w:t>
      </w:r>
      <w:r w:rsidRPr="000E4FE6">
        <w:rPr>
          <w:rFonts w:ascii="Times New Roman" w:hAnsi="Times New Roman" w:cs="Times New Roman"/>
          <w:sz w:val="24"/>
          <w:szCs w:val="24"/>
        </w:rPr>
        <w:t>(5), 307–326. https://doi.org/10.1093/nutrit/nux014</w:t>
      </w:r>
    </w:p>
    <w:p w14:paraId="00000E61" w14:textId="33C3D6EE" w:rsidR="00CB4215"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Peters, B., </w:t>
      </w:r>
      <w:proofErr w:type="spellStart"/>
      <w:r w:rsidRPr="000E4FE6">
        <w:rPr>
          <w:rFonts w:ascii="Times New Roman" w:hAnsi="Times New Roman" w:cs="Times New Roman"/>
          <w:sz w:val="24"/>
          <w:szCs w:val="24"/>
        </w:rPr>
        <w:t>Vahlhaus</w:t>
      </w:r>
      <w:proofErr w:type="spellEnd"/>
      <w:r w:rsidRPr="000E4FE6">
        <w:rPr>
          <w:rFonts w:ascii="Times New Roman" w:hAnsi="Times New Roman" w:cs="Times New Roman"/>
          <w:sz w:val="24"/>
          <w:szCs w:val="24"/>
        </w:rPr>
        <w:t xml:space="preserve">, J., and </w:t>
      </w:r>
      <w:proofErr w:type="spellStart"/>
      <w:r w:rsidRPr="000E4FE6">
        <w:rPr>
          <w:rFonts w:ascii="Times New Roman" w:hAnsi="Times New Roman" w:cs="Times New Roman"/>
          <w:sz w:val="24"/>
          <w:szCs w:val="24"/>
        </w:rPr>
        <w:t>Pivovarova-Ramich</w:t>
      </w:r>
      <w:proofErr w:type="spellEnd"/>
      <w:r w:rsidRPr="000E4FE6">
        <w:rPr>
          <w:rFonts w:ascii="Times New Roman" w:hAnsi="Times New Roman" w:cs="Times New Roman"/>
          <w:sz w:val="24"/>
          <w:szCs w:val="24"/>
        </w:rPr>
        <w:t>, O. (2024). Meal timing and its role in obesity and associated diseases. </w:t>
      </w:r>
      <w:r w:rsidRPr="000E4FE6">
        <w:rPr>
          <w:rFonts w:ascii="Times New Roman" w:hAnsi="Times New Roman" w:cs="Times New Roman"/>
          <w:i/>
          <w:sz w:val="24"/>
          <w:szCs w:val="24"/>
        </w:rPr>
        <w:t>Frontiers in Endocrinology</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 xml:space="preserve">, 1359772. </w:t>
      </w:r>
      <w:hyperlink r:id="rId831" w:history="1">
        <w:r w:rsidR="00743AE7" w:rsidRPr="00CB0261">
          <w:rPr>
            <w:rStyle w:val="Hyperlink"/>
            <w:rFonts w:ascii="Times New Roman" w:hAnsi="Times New Roman" w:cs="Times New Roman"/>
            <w:sz w:val="24"/>
            <w:szCs w:val="24"/>
          </w:rPr>
          <w:t>https://doi.org/10.3389/fendo.2024.1359772</w:t>
        </w:r>
      </w:hyperlink>
    </w:p>
    <w:p w14:paraId="2F424812" w14:textId="23C37D05" w:rsidR="00743AE7" w:rsidRPr="000E4FE6" w:rsidRDefault="00743AE7">
      <w:pPr>
        <w:spacing w:line="480" w:lineRule="auto"/>
        <w:ind w:left="737" w:hanging="720"/>
        <w:jc w:val="both"/>
        <w:rPr>
          <w:rFonts w:ascii="Times New Roman" w:hAnsi="Times New Roman" w:cs="Times New Roman"/>
          <w:sz w:val="24"/>
          <w:szCs w:val="24"/>
        </w:rPr>
      </w:pPr>
      <w:r w:rsidRPr="00743AE7">
        <w:rPr>
          <w:rFonts w:ascii="Times New Roman" w:hAnsi="Times New Roman" w:cs="Times New Roman"/>
          <w:sz w:val="24"/>
          <w:szCs w:val="24"/>
        </w:rPr>
        <w:t xml:space="preserve">Peters, M. D. J., Godfrey, C. M., Khalil, H., </w:t>
      </w:r>
      <w:proofErr w:type="spellStart"/>
      <w:r w:rsidRPr="00743AE7">
        <w:rPr>
          <w:rFonts w:ascii="Times New Roman" w:hAnsi="Times New Roman" w:cs="Times New Roman"/>
          <w:sz w:val="24"/>
          <w:szCs w:val="24"/>
        </w:rPr>
        <w:t>McInerney</w:t>
      </w:r>
      <w:proofErr w:type="spellEnd"/>
      <w:r w:rsidRPr="00743AE7">
        <w:rPr>
          <w:rFonts w:ascii="Times New Roman" w:hAnsi="Times New Roman" w:cs="Times New Roman"/>
          <w:sz w:val="24"/>
          <w:szCs w:val="24"/>
        </w:rPr>
        <w:t>, P., Parker, D., and Soares, C. B. (2015). Guidance for conducting systematic scoping reviews. International Journal of Evidence-Based Healthcare, 13(3), 141–146. https://doi.org/10.1097/XEB.0000000000000050</w:t>
      </w:r>
    </w:p>
    <w:p w14:paraId="00000E6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Phelan, S. (2010). Pregnancy: a “teachable moment” for weight control and obesity prevention. </w:t>
      </w:r>
      <w:r w:rsidRPr="000E4FE6">
        <w:rPr>
          <w:rFonts w:ascii="Times New Roman" w:hAnsi="Times New Roman" w:cs="Times New Roman"/>
          <w:i/>
          <w:sz w:val="24"/>
          <w:szCs w:val="24"/>
        </w:rPr>
        <w:t xml:space="preserve">American Journal of Obstetrics and </w:t>
      </w:r>
      <w:proofErr w:type="spellStart"/>
      <w:r w:rsidRPr="000E4FE6">
        <w:rPr>
          <w:rFonts w:ascii="Times New Roman" w:hAnsi="Times New Roman" w:cs="Times New Roman"/>
          <w:i/>
          <w:sz w:val="24"/>
          <w:szCs w:val="24"/>
        </w:rPr>
        <w:t>Gynecology</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202</w:t>
      </w:r>
      <w:r w:rsidRPr="000E4FE6">
        <w:rPr>
          <w:rFonts w:ascii="Times New Roman" w:hAnsi="Times New Roman" w:cs="Times New Roman"/>
          <w:sz w:val="24"/>
          <w:szCs w:val="24"/>
        </w:rPr>
        <w:t>(2), 135.e1-8. https://doi.org/10.1016/j.ajog.2009.06.008</w:t>
      </w:r>
    </w:p>
    <w:p w14:paraId="00000E6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Picciano</w:t>
      </w:r>
      <w:proofErr w:type="spellEnd"/>
      <w:r w:rsidRPr="000E4FE6">
        <w:rPr>
          <w:rFonts w:ascii="Times New Roman" w:hAnsi="Times New Roman" w:cs="Times New Roman"/>
          <w:sz w:val="24"/>
          <w:szCs w:val="24"/>
        </w:rPr>
        <w:t>, M. F. (2003). Pregnancy and lactation: physiological adjustments, nutritional requirements and the role of dietary supplements. </w:t>
      </w:r>
      <w:r w:rsidRPr="000E4FE6">
        <w:rPr>
          <w:rFonts w:ascii="Times New Roman" w:hAnsi="Times New Roman" w:cs="Times New Roman"/>
          <w:i/>
          <w:sz w:val="24"/>
          <w:szCs w:val="24"/>
        </w:rPr>
        <w:t>The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133</w:t>
      </w:r>
      <w:r w:rsidRPr="000E4FE6">
        <w:rPr>
          <w:rFonts w:ascii="Times New Roman" w:hAnsi="Times New Roman" w:cs="Times New Roman"/>
          <w:sz w:val="24"/>
          <w:szCs w:val="24"/>
        </w:rPr>
        <w:t>(6), 1997S-2002S. https://doi.org/10.1093/jn/133.6.1997S</w:t>
      </w:r>
    </w:p>
    <w:p w14:paraId="00000E6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Piernas</w:t>
      </w:r>
      <w:proofErr w:type="spellEnd"/>
      <w:r w:rsidRPr="000E4FE6">
        <w:rPr>
          <w:rFonts w:ascii="Times New Roman" w:hAnsi="Times New Roman" w:cs="Times New Roman"/>
          <w:sz w:val="24"/>
          <w:szCs w:val="24"/>
        </w:rPr>
        <w:t>, C., and Popkin, B. M. (2010a). Snacking increased among U.S. adults between 1977 and 2006. </w:t>
      </w:r>
      <w:r w:rsidRPr="000E4FE6">
        <w:rPr>
          <w:rFonts w:ascii="Times New Roman" w:hAnsi="Times New Roman" w:cs="Times New Roman"/>
          <w:i/>
          <w:sz w:val="24"/>
          <w:szCs w:val="24"/>
        </w:rPr>
        <w:t>The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140</w:t>
      </w:r>
      <w:r w:rsidRPr="000E4FE6">
        <w:rPr>
          <w:rFonts w:ascii="Times New Roman" w:hAnsi="Times New Roman" w:cs="Times New Roman"/>
          <w:sz w:val="24"/>
          <w:szCs w:val="24"/>
        </w:rPr>
        <w:t>(2), 325–332. https://doi.org/10.3945/jn.109.112763</w:t>
      </w:r>
    </w:p>
    <w:p w14:paraId="00000E6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Piernas</w:t>
      </w:r>
      <w:proofErr w:type="spellEnd"/>
      <w:r w:rsidRPr="000E4FE6">
        <w:rPr>
          <w:rFonts w:ascii="Times New Roman" w:hAnsi="Times New Roman" w:cs="Times New Roman"/>
          <w:sz w:val="24"/>
          <w:szCs w:val="24"/>
        </w:rPr>
        <w:t>, C., and Popkin, B. M. (2010b). Trends in snacking among U.S. children. </w:t>
      </w:r>
      <w:r w:rsidRPr="000E4FE6">
        <w:rPr>
          <w:rFonts w:ascii="Times New Roman" w:hAnsi="Times New Roman" w:cs="Times New Roman"/>
          <w:i/>
          <w:sz w:val="24"/>
          <w:szCs w:val="24"/>
        </w:rPr>
        <w:t>Health Affairs (Project Hope)</w:t>
      </w:r>
      <w:r w:rsidRPr="000E4FE6">
        <w:rPr>
          <w:rFonts w:ascii="Times New Roman" w:hAnsi="Times New Roman" w:cs="Times New Roman"/>
          <w:sz w:val="24"/>
          <w:szCs w:val="24"/>
        </w:rPr>
        <w:t>, </w:t>
      </w:r>
      <w:r w:rsidRPr="000E4FE6">
        <w:rPr>
          <w:rFonts w:ascii="Times New Roman" w:hAnsi="Times New Roman" w:cs="Times New Roman"/>
          <w:i/>
          <w:sz w:val="24"/>
          <w:szCs w:val="24"/>
        </w:rPr>
        <w:t>29</w:t>
      </w:r>
      <w:r w:rsidRPr="000E4FE6">
        <w:rPr>
          <w:rFonts w:ascii="Times New Roman" w:hAnsi="Times New Roman" w:cs="Times New Roman"/>
          <w:sz w:val="24"/>
          <w:szCs w:val="24"/>
        </w:rPr>
        <w:t>(3), 398–404. https://doi.org/10.1377/hlthaff.2009.0666</w:t>
      </w:r>
    </w:p>
    <w:p w14:paraId="00000E66" w14:textId="77777777" w:rsidR="00CB4215" w:rsidRPr="000E4FE6" w:rsidRDefault="000530B4">
      <w:pPr>
        <w:spacing w:line="480" w:lineRule="auto"/>
        <w:ind w:left="737" w:hanging="720"/>
        <w:jc w:val="both"/>
        <w:rPr>
          <w:rFonts w:ascii="Times New Roman" w:hAnsi="Times New Roman" w:cs="Times New Roman"/>
          <w:sz w:val="24"/>
          <w:szCs w:val="24"/>
          <w:lang w:val="es-ES_tradnl"/>
        </w:rPr>
      </w:pPr>
      <w:r w:rsidRPr="000E4FE6">
        <w:rPr>
          <w:rFonts w:ascii="Times New Roman" w:hAnsi="Times New Roman" w:cs="Times New Roman"/>
          <w:sz w:val="24"/>
          <w:szCs w:val="24"/>
        </w:rPr>
        <w:t>Pinto, E., Barros, H., and Santos Silva, I. dos. (2009). Dietary intake and nutritional adequacy prior to conception and during pregnancy: a follow-up study in the north of Portugal. </w:t>
      </w:r>
      <w:proofErr w:type="spellStart"/>
      <w:r w:rsidRPr="000E4FE6">
        <w:rPr>
          <w:rFonts w:ascii="Times New Roman" w:hAnsi="Times New Roman" w:cs="Times New Roman"/>
          <w:i/>
          <w:sz w:val="24"/>
          <w:szCs w:val="24"/>
          <w:lang w:val="es-ES_tradnl"/>
        </w:rPr>
        <w:t>Public</w:t>
      </w:r>
      <w:proofErr w:type="spellEnd"/>
      <w:r w:rsidRPr="000E4FE6">
        <w:rPr>
          <w:rFonts w:ascii="Times New Roman" w:hAnsi="Times New Roman" w:cs="Times New Roman"/>
          <w:i/>
          <w:sz w:val="24"/>
          <w:szCs w:val="24"/>
          <w:lang w:val="es-ES_tradnl"/>
        </w:rPr>
        <w:t xml:space="preserve"> </w:t>
      </w:r>
      <w:proofErr w:type="spellStart"/>
      <w:r w:rsidRPr="000E4FE6">
        <w:rPr>
          <w:rFonts w:ascii="Times New Roman" w:hAnsi="Times New Roman" w:cs="Times New Roman"/>
          <w:i/>
          <w:sz w:val="24"/>
          <w:szCs w:val="24"/>
          <w:lang w:val="es-ES_tradnl"/>
        </w:rPr>
        <w:t>Health</w:t>
      </w:r>
      <w:proofErr w:type="spellEnd"/>
      <w:r w:rsidRPr="000E4FE6">
        <w:rPr>
          <w:rFonts w:ascii="Times New Roman" w:hAnsi="Times New Roman" w:cs="Times New Roman"/>
          <w:i/>
          <w:sz w:val="24"/>
          <w:szCs w:val="24"/>
          <w:lang w:val="es-ES_tradnl"/>
        </w:rPr>
        <w:t xml:space="preserve"> </w:t>
      </w:r>
      <w:proofErr w:type="spellStart"/>
      <w:r w:rsidRPr="000E4FE6">
        <w:rPr>
          <w:rFonts w:ascii="Times New Roman" w:hAnsi="Times New Roman" w:cs="Times New Roman"/>
          <w:i/>
          <w:sz w:val="24"/>
          <w:szCs w:val="24"/>
          <w:lang w:val="es-ES_tradnl"/>
        </w:rPr>
        <w:t>Nutrition</w:t>
      </w:r>
      <w:proofErr w:type="spellEnd"/>
      <w:r w:rsidRPr="000E4FE6">
        <w:rPr>
          <w:rFonts w:ascii="Times New Roman" w:hAnsi="Times New Roman" w:cs="Times New Roman"/>
          <w:sz w:val="24"/>
          <w:szCs w:val="24"/>
          <w:lang w:val="es-ES_tradnl"/>
        </w:rPr>
        <w:t>, </w:t>
      </w:r>
      <w:r w:rsidRPr="000E4FE6">
        <w:rPr>
          <w:rFonts w:ascii="Times New Roman" w:hAnsi="Times New Roman" w:cs="Times New Roman"/>
          <w:i/>
          <w:sz w:val="24"/>
          <w:szCs w:val="24"/>
          <w:lang w:val="es-ES_tradnl"/>
        </w:rPr>
        <w:t>12</w:t>
      </w:r>
      <w:r w:rsidRPr="000E4FE6">
        <w:rPr>
          <w:rFonts w:ascii="Times New Roman" w:hAnsi="Times New Roman" w:cs="Times New Roman"/>
          <w:sz w:val="24"/>
          <w:szCs w:val="24"/>
          <w:lang w:val="es-ES_tradnl"/>
        </w:rPr>
        <w:t>(7), 922–931. https://doi.org/10.1017/S1368980008003595</w:t>
      </w:r>
    </w:p>
    <w:p w14:paraId="00000E6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Pla-</w:t>
      </w:r>
      <w:proofErr w:type="spellStart"/>
      <w:r w:rsidRPr="000E4FE6">
        <w:rPr>
          <w:rFonts w:ascii="Times New Roman" w:hAnsi="Times New Roman" w:cs="Times New Roman"/>
          <w:sz w:val="24"/>
          <w:szCs w:val="24"/>
          <w:lang w:val="es-ES_tradnl"/>
        </w:rPr>
        <w:t>Sanjuanelo</w:t>
      </w:r>
      <w:proofErr w:type="spellEnd"/>
      <w:r w:rsidRPr="000E4FE6">
        <w:rPr>
          <w:rFonts w:ascii="Times New Roman" w:hAnsi="Times New Roman" w:cs="Times New Roman"/>
          <w:sz w:val="24"/>
          <w:szCs w:val="24"/>
          <w:lang w:val="es-ES_tradnl"/>
        </w:rPr>
        <w:t xml:space="preserve">, J., Ferrer-García, M., Gutiérrez-Maldonado, J., Riva, G., Andreu-Gracia, A., </w:t>
      </w:r>
      <w:proofErr w:type="spellStart"/>
      <w:r w:rsidRPr="000E4FE6">
        <w:rPr>
          <w:rFonts w:ascii="Times New Roman" w:hAnsi="Times New Roman" w:cs="Times New Roman"/>
          <w:sz w:val="24"/>
          <w:szCs w:val="24"/>
          <w:lang w:val="es-ES_tradnl"/>
        </w:rPr>
        <w:t>Dakanalis</w:t>
      </w:r>
      <w:proofErr w:type="spellEnd"/>
      <w:r w:rsidRPr="000E4FE6">
        <w:rPr>
          <w:rFonts w:ascii="Times New Roman" w:hAnsi="Times New Roman" w:cs="Times New Roman"/>
          <w:sz w:val="24"/>
          <w:szCs w:val="24"/>
          <w:lang w:val="es-ES_tradnl"/>
        </w:rPr>
        <w:t xml:space="preserve">, A., … </w:t>
      </w:r>
      <w:r w:rsidRPr="000E4FE6">
        <w:rPr>
          <w:rFonts w:ascii="Times New Roman" w:hAnsi="Times New Roman" w:cs="Times New Roman"/>
          <w:sz w:val="24"/>
          <w:szCs w:val="24"/>
        </w:rPr>
        <w:t>Sanchez-</w:t>
      </w:r>
      <w:proofErr w:type="spellStart"/>
      <w:r w:rsidRPr="000E4FE6">
        <w:rPr>
          <w:rFonts w:ascii="Times New Roman" w:hAnsi="Times New Roman" w:cs="Times New Roman"/>
          <w:sz w:val="24"/>
          <w:szCs w:val="24"/>
        </w:rPr>
        <w:t>Planell</w:t>
      </w:r>
      <w:proofErr w:type="spellEnd"/>
      <w:r w:rsidRPr="000E4FE6">
        <w:rPr>
          <w:rFonts w:ascii="Times New Roman" w:hAnsi="Times New Roman" w:cs="Times New Roman"/>
          <w:sz w:val="24"/>
          <w:szCs w:val="24"/>
        </w:rPr>
        <w:t xml:space="preserve">, L. (2015). Identifying specific cues and contexts related to bingeing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for the development of effective virtual environments.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87</w:t>
      </w:r>
      <w:r w:rsidRPr="000E4FE6">
        <w:rPr>
          <w:rFonts w:ascii="Times New Roman" w:hAnsi="Times New Roman" w:cs="Times New Roman"/>
          <w:sz w:val="24"/>
          <w:szCs w:val="24"/>
        </w:rPr>
        <w:t>, 81–89. https://doi.org/10.1016/j.appet.2014.12.098</w:t>
      </w:r>
    </w:p>
    <w:p w14:paraId="00000E6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Plasqui</w:t>
      </w:r>
      <w:proofErr w:type="spellEnd"/>
      <w:r w:rsidRPr="000E4FE6">
        <w:rPr>
          <w:rFonts w:ascii="Times New Roman" w:hAnsi="Times New Roman" w:cs="Times New Roman"/>
          <w:sz w:val="24"/>
          <w:szCs w:val="24"/>
        </w:rPr>
        <w:t xml:space="preserve">, G., and </w:t>
      </w:r>
      <w:proofErr w:type="spellStart"/>
      <w:r w:rsidRPr="000E4FE6">
        <w:rPr>
          <w:rFonts w:ascii="Times New Roman" w:hAnsi="Times New Roman" w:cs="Times New Roman"/>
          <w:sz w:val="24"/>
          <w:szCs w:val="24"/>
        </w:rPr>
        <w:t>Westerterp</w:t>
      </w:r>
      <w:proofErr w:type="spellEnd"/>
      <w:r w:rsidRPr="000E4FE6">
        <w:rPr>
          <w:rFonts w:ascii="Times New Roman" w:hAnsi="Times New Roman" w:cs="Times New Roman"/>
          <w:sz w:val="24"/>
          <w:szCs w:val="24"/>
        </w:rPr>
        <w:t xml:space="preserve">, K. R. (2007). Physical activity assessment with accelerometers: an evaluation against doubly </w:t>
      </w:r>
      <w:proofErr w:type="spellStart"/>
      <w:r w:rsidRPr="000E4FE6">
        <w:rPr>
          <w:rFonts w:ascii="Times New Roman" w:hAnsi="Times New Roman" w:cs="Times New Roman"/>
          <w:sz w:val="24"/>
          <w:szCs w:val="24"/>
        </w:rPr>
        <w:t>labeled</w:t>
      </w:r>
      <w:proofErr w:type="spellEnd"/>
      <w:r w:rsidRPr="000E4FE6">
        <w:rPr>
          <w:rFonts w:ascii="Times New Roman" w:hAnsi="Times New Roman" w:cs="Times New Roman"/>
          <w:sz w:val="24"/>
          <w:szCs w:val="24"/>
        </w:rPr>
        <w:t xml:space="preserve"> water.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(10), 2371–2379. https://doi.org/10.1038/oby.2007.281</w:t>
      </w:r>
    </w:p>
    <w:p w14:paraId="00000E6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Poggiogalle</w:t>
      </w:r>
      <w:proofErr w:type="spellEnd"/>
      <w:r w:rsidRPr="000E4FE6">
        <w:rPr>
          <w:rFonts w:ascii="Times New Roman" w:hAnsi="Times New Roman" w:cs="Times New Roman"/>
          <w:sz w:val="24"/>
          <w:szCs w:val="24"/>
        </w:rPr>
        <w:t>, E., Jamshed, H., and Peterson, C. M. (2018). Circadian regulation of glucose, lipid, and energy metabolism in humans. </w:t>
      </w:r>
      <w:r w:rsidRPr="000E4FE6">
        <w:rPr>
          <w:rFonts w:ascii="Times New Roman" w:hAnsi="Times New Roman" w:cs="Times New Roman"/>
          <w:i/>
          <w:sz w:val="24"/>
          <w:szCs w:val="24"/>
        </w:rPr>
        <w:t>Metabolism: Clinical and Experimental</w:t>
      </w:r>
      <w:r w:rsidRPr="000E4FE6">
        <w:rPr>
          <w:rFonts w:ascii="Times New Roman" w:hAnsi="Times New Roman" w:cs="Times New Roman"/>
          <w:sz w:val="24"/>
          <w:szCs w:val="24"/>
        </w:rPr>
        <w:t>, </w:t>
      </w:r>
      <w:r w:rsidRPr="000E4FE6">
        <w:rPr>
          <w:rFonts w:ascii="Times New Roman" w:hAnsi="Times New Roman" w:cs="Times New Roman"/>
          <w:i/>
          <w:sz w:val="24"/>
          <w:szCs w:val="24"/>
        </w:rPr>
        <w:t>84</w:t>
      </w:r>
      <w:r w:rsidRPr="000E4FE6">
        <w:rPr>
          <w:rFonts w:ascii="Times New Roman" w:hAnsi="Times New Roman" w:cs="Times New Roman"/>
          <w:sz w:val="24"/>
          <w:szCs w:val="24"/>
        </w:rPr>
        <w:t>, 11–27. https://doi.org/10.1016/j.metabol.2017.11.017</w:t>
      </w:r>
    </w:p>
    <w:p w14:paraId="00000E6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Pot, G K, Hardy, R., and Stephen, A. M. (2014). Irregular consumption of energy intake in meals is associated with a higher cardiometabolic risk in adults of a British birth cohort.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38</w:t>
      </w:r>
      <w:r w:rsidRPr="000E4FE6">
        <w:rPr>
          <w:rFonts w:ascii="Times New Roman" w:hAnsi="Times New Roman" w:cs="Times New Roman"/>
          <w:sz w:val="24"/>
          <w:szCs w:val="24"/>
        </w:rPr>
        <w:t>(12), 1518–1524. https://doi.org/10.1038/ijo.2014.51</w:t>
      </w:r>
    </w:p>
    <w:p w14:paraId="00000E6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Pot, Gerda K, Hardy, R., and Stephen, A. M. (2016). Irregularity of energy intake at meals: prospective associations with the metabolic syndrome in adults of the 1946 British birth cohort.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115</w:t>
      </w:r>
      <w:r w:rsidRPr="000E4FE6">
        <w:rPr>
          <w:rFonts w:ascii="Times New Roman" w:hAnsi="Times New Roman" w:cs="Times New Roman"/>
          <w:sz w:val="24"/>
          <w:szCs w:val="24"/>
        </w:rPr>
        <w:t>(2), 315–323. https://doi.org/10.1017/S0007114515004407</w:t>
      </w:r>
    </w:p>
    <w:p w14:paraId="00000E6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Prentice, A. M., and </w:t>
      </w:r>
      <w:proofErr w:type="spellStart"/>
      <w:r w:rsidRPr="000E4FE6">
        <w:rPr>
          <w:rFonts w:ascii="Times New Roman" w:hAnsi="Times New Roman" w:cs="Times New Roman"/>
          <w:sz w:val="24"/>
          <w:szCs w:val="24"/>
        </w:rPr>
        <w:t>Jebb</w:t>
      </w:r>
      <w:proofErr w:type="spellEnd"/>
      <w:r w:rsidRPr="000E4FE6">
        <w:rPr>
          <w:rFonts w:ascii="Times New Roman" w:hAnsi="Times New Roman" w:cs="Times New Roman"/>
          <w:sz w:val="24"/>
          <w:szCs w:val="24"/>
        </w:rPr>
        <w:t>, S. A. (1995). Obesity in Britain: gluttony or sloth? </w:t>
      </w:r>
      <w:r w:rsidRPr="000E4FE6">
        <w:rPr>
          <w:rFonts w:ascii="Times New Roman" w:hAnsi="Times New Roman" w:cs="Times New Roman"/>
          <w:i/>
          <w:sz w:val="24"/>
          <w:szCs w:val="24"/>
        </w:rPr>
        <w:t>BMJ (Clinical Research Ed.)</w:t>
      </w:r>
      <w:r w:rsidRPr="000E4FE6">
        <w:rPr>
          <w:rFonts w:ascii="Times New Roman" w:hAnsi="Times New Roman" w:cs="Times New Roman"/>
          <w:sz w:val="24"/>
          <w:szCs w:val="24"/>
        </w:rPr>
        <w:t>, </w:t>
      </w:r>
      <w:r w:rsidRPr="000E4FE6">
        <w:rPr>
          <w:rFonts w:ascii="Times New Roman" w:hAnsi="Times New Roman" w:cs="Times New Roman"/>
          <w:i/>
          <w:sz w:val="24"/>
          <w:szCs w:val="24"/>
        </w:rPr>
        <w:t>311</w:t>
      </w:r>
      <w:r w:rsidRPr="000E4FE6">
        <w:rPr>
          <w:rFonts w:ascii="Times New Roman" w:hAnsi="Times New Roman" w:cs="Times New Roman"/>
          <w:sz w:val="24"/>
          <w:szCs w:val="24"/>
        </w:rPr>
        <w:t>(7002), 437–439.</w:t>
      </w:r>
    </w:p>
    <w:p w14:paraId="00000E6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Prentice, A. M., and </w:t>
      </w:r>
      <w:proofErr w:type="spellStart"/>
      <w:r w:rsidRPr="000E4FE6">
        <w:rPr>
          <w:rFonts w:ascii="Times New Roman" w:hAnsi="Times New Roman" w:cs="Times New Roman"/>
          <w:sz w:val="24"/>
          <w:szCs w:val="24"/>
        </w:rPr>
        <w:t>Jebb</w:t>
      </w:r>
      <w:proofErr w:type="spellEnd"/>
      <w:r w:rsidRPr="000E4FE6">
        <w:rPr>
          <w:rFonts w:ascii="Times New Roman" w:hAnsi="Times New Roman" w:cs="Times New Roman"/>
          <w:sz w:val="24"/>
          <w:szCs w:val="24"/>
        </w:rPr>
        <w:t>, S. A. (2001). Beyond body mass index.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2</w:t>
      </w:r>
      <w:r w:rsidRPr="000E4FE6">
        <w:rPr>
          <w:rFonts w:ascii="Times New Roman" w:hAnsi="Times New Roman" w:cs="Times New Roman"/>
          <w:sz w:val="24"/>
          <w:szCs w:val="24"/>
        </w:rPr>
        <w:t>(3), 141–147. https://doi.org/10.1046/j.1467-789x.2001.00031.x</w:t>
      </w:r>
    </w:p>
    <w:p w14:paraId="00000E6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Prince, S. A., Adamo, K. B., Hamel, M. E., Hardt, J., Connor </w:t>
      </w:r>
      <w:proofErr w:type="spellStart"/>
      <w:r w:rsidRPr="000E4FE6">
        <w:rPr>
          <w:rFonts w:ascii="Times New Roman" w:hAnsi="Times New Roman" w:cs="Times New Roman"/>
          <w:sz w:val="24"/>
          <w:szCs w:val="24"/>
        </w:rPr>
        <w:t>Gorber</w:t>
      </w:r>
      <w:proofErr w:type="spellEnd"/>
      <w:r w:rsidRPr="000E4FE6">
        <w:rPr>
          <w:rFonts w:ascii="Times New Roman" w:hAnsi="Times New Roman" w:cs="Times New Roman"/>
          <w:sz w:val="24"/>
          <w:szCs w:val="24"/>
        </w:rPr>
        <w:t>, S., and Tremblay, M. (2008). A comparison of direct versus self-report measures for assessing physical activity in adults: a systematic review. </w:t>
      </w:r>
      <w:r w:rsidRPr="000E4FE6">
        <w:rPr>
          <w:rFonts w:ascii="Times New Roman" w:hAnsi="Times New Roman" w:cs="Times New Roman"/>
          <w:i/>
          <w:sz w:val="24"/>
          <w:szCs w:val="24"/>
        </w:rPr>
        <w:t xml:space="preserve">The International Journal of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Nutrition and Physical Activity</w:t>
      </w:r>
      <w:r w:rsidRPr="000E4FE6">
        <w:rPr>
          <w:rFonts w:ascii="Times New Roman" w:hAnsi="Times New Roman" w:cs="Times New Roman"/>
          <w:sz w:val="24"/>
          <w:szCs w:val="24"/>
        </w:rPr>
        <w:t>, </w:t>
      </w:r>
      <w:r w:rsidRPr="000E4FE6">
        <w:rPr>
          <w:rFonts w:ascii="Times New Roman" w:hAnsi="Times New Roman" w:cs="Times New Roman"/>
          <w:i/>
          <w:sz w:val="24"/>
          <w:szCs w:val="24"/>
        </w:rPr>
        <w:t>5</w:t>
      </w:r>
      <w:r w:rsidRPr="000E4FE6">
        <w:rPr>
          <w:rFonts w:ascii="Times New Roman" w:hAnsi="Times New Roman" w:cs="Times New Roman"/>
          <w:sz w:val="24"/>
          <w:szCs w:val="24"/>
        </w:rPr>
        <w:t>, 56. https://doi.org/10.1186/1479-5868-5-56</w:t>
      </w:r>
    </w:p>
    <w:p w14:paraId="00000E6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Privitera</w:t>
      </w:r>
      <w:proofErr w:type="spellEnd"/>
      <w:r w:rsidRPr="000E4FE6">
        <w:rPr>
          <w:rFonts w:ascii="Times New Roman" w:hAnsi="Times New Roman" w:cs="Times New Roman"/>
          <w:sz w:val="24"/>
          <w:szCs w:val="24"/>
        </w:rPr>
        <w:t xml:space="preserve">, G. J., and </w:t>
      </w:r>
      <w:proofErr w:type="spellStart"/>
      <w:r w:rsidRPr="000E4FE6">
        <w:rPr>
          <w:rFonts w:ascii="Times New Roman" w:hAnsi="Times New Roman" w:cs="Times New Roman"/>
          <w:sz w:val="24"/>
          <w:szCs w:val="24"/>
        </w:rPr>
        <w:t>Zuraikat</w:t>
      </w:r>
      <w:proofErr w:type="spellEnd"/>
      <w:r w:rsidRPr="000E4FE6">
        <w:rPr>
          <w:rFonts w:ascii="Times New Roman" w:hAnsi="Times New Roman" w:cs="Times New Roman"/>
          <w:sz w:val="24"/>
          <w:szCs w:val="24"/>
        </w:rPr>
        <w:t>, F. M. (2014). Proximity of foods in a competitive food environment influences consumption of a low calorie and a high calorie food.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76</w:t>
      </w:r>
      <w:r w:rsidRPr="000E4FE6">
        <w:rPr>
          <w:rFonts w:ascii="Times New Roman" w:hAnsi="Times New Roman" w:cs="Times New Roman"/>
          <w:sz w:val="24"/>
          <w:szCs w:val="24"/>
        </w:rPr>
        <w:t>, 175–179. https://doi.org/10.1016/j.appet.2014.02.004</w:t>
      </w:r>
    </w:p>
    <w:p w14:paraId="00000E7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Provencher, V., Drapeau, V., Tremblay, A., </w:t>
      </w:r>
      <w:proofErr w:type="spellStart"/>
      <w:r w:rsidRPr="000E4FE6">
        <w:rPr>
          <w:rFonts w:ascii="Times New Roman" w:hAnsi="Times New Roman" w:cs="Times New Roman"/>
          <w:sz w:val="24"/>
          <w:szCs w:val="24"/>
        </w:rPr>
        <w:t>Després</w:t>
      </w:r>
      <w:proofErr w:type="spellEnd"/>
      <w:r w:rsidRPr="000E4FE6">
        <w:rPr>
          <w:rFonts w:ascii="Times New Roman" w:hAnsi="Times New Roman" w:cs="Times New Roman"/>
          <w:sz w:val="24"/>
          <w:szCs w:val="24"/>
        </w:rPr>
        <w:t>, J.-P., Bouchard, C., Lemieux, S., and Québec Family Study. (2004). Eating behaviours, dietary profile and body composition according to dieting history in men and women of the Québec Family Study.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91</w:t>
      </w:r>
      <w:r w:rsidRPr="000E4FE6">
        <w:rPr>
          <w:rFonts w:ascii="Times New Roman" w:hAnsi="Times New Roman" w:cs="Times New Roman"/>
          <w:sz w:val="24"/>
          <w:szCs w:val="24"/>
        </w:rPr>
        <w:t>(6), 997–1004. https://doi.org/10.1079/BJN20041115</w:t>
      </w:r>
    </w:p>
    <w:p w14:paraId="00000E7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Provencher, V., Drapeau, V., Tremblay, A., </w:t>
      </w:r>
      <w:proofErr w:type="spellStart"/>
      <w:r w:rsidRPr="000E4FE6">
        <w:rPr>
          <w:rFonts w:ascii="Times New Roman" w:hAnsi="Times New Roman" w:cs="Times New Roman"/>
          <w:sz w:val="24"/>
          <w:szCs w:val="24"/>
        </w:rPr>
        <w:t>Després</w:t>
      </w:r>
      <w:proofErr w:type="spellEnd"/>
      <w:r w:rsidRPr="000E4FE6">
        <w:rPr>
          <w:rFonts w:ascii="Times New Roman" w:hAnsi="Times New Roman" w:cs="Times New Roman"/>
          <w:sz w:val="24"/>
          <w:szCs w:val="24"/>
        </w:rPr>
        <w:t xml:space="preserve">, J.-P., and Lemieux, S. (2003). Eating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and indexes of body composition in men and women from the Québec family study. </w:t>
      </w:r>
      <w:r w:rsidRPr="000E4FE6">
        <w:rPr>
          <w:rFonts w:ascii="Times New Roman" w:hAnsi="Times New Roman" w:cs="Times New Roman"/>
          <w:i/>
          <w:sz w:val="24"/>
          <w:szCs w:val="24"/>
        </w:rPr>
        <w:t>Obesity Research</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(6), 783–792. https://doi.org/10.1038/oby.2003.109</w:t>
      </w:r>
    </w:p>
    <w:p w14:paraId="00000E7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Puhl</w:t>
      </w:r>
      <w:proofErr w:type="spellEnd"/>
      <w:r w:rsidRPr="000E4FE6">
        <w:rPr>
          <w:rFonts w:ascii="Times New Roman" w:hAnsi="Times New Roman" w:cs="Times New Roman"/>
          <w:sz w:val="24"/>
          <w:szCs w:val="24"/>
        </w:rPr>
        <w:t>, R. M., and Heuer, C. A. (2009). The stigma of obesity: a review and update.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17</w:t>
      </w:r>
      <w:r w:rsidRPr="000E4FE6">
        <w:rPr>
          <w:rFonts w:ascii="Times New Roman" w:hAnsi="Times New Roman" w:cs="Times New Roman"/>
          <w:sz w:val="24"/>
          <w:szCs w:val="24"/>
        </w:rPr>
        <w:t>(5), 941–964. https://doi.org/10.1038/oby.2008.636</w:t>
      </w:r>
    </w:p>
    <w:p w14:paraId="00000E7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Puhl</w:t>
      </w:r>
      <w:proofErr w:type="spellEnd"/>
      <w:r w:rsidRPr="000E4FE6">
        <w:rPr>
          <w:rFonts w:ascii="Times New Roman" w:hAnsi="Times New Roman" w:cs="Times New Roman"/>
          <w:sz w:val="24"/>
          <w:szCs w:val="24"/>
        </w:rPr>
        <w:t xml:space="preserve">, R. M., and </w:t>
      </w:r>
      <w:proofErr w:type="spellStart"/>
      <w:r w:rsidRPr="000E4FE6">
        <w:rPr>
          <w:rFonts w:ascii="Times New Roman" w:hAnsi="Times New Roman" w:cs="Times New Roman"/>
          <w:sz w:val="24"/>
          <w:szCs w:val="24"/>
        </w:rPr>
        <w:t>Latner</w:t>
      </w:r>
      <w:proofErr w:type="spellEnd"/>
      <w:r w:rsidRPr="000E4FE6">
        <w:rPr>
          <w:rFonts w:ascii="Times New Roman" w:hAnsi="Times New Roman" w:cs="Times New Roman"/>
          <w:sz w:val="24"/>
          <w:szCs w:val="24"/>
        </w:rPr>
        <w:t>, J. D. (2007). Stigma, obesity, and the health of the nation’s children. </w:t>
      </w:r>
      <w:r w:rsidRPr="000E4FE6">
        <w:rPr>
          <w:rFonts w:ascii="Times New Roman" w:hAnsi="Times New Roman" w:cs="Times New Roman"/>
          <w:i/>
          <w:sz w:val="24"/>
          <w:szCs w:val="24"/>
        </w:rPr>
        <w:t>Psychological Bulletin</w:t>
      </w:r>
      <w:r w:rsidRPr="000E4FE6">
        <w:rPr>
          <w:rFonts w:ascii="Times New Roman" w:hAnsi="Times New Roman" w:cs="Times New Roman"/>
          <w:sz w:val="24"/>
          <w:szCs w:val="24"/>
        </w:rPr>
        <w:t>, </w:t>
      </w:r>
      <w:r w:rsidRPr="000E4FE6">
        <w:rPr>
          <w:rFonts w:ascii="Times New Roman" w:hAnsi="Times New Roman" w:cs="Times New Roman"/>
          <w:i/>
          <w:sz w:val="24"/>
          <w:szCs w:val="24"/>
        </w:rPr>
        <w:t>133</w:t>
      </w:r>
      <w:r w:rsidRPr="000E4FE6">
        <w:rPr>
          <w:rFonts w:ascii="Times New Roman" w:hAnsi="Times New Roman" w:cs="Times New Roman"/>
          <w:sz w:val="24"/>
          <w:szCs w:val="24"/>
        </w:rPr>
        <w:t>(4), 557–580. https://doi.org/10.1037/0033-2909.133.4.557</w:t>
      </w:r>
    </w:p>
    <w:p w14:paraId="00000E7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Pursey</w:t>
      </w:r>
      <w:proofErr w:type="spellEnd"/>
      <w:r w:rsidRPr="000E4FE6">
        <w:rPr>
          <w:rFonts w:ascii="Times New Roman" w:hAnsi="Times New Roman" w:cs="Times New Roman"/>
          <w:sz w:val="24"/>
          <w:szCs w:val="24"/>
        </w:rPr>
        <w:t xml:space="preserve">, K. M., Stanwell, P., Callister, R. J., Brain, K., Collins, C. E., and Burrows, T. L. (2014). Neural responses to visual food cues according to weight status: a systematic review of </w:t>
      </w:r>
      <w:r w:rsidRPr="000E4FE6">
        <w:rPr>
          <w:rFonts w:ascii="Times New Roman" w:hAnsi="Times New Roman" w:cs="Times New Roman"/>
          <w:sz w:val="24"/>
          <w:szCs w:val="24"/>
        </w:rPr>
        <w:lastRenderedPageBreak/>
        <w:t>functional magnetic resonance imaging studies. </w:t>
      </w:r>
      <w:r w:rsidRPr="000E4FE6">
        <w:rPr>
          <w:rFonts w:ascii="Times New Roman" w:hAnsi="Times New Roman" w:cs="Times New Roman"/>
          <w:i/>
          <w:sz w:val="24"/>
          <w:szCs w:val="24"/>
        </w:rPr>
        <w:t>Frontiers in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w:t>
      </w:r>
      <w:r w:rsidRPr="000E4FE6">
        <w:rPr>
          <w:rFonts w:ascii="Times New Roman" w:hAnsi="Times New Roman" w:cs="Times New Roman"/>
          <w:sz w:val="24"/>
          <w:szCs w:val="24"/>
        </w:rPr>
        <w:t>, 7. https://doi.org/10.3389/fnut.2014.00007</w:t>
      </w:r>
    </w:p>
    <w:p w14:paraId="00000E7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Qian, J., Morris, C. J., Caputo, R., </w:t>
      </w:r>
      <w:proofErr w:type="spellStart"/>
      <w:r w:rsidRPr="000E4FE6">
        <w:rPr>
          <w:rFonts w:ascii="Times New Roman" w:hAnsi="Times New Roman" w:cs="Times New Roman"/>
          <w:sz w:val="24"/>
          <w:szCs w:val="24"/>
        </w:rPr>
        <w:t>Garaulet</w:t>
      </w:r>
      <w:proofErr w:type="spellEnd"/>
      <w:r w:rsidRPr="000E4FE6">
        <w:rPr>
          <w:rFonts w:ascii="Times New Roman" w:hAnsi="Times New Roman" w:cs="Times New Roman"/>
          <w:sz w:val="24"/>
          <w:szCs w:val="24"/>
        </w:rPr>
        <w:t>, M., and Scheer, F. A. J. L. (2019). Ghrelin is impacted by the endogenous circadian system and by circadian misalignment in humans.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43</w:t>
      </w:r>
      <w:r w:rsidRPr="000E4FE6">
        <w:rPr>
          <w:rFonts w:ascii="Times New Roman" w:hAnsi="Times New Roman" w:cs="Times New Roman"/>
          <w:sz w:val="24"/>
          <w:szCs w:val="24"/>
        </w:rPr>
        <w:t>(8), 1644–1649. https://doi.org/10.1038/s41366-018-0208-9</w:t>
      </w:r>
    </w:p>
    <w:p w14:paraId="00000E7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Qian, J., and Scheer, F. A. J. L. (2020). Sex-dependent link between circadian misalignment and adiposity. </w:t>
      </w:r>
      <w:r w:rsidRPr="000E4FE6">
        <w:rPr>
          <w:rFonts w:ascii="Times New Roman" w:hAnsi="Times New Roman" w:cs="Times New Roman"/>
          <w:i/>
          <w:sz w:val="24"/>
          <w:szCs w:val="24"/>
        </w:rPr>
        <w:t>Nature Reviews. Endocrinology</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(1), 13–15. https://doi.org/10.1038/s41574-019-0293-4</w:t>
      </w:r>
    </w:p>
    <w:p w14:paraId="00000E7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Rad, M. S., </w:t>
      </w:r>
      <w:proofErr w:type="spellStart"/>
      <w:r w:rsidRPr="000E4FE6">
        <w:rPr>
          <w:rFonts w:ascii="Times New Roman" w:hAnsi="Times New Roman" w:cs="Times New Roman"/>
          <w:sz w:val="24"/>
          <w:szCs w:val="24"/>
        </w:rPr>
        <w:t>Martingano</w:t>
      </w:r>
      <w:proofErr w:type="spellEnd"/>
      <w:r w:rsidRPr="000E4FE6">
        <w:rPr>
          <w:rFonts w:ascii="Times New Roman" w:hAnsi="Times New Roman" w:cs="Times New Roman"/>
          <w:sz w:val="24"/>
          <w:szCs w:val="24"/>
        </w:rPr>
        <w:t xml:space="preserve">, A. J., and </w:t>
      </w:r>
      <w:proofErr w:type="spellStart"/>
      <w:r w:rsidRPr="000E4FE6">
        <w:rPr>
          <w:rFonts w:ascii="Times New Roman" w:hAnsi="Times New Roman" w:cs="Times New Roman"/>
          <w:sz w:val="24"/>
          <w:szCs w:val="24"/>
        </w:rPr>
        <w:t>Ginges</w:t>
      </w:r>
      <w:proofErr w:type="spellEnd"/>
      <w:r w:rsidRPr="000E4FE6">
        <w:rPr>
          <w:rFonts w:ascii="Times New Roman" w:hAnsi="Times New Roman" w:cs="Times New Roman"/>
          <w:sz w:val="24"/>
          <w:szCs w:val="24"/>
        </w:rPr>
        <w:t>, J. (2018). Toward a psychology of Homo sapiens: Making psychological science more representative of the human population. </w:t>
      </w:r>
      <w:r w:rsidRPr="000E4FE6">
        <w:rPr>
          <w:rFonts w:ascii="Times New Roman" w:hAnsi="Times New Roman" w:cs="Times New Roman"/>
          <w:i/>
          <w:sz w:val="24"/>
          <w:szCs w:val="24"/>
        </w:rPr>
        <w:t>Proceedings of the National Academy of Sciences of the United States of America</w:t>
      </w:r>
      <w:r w:rsidRPr="000E4FE6">
        <w:rPr>
          <w:rFonts w:ascii="Times New Roman" w:hAnsi="Times New Roman" w:cs="Times New Roman"/>
          <w:sz w:val="24"/>
          <w:szCs w:val="24"/>
        </w:rPr>
        <w:t>, </w:t>
      </w:r>
      <w:r w:rsidRPr="000E4FE6">
        <w:rPr>
          <w:rFonts w:ascii="Times New Roman" w:hAnsi="Times New Roman" w:cs="Times New Roman"/>
          <w:i/>
          <w:sz w:val="24"/>
          <w:szCs w:val="24"/>
        </w:rPr>
        <w:t>115</w:t>
      </w:r>
      <w:r w:rsidRPr="000E4FE6">
        <w:rPr>
          <w:rFonts w:ascii="Times New Roman" w:hAnsi="Times New Roman" w:cs="Times New Roman"/>
          <w:sz w:val="24"/>
          <w:szCs w:val="24"/>
        </w:rPr>
        <w:t>(45), 11401–11405. https://doi.org/10.1073/pnas.1721165115</w:t>
      </w:r>
    </w:p>
    <w:p w14:paraId="00000E7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Rammensee</w:t>
      </w:r>
      <w:proofErr w:type="spellEnd"/>
      <w:r w:rsidRPr="000E4FE6">
        <w:rPr>
          <w:rFonts w:ascii="Times New Roman" w:hAnsi="Times New Roman" w:cs="Times New Roman"/>
          <w:sz w:val="24"/>
          <w:szCs w:val="24"/>
        </w:rPr>
        <w:t xml:space="preserve">, R. A., </w:t>
      </w:r>
      <w:proofErr w:type="spellStart"/>
      <w:r w:rsidRPr="000E4FE6">
        <w:rPr>
          <w:rFonts w:ascii="Times New Roman" w:hAnsi="Times New Roman" w:cs="Times New Roman"/>
          <w:sz w:val="24"/>
          <w:szCs w:val="24"/>
        </w:rPr>
        <w:t>Morawetz</w:t>
      </w:r>
      <w:proofErr w:type="spellEnd"/>
      <w:r w:rsidRPr="000E4FE6">
        <w:rPr>
          <w:rFonts w:ascii="Times New Roman" w:hAnsi="Times New Roman" w:cs="Times New Roman"/>
          <w:sz w:val="24"/>
          <w:szCs w:val="24"/>
        </w:rPr>
        <w:t xml:space="preserve">, C., and </w:t>
      </w:r>
      <w:proofErr w:type="spellStart"/>
      <w:r w:rsidRPr="000E4FE6">
        <w:rPr>
          <w:rFonts w:ascii="Times New Roman" w:hAnsi="Times New Roman" w:cs="Times New Roman"/>
          <w:sz w:val="24"/>
          <w:szCs w:val="24"/>
        </w:rPr>
        <w:t>Basten</w:t>
      </w:r>
      <w:proofErr w:type="spellEnd"/>
      <w:r w:rsidRPr="000E4FE6">
        <w:rPr>
          <w:rFonts w:ascii="Times New Roman" w:hAnsi="Times New Roman" w:cs="Times New Roman"/>
          <w:sz w:val="24"/>
          <w:szCs w:val="24"/>
        </w:rPr>
        <w:t>, U. (2023). Individual differences in emotion regulation: Personal tendency in strategy selection is related to implementation capacity and well-being. </w:t>
      </w:r>
      <w:r w:rsidRPr="000E4FE6">
        <w:rPr>
          <w:rFonts w:ascii="Times New Roman" w:hAnsi="Times New Roman" w:cs="Times New Roman"/>
          <w:i/>
          <w:sz w:val="24"/>
          <w:szCs w:val="24"/>
        </w:rPr>
        <w:t>Emotion</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(8), 2331–2343. https://doi.org/10.1037/emo0001234</w:t>
      </w:r>
    </w:p>
    <w:p w14:paraId="00000E7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Ravelli</w:t>
      </w:r>
      <w:proofErr w:type="spellEnd"/>
      <w:r w:rsidRPr="000E4FE6">
        <w:rPr>
          <w:rFonts w:ascii="Times New Roman" w:hAnsi="Times New Roman" w:cs="Times New Roman"/>
          <w:sz w:val="24"/>
          <w:szCs w:val="24"/>
        </w:rPr>
        <w:t xml:space="preserve">, M. N., and </w:t>
      </w:r>
      <w:proofErr w:type="spellStart"/>
      <w:r w:rsidRPr="000E4FE6">
        <w:rPr>
          <w:rFonts w:ascii="Times New Roman" w:hAnsi="Times New Roman" w:cs="Times New Roman"/>
          <w:sz w:val="24"/>
          <w:szCs w:val="24"/>
        </w:rPr>
        <w:t>Schoeller</w:t>
      </w:r>
      <w:proofErr w:type="spellEnd"/>
      <w:r w:rsidRPr="000E4FE6">
        <w:rPr>
          <w:rFonts w:ascii="Times New Roman" w:hAnsi="Times New Roman" w:cs="Times New Roman"/>
          <w:sz w:val="24"/>
          <w:szCs w:val="24"/>
        </w:rPr>
        <w:t>, D. A. (2020). Traditional Self-Reported Dietary Instruments Are Prone to Inaccuracies and New Approaches Are Needed. </w:t>
      </w:r>
      <w:r w:rsidRPr="000E4FE6">
        <w:rPr>
          <w:rFonts w:ascii="Times New Roman" w:hAnsi="Times New Roman" w:cs="Times New Roman"/>
          <w:i/>
          <w:sz w:val="24"/>
          <w:szCs w:val="24"/>
        </w:rPr>
        <w:t>Frontiers in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 90. https://doi.org/10.3389/fnut.2020.00090</w:t>
      </w:r>
    </w:p>
    <w:p w14:paraId="00000E7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Ravussin</w:t>
      </w:r>
      <w:proofErr w:type="spellEnd"/>
      <w:r w:rsidRPr="000E4FE6">
        <w:rPr>
          <w:rFonts w:ascii="Times New Roman" w:hAnsi="Times New Roman" w:cs="Times New Roman"/>
          <w:sz w:val="24"/>
          <w:szCs w:val="24"/>
        </w:rPr>
        <w:t xml:space="preserve">, E., Acheson, K. J., Vernet, O., </w:t>
      </w:r>
      <w:proofErr w:type="spellStart"/>
      <w:r w:rsidRPr="000E4FE6">
        <w:rPr>
          <w:rFonts w:ascii="Times New Roman" w:hAnsi="Times New Roman" w:cs="Times New Roman"/>
          <w:sz w:val="24"/>
          <w:szCs w:val="24"/>
        </w:rPr>
        <w:t>Danforth</w:t>
      </w:r>
      <w:proofErr w:type="spellEnd"/>
      <w:r w:rsidRPr="000E4FE6">
        <w:rPr>
          <w:rFonts w:ascii="Times New Roman" w:hAnsi="Times New Roman" w:cs="Times New Roman"/>
          <w:sz w:val="24"/>
          <w:szCs w:val="24"/>
        </w:rPr>
        <w:t xml:space="preserve">, E., and </w:t>
      </w:r>
      <w:proofErr w:type="spellStart"/>
      <w:r w:rsidRPr="000E4FE6">
        <w:rPr>
          <w:rFonts w:ascii="Times New Roman" w:hAnsi="Times New Roman" w:cs="Times New Roman"/>
          <w:sz w:val="24"/>
          <w:szCs w:val="24"/>
        </w:rPr>
        <w:t>Jéquier</w:t>
      </w:r>
      <w:proofErr w:type="spellEnd"/>
      <w:r w:rsidRPr="000E4FE6">
        <w:rPr>
          <w:rFonts w:ascii="Times New Roman" w:hAnsi="Times New Roman" w:cs="Times New Roman"/>
          <w:sz w:val="24"/>
          <w:szCs w:val="24"/>
        </w:rPr>
        <w:t>, E. (1985). Evidence that insulin resistance is responsible for the decreased thermic effect of glucose in human obesity. </w:t>
      </w:r>
      <w:r w:rsidRPr="000E4FE6">
        <w:rPr>
          <w:rFonts w:ascii="Times New Roman" w:hAnsi="Times New Roman" w:cs="Times New Roman"/>
          <w:i/>
          <w:sz w:val="24"/>
          <w:szCs w:val="24"/>
        </w:rPr>
        <w:t>The Journal of Clinical Investigation</w:t>
      </w:r>
      <w:r w:rsidRPr="000E4FE6">
        <w:rPr>
          <w:rFonts w:ascii="Times New Roman" w:hAnsi="Times New Roman" w:cs="Times New Roman"/>
          <w:sz w:val="24"/>
          <w:szCs w:val="24"/>
        </w:rPr>
        <w:t>, </w:t>
      </w:r>
      <w:r w:rsidRPr="000E4FE6">
        <w:rPr>
          <w:rFonts w:ascii="Times New Roman" w:hAnsi="Times New Roman" w:cs="Times New Roman"/>
          <w:i/>
          <w:sz w:val="24"/>
          <w:szCs w:val="24"/>
        </w:rPr>
        <w:t>76</w:t>
      </w:r>
      <w:r w:rsidRPr="000E4FE6">
        <w:rPr>
          <w:rFonts w:ascii="Times New Roman" w:hAnsi="Times New Roman" w:cs="Times New Roman"/>
          <w:sz w:val="24"/>
          <w:szCs w:val="24"/>
        </w:rPr>
        <w:t>(3), 1268–1273. https://doi.org/10.1172/JCI112083</w:t>
      </w:r>
    </w:p>
    <w:p w14:paraId="00000E7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Raynor, H. A., Li, F., and Cardoso, C. (2018). Daily pattern of energy distribution and weight loss.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192</w:t>
      </w:r>
      <w:r w:rsidRPr="000E4FE6">
        <w:rPr>
          <w:rFonts w:ascii="Times New Roman" w:hAnsi="Times New Roman" w:cs="Times New Roman"/>
          <w:sz w:val="24"/>
          <w:szCs w:val="24"/>
        </w:rPr>
        <w:t>, 167–172. https://doi.org/10.1016/j.physbeh.2018.02.036</w:t>
      </w:r>
    </w:p>
    <w:p w14:paraId="00000E7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Rebello, C. J., and Greenway, F. L. (2016). Reward-Induced Eating: Therapeutic Approaches to Addressing Food Cravings. </w:t>
      </w:r>
      <w:r w:rsidRPr="000E4FE6">
        <w:rPr>
          <w:rFonts w:ascii="Times New Roman" w:hAnsi="Times New Roman" w:cs="Times New Roman"/>
          <w:i/>
          <w:sz w:val="24"/>
          <w:szCs w:val="24"/>
        </w:rPr>
        <w:t>Advances in Therapy</w:t>
      </w:r>
      <w:r w:rsidRPr="000E4FE6">
        <w:rPr>
          <w:rFonts w:ascii="Times New Roman" w:hAnsi="Times New Roman" w:cs="Times New Roman"/>
          <w:sz w:val="24"/>
          <w:szCs w:val="24"/>
        </w:rPr>
        <w:t>, </w:t>
      </w:r>
      <w:r w:rsidRPr="000E4FE6">
        <w:rPr>
          <w:rFonts w:ascii="Times New Roman" w:hAnsi="Times New Roman" w:cs="Times New Roman"/>
          <w:i/>
          <w:sz w:val="24"/>
          <w:szCs w:val="24"/>
        </w:rPr>
        <w:t>33</w:t>
      </w:r>
      <w:r w:rsidRPr="000E4FE6">
        <w:rPr>
          <w:rFonts w:ascii="Times New Roman" w:hAnsi="Times New Roman" w:cs="Times New Roman"/>
          <w:sz w:val="24"/>
          <w:szCs w:val="24"/>
        </w:rPr>
        <w:t>(11), 1853–1866. https://doi.org/10.1007/s12325-016-0414-6</w:t>
      </w:r>
    </w:p>
    <w:p w14:paraId="00000E7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Reichenberger</w:t>
      </w:r>
      <w:proofErr w:type="spellEnd"/>
      <w:r w:rsidRPr="000E4FE6">
        <w:rPr>
          <w:rFonts w:ascii="Times New Roman" w:hAnsi="Times New Roman" w:cs="Times New Roman"/>
          <w:sz w:val="24"/>
          <w:szCs w:val="24"/>
        </w:rPr>
        <w:t xml:space="preserve">, J., Richard, A., Smyth, J. M., Fischer, D., </w:t>
      </w:r>
      <w:proofErr w:type="spellStart"/>
      <w:r w:rsidRPr="000E4FE6">
        <w:rPr>
          <w:rFonts w:ascii="Times New Roman" w:hAnsi="Times New Roman" w:cs="Times New Roman"/>
          <w:sz w:val="24"/>
          <w:szCs w:val="24"/>
        </w:rPr>
        <w:t>Pollatos</w:t>
      </w:r>
      <w:proofErr w:type="spellEnd"/>
      <w:r w:rsidRPr="000E4FE6">
        <w:rPr>
          <w:rFonts w:ascii="Times New Roman" w:hAnsi="Times New Roman" w:cs="Times New Roman"/>
          <w:sz w:val="24"/>
          <w:szCs w:val="24"/>
        </w:rPr>
        <w:t xml:space="preserve">, O., and </w:t>
      </w:r>
      <w:proofErr w:type="spellStart"/>
      <w:r w:rsidRPr="000E4FE6">
        <w:rPr>
          <w:rFonts w:ascii="Times New Roman" w:hAnsi="Times New Roman" w:cs="Times New Roman"/>
          <w:sz w:val="24"/>
          <w:szCs w:val="24"/>
        </w:rPr>
        <w:t>Blechert</w:t>
      </w:r>
      <w:proofErr w:type="spellEnd"/>
      <w:r w:rsidRPr="000E4FE6">
        <w:rPr>
          <w:rFonts w:ascii="Times New Roman" w:hAnsi="Times New Roman" w:cs="Times New Roman"/>
          <w:sz w:val="24"/>
          <w:szCs w:val="24"/>
        </w:rPr>
        <w:t>, J. (2018). It’s craving time: time of day effects on momentary hunger and food craving in daily life. </w:t>
      </w:r>
      <w:r w:rsidRPr="000E4FE6">
        <w:rPr>
          <w:rFonts w:ascii="Times New Roman" w:hAnsi="Times New Roman" w:cs="Times New Roman"/>
          <w:i/>
          <w:sz w:val="24"/>
          <w:szCs w:val="24"/>
        </w:rPr>
        <w:t>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55–56</w:t>
      </w:r>
      <w:r w:rsidRPr="000E4FE6">
        <w:rPr>
          <w:rFonts w:ascii="Times New Roman" w:hAnsi="Times New Roman" w:cs="Times New Roman"/>
          <w:sz w:val="24"/>
          <w:szCs w:val="24"/>
        </w:rPr>
        <w:t>, 15–20. https://doi.org/10.1016/j.nut.2018.03.048</w:t>
      </w:r>
    </w:p>
    <w:p w14:paraId="00000E7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Reid, K. J., Baron, K. G., and Zee, P. C. (2014). Meal timing influences daily caloric intake in healthy adults. </w:t>
      </w:r>
      <w:r w:rsidRPr="000E4FE6">
        <w:rPr>
          <w:rFonts w:ascii="Times New Roman" w:hAnsi="Times New Roman" w:cs="Times New Roman"/>
          <w:i/>
          <w:sz w:val="24"/>
          <w:szCs w:val="24"/>
        </w:rPr>
        <w:t>Nutrition Research (New York, N.Y.)</w:t>
      </w:r>
      <w:r w:rsidRPr="000E4FE6">
        <w:rPr>
          <w:rFonts w:ascii="Times New Roman" w:hAnsi="Times New Roman" w:cs="Times New Roman"/>
          <w:sz w:val="24"/>
          <w:szCs w:val="24"/>
        </w:rPr>
        <w:t>, </w:t>
      </w:r>
      <w:r w:rsidRPr="000E4FE6">
        <w:rPr>
          <w:rFonts w:ascii="Times New Roman" w:hAnsi="Times New Roman" w:cs="Times New Roman"/>
          <w:i/>
          <w:sz w:val="24"/>
          <w:szCs w:val="24"/>
        </w:rPr>
        <w:t>34</w:t>
      </w:r>
      <w:r w:rsidRPr="000E4FE6">
        <w:rPr>
          <w:rFonts w:ascii="Times New Roman" w:hAnsi="Times New Roman" w:cs="Times New Roman"/>
          <w:sz w:val="24"/>
          <w:szCs w:val="24"/>
        </w:rPr>
        <w:t>(11), 930–935. https://doi.org/10.1016/j.nutres.2014.09.010</w:t>
      </w:r>
    </w:p>
    <w:p w14:paraId="00000E7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Remor</w:t>
      </w:r>
      <w:proofErr w:type="spellEnd"/>
      <w:r w:rsidRPr="000E4FE6">
        <w:rPr>
          <w:rFonts w:ascii="Times New Roman" w:hAnsi="Times New Roman" w:cs="Times New Roman"/>
          <w:sz w:val="24"/>
          <w:szCs w:val="24"/>
        </w:rPr>
        <w:t>, E. (2006). Psychometric properties of a European Spanish version of the Perceived Stress Scale (PSS). </w:t>
      </w:r>
      <w:r w:rsidRPr="000E4FE6">
        <w:rPr>
          <w:rFonts w:ascii="Times New Roman" w:hAnsi="Times New Roman" w:cs="Times New Roman"/>
          <w:i/>
          <w:sz w:val="24"/>
          <w:szCs w:val="24"/>
        </w:rPr>
        <w:t>The Spanish Journal of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(1), 86–93. https://doi.org/10.1017/s1138741600006004</w:t>
      </w:r>
    </w:p>
    <w:p w14:paraId="00000E8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Reutrakul</w:t>
      </w:r>
      <w:proofErr w:type="spellEnd"/>
      <w:r w:rsidRPr="000E4FE6">
        <w:rPr>
          <w:rFonts w:ascii="Times New Roman" w:hAnsi="Times New Roman" w:cs="Times New Roman"/>
          <w:sz w:val="24"/>
          <w:szCs w:val="24"/>
        </w:rPr>
        <w:t xml:space="preserve">, S., Hood, M. M., Crowley, S. J., Morgan, M. K., </w:t>
      </w:r>
      <w:proofErr w:type="spellStart"/>
      <w:r w:rsidRPr="000E4FE6">
        <w:rPr>
          <w:rFonts w:ascii="Times New Roman" w:hAnsi="Times New Roman" w:cs="Times New Roman"/>
          <w:sz w:val="24"/>
          <w:szCs w:val="24"/>
        </w:rPr>
        <w:t>Teodori</w:t>
      </w:r>
      <w:proofErr w:type="spellEnd"/>
      <w:r w:rsidRPr="000E4FE6">
        <w:rPr>
          <w:rFonts w:ascii="Times New Roman" w:hAnsi="Times New Roman" w:cs="Times New Roman"/>
          <w:sz w:val="24"/>
          <w:szCs w:val="24"/>
        </w:rPr>
        <w:t xml:space="preserve">, M., and Knutson, K. L. (2014). The relationship between breakfast skipping, chronotype, and </w:t>
      </w:r>
      <w:proofErr w:type="spellStart"/>
      <w:r w:rsidRPr="000E4FE6">
        <w:rPr>
          <w:rFonts w:ascii="Times New Roman" w:hAnsi="Times New Roman" w:cs="Times New Roman"/>
          <w:sz w:val="24"/>
          <w:szCs w:val="24"/>
        </w:rPr>
        <w:t>glycemic</w:t>
      </w:r>
      <w:proofErr w:type="spellEnd"/>
      <w:r w:rsidRPr="000E4FE6">
        <w:rPr>
          <w:rFonts w:ascii="Times New Roman" w:hAnsi="Times New Roman" w:cs="Times New Roman"/>
          <w:sz w:val="24"/>
          <w:szCs w:val="24"/>
        </w:rPr>
        <w:t xml:space="preserve"> control in type 2 diabetes. </w:t>
      </w:r>
      <w:r w:rsidRPr="000E4FE6">
        <w:rPr>
          <w:rFonts w:ascii="Times New Roman" w:hAnsi="Times New Roman" w:cs="Times New Roman"/>
          <w:i/>
          <w:sz w:val="24"/>
          <w:szCs w:val="24"/>
        </w:rPr>
        <w:t>Chronobiology International</w:t>
      </w:r>
      <w:r w:rsidRPr="000E4FE6">
        <w:rPr>
          <w:rFonts w:ascii="Times New Roman" w:hAnsi="Times New Roman" w:cs="Times New Roman"/>
          <w:sz w:val="24"/>
          <w:szCs w:val="24"/>
        </w:rPr>
        <w:t>, </w:t>
      </w:r>
      <w:r w:rsidRPr="000E4FE6">
        <w:rPr>
          <w:rFonts w:ascii="Times New Roman" w:hAnsi="Times New Roman" w:cs="Times New Roman"/>
          <w:i/>
          <w:sz w:val="24"/>
          <w:szCs w:val="24"/>
        </w:rPr>
        <w:t>31</w:t>
      </w:r>
      <w:r w:rsidRPr="000E4FE6">
        <w:rPr>
          <w:rFonts w:ascii="Times New Roman" w:hAnsi="Times New Roman" w:cs="Times New Roman"/>
          <w:sz w:val="24"/>
          <w:szCs w:val="24"/>
        </w:rPr>
        <w:t>(1), 64–71. https://doi.org/10.3109/07420528.2013.821614</w:t>
      </w:r>
    </w:p>
    <w:p w14:paraId="00000E8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Reyes, M., </w:t>
      </w:r>
      <w:proofErr w:type="spellStart"/>
      <w:r w:rsidRPr="000E4FE6">
        <w:rPr>
          <w:rFonts w:ascii="Times New Roman" w:hAnsi="Times New Roman" w:cs="Times New Roman"/>
          <w:sz w:val="24"/>
          <w:szCs w:val="24"/>
        </w:rPr>
        <w:t>Hoyos</w:t>
      </w:r>
      <w:proofErr w:type="spellEnd"/>
      <w:r w:rsidRPr="000E4FE6">
        <w:rPr>
          <w:rFonts w:ascii="Times New Roman" w:hAnsi="Times New Roman" w:cs="Times New Roman"/>
          <w:sz w:val="24"/>
          <w:szCs w:val="24"/>
        </w:rPr>
        <w:t xml:space="preserve">, V., Martinez, S. M., Lozoff, B., Castillo, M., Burrows, R., … Gahagan, S. (2014). Satiety responsiveness and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among Chilean adolescents and the role of breastfeeding.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38</w:t>
      </w:r>
      <w:r w:rsidRPr="000E4FE6">
        <w:rPr>
          <w:rFonts w:ascii="Times New Roman" w:hAnsi="Times New Roman" w:cs="Times New Roman"/>
          <w:sz w:val="24"/>
          <w:szCs w:val="24"/>
        </w:rPr>
        <w:t>(4), 552–557. https://doi.org/10.1038/ijo.2013.191</w:t>
      </w:r>
    </w:p>
    <w:p w14:paraId="00000E8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Rideout, C. A., McLean, J. A., and Barr, S. I. (2004). Women with high scores for cognitive dietary restraint choose foods lower in fat and energy. </w:t>
      </w:r>
      <w:r w:rsidRPr="000E4FE6">
        <w:rPr>
          <w:rFonts w:ascii="Times New Roman" w:hAnsi="Times New Roman" w:cs="Times New Roman"/>
          <w:i/>
          <w:sz w:val="24"/>
          <w:szCs w:val="24"/>
        </w:rPr>
        <w:t>Journal of the 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104</w:t>
      </w:r>
      <w:r w:rsidRPr="000E4FE6">
        <w:rPr>
          <w:rFonts w:ascii="Times New Roman" w:hAnsi="Times New Roman" w:cs="Times New Roman"/>
          <w:sz w:val="24"/>
          <w:szCs w:val="24"/>
        </w:rPr>
        <w:t>(7), 1154–1157. https://doi.org/10.1016/j.jada.2004.04.024</w:t>
      </w:r>
    </w:p>
    <w:p w14:paraId="00000E8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Roberts, S. B. (2000). High-</w:t>
      </w:r>
      <w:proofErr w:type="spellStart"/>
      <w:r w:rsidRPr="000E4FE6">
        <w:rPr>
          <w:rFonts w:ascii="Times New Roman" w:hAnsi="Times New Roman" w:cs="Times New Roman"/>
          <w:sz w:val="24"/>
          <w:szCs w:val="24"/>
        </w:rPr>
        <w:t>glycemic</w:t>
      </w:r>
      <w:proofErr w:type="spellEnd"/>
      <w:r w:rsidRPr="000E4FE6">
        <w:rPr>
          <w:rFonts w:ascii="Times New Roman" w:hAnsi="Times New Roman" w:cs="Times New Roman"/>
          <w:sz w:val="24"/>
          <w:szCs w:val="24"/>
        </w:rPr>
        <w:t xml:space="preserve"> index foods, hunger, and obesity: is there a connection? </w:t>
      </w:r>
      <w:r w:rsidRPr="000E4FE6">
        <w:rPr>
          <w:rFonts w:ascii="Times New Roman" w:hAnsi="Times New Roman" w:cs="Times New Roman"/>
          <w:i/>
          <w:sz w:val="24"/>
          <w:szCs w:val="24"/>
        </w:rPr>
        <w:t>Nutrition Reviews</w:t>
      </w:r>
      <w:r w:rsidRPr="000E4FE6">
        <w:rPr>
          <w:rFonts w:ascii="Times New Roman" w:hAnsi="Times New Roman" w:cs="Times New Roman"/>
          <w:sz w:val="24"/>
          <w:szCs w:val="24"/>
        </w:rPr>
        <w:t>, </w:t>
      </w:r>
      <w:r w:rsidRPr="000E4FE6">
        <w:rPr>
          <w:rFonts w:ascii="Times New Roman" w:hAnsi="Times New Roman" w:cs="Times New Roman"/>
          <w:i/>
          <w:sz w:val="24"/>
          <w:szCs w:val="24"/>
        </w:rPr>
        <w:t>58</w:t>
      </w:r>
      <w:r w:rsidRPr="000E4FE6">
        <w:rPr>
          <w:rFonts w:ascii="Times New Roman" w:hAnsi="Times New Roman" w:cs="Times New Roman"/>
          <w:sz w:val="24"/>
          <w:szCs w:val="24"/>
        </w:rPr>
        <w:t>(6), 163–169. https://doi.org/10.1111/j.1753-4887.2000.tb01855.x</w:t>
      </w:r>
    </w:p>
    <w:p w14:paraId="00000E8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Robinson, E., </w:t>
      </w:r>
      <w:proofErr w:type="spellStart"/>
      <w:r w:rsidRPr="000E4FE6">
        <w:rPr>
          <w:rFonts w:ascii="Times New Roman" w:hAnsi="Times New Roman" w:cs="Times New Roman"/>
          <w:sz w:val="24"/>
          <w:szCs w:val="24"/>
        </w:rPr>
        <w:t>Kersbergen</w:t>
      </w:r>
      <w:proofErr w:type="spellEnd"/>
      <w:r w:rsidRPr="000E4FE6">
        <w:rPr>
          <w:rFonts w:ascii="Times New Roman" w:hAnsi="Times New Roman" w:cs="Times New Roman"/>
          <w:sz w:val="24"/>
          <w:szCs w:val="24"/>
        </w:rPr>
        <w:t xml:space="preserve">, I., </w:t>
      </w: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J. M., and Field, M. (2014). I’m watching you. Awareness that food consumption is being monitored is a demand characteristic in eating-behaviour experiments.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83</w:t>
      </w:r>
      <w:r w:rsidRPr="000E4FE6">
        <w:rPr>
          <w:rFonts w:ascii="Times New Roman" w:hAnsi="Times New Roman" w:cs="Times New Roman"/>
          <w:sz w:val="24"/>
          <w:szCs w:val="24"/>
        </w:rPr>
        <w:t>, 19–25. https://doi.org/10.1016/j.appet.2014.07.029</w:t>
      </w:r>
    </w:p>
    <w:p w14:paraId="00000E8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Robinson, E., McFarland-Lesser, I., Patel, Z., and Jones, A. (2023). Downsizing food: a systematic review and meta-analysis examining the effect of reducing served food portion sizes on daily energy intake and body weight.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129</w:t>
      </w:r>
      <w:r w:rsidRPr="000E4FE6">
        <w:rPr>
          <w:rFonts w:ascii="Times New Roman" w:hAnsi="Times New Roman" w:cs="Times New Roman"/>
          <w:sz w:val="24"/>
          <w:szCs w:val="24"/>
        </w:rPr>
        <w:t>(5), 888–903. https://doi.org/10.1017/S0007114522000903</w:t>
      </w:r>
    </w:p>
    <w:p w14:paraId="00000E8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Rodrigues, P. R. M., Pereira, R. A., Santana, A. M. S., Gama, A., </w:t>
      </w:r>
      <w:proofErr w:type="spellStart"/>
      <w:r w:rsidRPr="000E4FE6">
        <w:rPr>
          <w:rFonts w:ascii="Times New Roman" w:hAnsi="Times New Roman" w:cs="Times New Roman"/>
          <w:sz w:val="24"/>
          <w:szCs w:val="24"/>
        </w:rPr>
        <w:t>Carvalhal</w:t>
      </w:r>
      <w:proofErr w:type="spellEnd"/>
      <w:r w:rsidRPr="000E4FE6">
        <w:rPr>
          <w:rFonts w:ascii="Times New Roman" w:hAnsi="Times New Roman" w:cs="Times New Roman"/>
          <w:sz w:val="24"/>
          <w:szCs w:val="24"/>
        </w:rPr>
        <w:t xml:space="preserve">, I. M., Nogueira, H., … </w:t>
      </w:r>
      <w:proofErr w:type="spellStart"/>
      <w:r w:rsidRPr="000E4FE6">
        <w:rPr>
          <w:rFonts w:ascii="Times New Roman" w:hAnsi="Times New Roman" w:cs="Times New Roman"/>
          <w:sz w:val="24"/>
          <w:szCs w:val="24"/>
        </w:rPr>
        <w:t>Padez</w:t>
      </w:r>
      <w:proofErr w:type="spellEnd"/>
      <w:r w:rsidRPr="000E4FE6">
        <w:rPr>
          <w:rFonts w:ascii="Times New Roman" w:hAnsi="Times New Roman" w:cs="Times New Roman"/>
          <w:sz w:val="24"/>
          <w:szCs w:val="24"/>
        </w:rPr>
        <w:t xml:space="preserve">, C. (2016). Irregular breakfast habits are associated with children’s increased adiposity and children’s and parents’ lifestyle-related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a population-based cross-sectional study. </w:t>
      </w:r>
      <w:proofErr w:type="spellStart"/>
      <w:r w:rsidRPr="000E4FE6">
        <w:rPr>
          <w:rFonts w:ascii="Times New Roman" w:hAnsi="Times New Roman" w:cs="Times New Roman"/>
          <w:i/>
          <w:sz w:val="24"/>
          <w:szCs w:val="24"/>
        </w:rPr>
        <w:t>Nutrire</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41</w:t>
      </w:r>
      <w:r w:rsidRPr="000E4FE6">
        <w:rPr>
          <w:rFonts w:ascii="Times New Roman" w:hAnsi="Times New Roman" w:cs="Times New Roman"/>
          <w:sz w:val="24"/>
          <w:szCs w:val="24"/>
        </w:rPr>
        <w:t>(1), 8. https://doi.org/10.1186/s41110-016-0009-7</w:t>
      </w:r>
    </w:p>
    <w:p w14:paraId="00000E8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Roels</w:t>
      </w:r>
      <w:proofErr w:type="spellEnd"/>
      <w:r w:rsidRPr="000E4FE6">
        <w:rPr>
          <w:rFonts w:ascii="Times New Roman" w:hAnsi="Times New Roman" w:cs="Times New Roman"/>
          <w:sz w:val="24"/>
          <w:szCs w:val="24"/>
        </w:rPr>
        <w:t>, O. (2021). </w:t>
      </w:r>
      <w:r w:rsidRPr="000E4FE6">
        <w:rPr>
          <w:rFonts w:ascii="Times New Roman" w:hAnsi="Times New Roman" w:cs="Times New Roman"/>
          <w:i/>
          <w:sz w:val="24"/>
          <w:szCs w:val="24"/>
        </w:rPr>
        <w:t>The relationship between microbiome and eating behaviour outcomes: a systematic review of the literature</w:t>
      </w:r>
      <w:r w:rsidRPr="000E4FE6">
        <w:rPr>
          <w:rFonts w:ascii="Times New Roman" w:hAnsi="Times New Roman" w:cs="Times New Roman"/>
          <w:sz w:val="24"/>
          <w:szCs w:val="24"/>
        </w:rPr>
        <w:t> (Undergraduate thesis).</w:t>
      </w:r>
    </w:p>
    <w:p w14:paraId="00000E8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Rogers, P. J., and </w:t>
      </w: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J. M. (2016). Appetite and energy balancing.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164</w:t>
      </w:r>
      <w:r w:rsidRPr="000E4FE6">
        <w:rPr>
          <w:rFonts w:ascii="Times New Roman" w:hAnsi="Times New Roman" w:cs="Times New Roman"/>
          <w:sz w:val="24"/>
          <w:szCs w:val="24"/>
        </w:rPr>
        <w:t>(Pt B), 465–471. https://doi.org/10.1016/j.physbeh.2016.03.038</w:t>
      </w:r>
    </w:p>
    <w:p w14:paraId="00000E8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Rohleder</w:t>
      </w:r>
      <w:proofErr w:type="spellEnd"/>
      <w:r w:rsidRPr="000E4FE6">
        <w:rPr>
          <w:rFonts w:ascii="Times New Roman" w:hAnsi="Times New Roman" w:cs="Times New Roman"/>
          <w:sz w:val="24"/>
          <w:szCs w:val="24"/>
        </w:rPr>
        <w:t xml:space="preserve">, N., Nater, U. M., Wolf, J. M., Ehlert, U., and </w:t>
      </w:r>
      <w:proofErr w:type="spellStart"/>
      <w:r w:rsidRPr="000E4FE6">
        <w:rPr>
          <w:rFonts w:ascii="Times New Roman" w:hAnsi="Times New Roman" w:cs="Times New Roman"/>
          <w:sz w:val="24"/>
          <w:szCs w:val="24"/>
        </w:rPr>
        <w:t>Kirschbaum</w:t>
      </w:r>
      <w:proofErr w:type="spellEnd"/>
      <w:r w:rsidRPr="000E4FE6">
        <w:rPr>
          <w:rFonts w:ascii="Times New Roman" w:hAnsi="Times New Roman" w:cs="Times New Roman"/>
          <w:sz w:val="24"/>
          <w:szCs w:val="24"/>
        </w:rPr>
        <w:t xml:space="preserve">, C. (2004). Psychosocial stress-induced activation of salivary alpha-amylase: an indicator of sympathetic </w:t>
      </w:r>
      <w:r w:rsidRPr="000E4FE6">
        <w:rPr>
          <w:rFonts w:ascii="Times New Roman" w:hAnsi="Times New Roman" w:cs="Times New Roman"/>
          <w:sz w:val="24"/>
          <w:szCs w:val="24"/>
        </w:rPr>
        <w:lastRenderedPageBreak/>
        <w:t>activity? </w:t>
      </w:r>
      <w:r w:rsidRPr="000E4FE6">
        <w:rPr>
          <w:rFonts w:ascii="Times New Roman" w:hAnsi="Times New Roman" w:cs="Times New Roman"/>
          <w:i/>
          <w:sz w:val="24"/>
          <w:szCs w:val="24"/>
        </w:rPr>
        <w:t>Annals of the New York Academy of Sciences</w:t>
      </w:r>
      <w:r w:rsidRPr="000E4FE6">
        <w:rPr>
          <w:rFonts w:ascii="Times New Roman" w:hAnsi="Times New Roman" w:cs="Times New Roman"/>
          <w:sz w:val="24"/>
          <w:szCs w:val="24"/>
        </w:rPr>
        <w:t>, </w:t>
      </w:r>
      <w:r w:rsidRPr="000E4FE6">
        <w:rPr>
          <w:rFonts w:ascii="Times New Roman" w:hAnsi="Times New Roman" w:cs="Times New Roman"/>
          <w:i/>
          <w:sz w:val="24"/>
          <w:szCs w:val="24"/>
        </w:rPr>
        <w:t>1032</w:t>
      </w:r>
      <w:r w:rsidRPr="000E4FE6">
        <w:rPr>
          <w:rFonts w:ascii="Times New Roman" w:hAnsi="Times New Roman" w:cs="Times New Roman"/>
          <w:sz w:val="24"/>
          <w:szCs w:val="24"/>
        </w:rPr>
        <w:t>, 258–263. https://doi.org/10.1196/annals.1314.033</w:t>
      </w:r>
    </w:p>
    <w:p w14:paraId="00000E8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Rollo, M. E., Ash, S., Lyons-Wall, P., and Russell, A. W. (2015). Evaluation of a Mobile Phone Image-Based Dietary Assessment Method in Adults with Type 2 Diabetes.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(6), 4897–4910. https://doi.org/10.3390/nu7064897</w:t>
      </w:r>
    </w:p>
    <w:p w14:paraId="00000E8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Rolls, B J. (2014). What is the role of portion control in weight management?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38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1</w:t>
      </w:r>
      <w:r w:rsidRPr="000E4FE6">
        <w:rPr>
          <w:rFonts w:ascii="Times New Roman" w:hAnsi="Times New Roman" w:cs="Times New Roman"/>
          <w:sz w:val="24"/>
          <w:szCs w:val="24"/>
        </w:rPr>
        <w:t>(</w:t>
      </w:r>
      <w:proofErr w:type="spellStart"/>
      <w:r w:rsidRPr="000E4FE6">
        <w:rPr>
          <w:rFonts w:ascii="Times New Roman" w:hAnsi="Times New Roman" w:cs="Times New Roman"/>
          <w:sz w:val="24"/>
          <w:szCs w:val="24"/>
        </w:rPr>
        <w:t>Suppl</w:t>
      </w:r>
      <w:proofErr w:type="spellEnd"/>
      <w:r w:rsidRPr="000E4FE6">
        <w:rPr>
          <w:rFonts w:ascii="Times New Roman" w:hAnsi="Times New Roman" w:cs="Times New Roman"/>
          <w:sz w:val="24"/>
          <w:szCs w:val="24"/>
        </w:rPr>
        <w:t xml:space="preserve"> 1), S1-8. https://doi.org/10.1038/ijo.2014.82</w:t>
      </w:r>
    </w:p>
    <w:p w14:paraId="00000E8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Rolls, B J. (2017). Dietary energy density: Applying behavioural science to weight management. </w:t>
      </w:r>
      <w:r w:rsidRPr="000E4FE6">
        <w:rPr>
          <w:rFonts w:ascii="Times New Roman" w:hAnsi="Times New Roman" w:cs="Times New Roman"/>
          <w:i/>
          <w:sz w:val="24"/>
          <w:szCs w:val="24"/>
        </w:rPr>
        <w:t>Nutrition Bulletin / BNF</w:t>
      </w:r>
      <w:r w:rsidRPr="000E4FE6">
        <w:rPr>
          <w:rFonts w:ascii="Times New Roman" w:hAnsi="Times New Roman" w:cs="Times New Roman"/>
          <w:sz w:val="24"/>
          <w:szCs w:val="24"/>
        </w:rPr>
        <w:t>, </w:t>
      </w:r>
      <w:r w:rsidRPr="000E4FE6">
        <w:rPr>
          <w:rFonts w:ascii="Times New Roman" w:hAnsi="Times New Roman" w:cs="Times New Roman"/>
          <w:i/>
          <w:sz w:val="24"/>
          <w:szCs w:val="24"/>
        </w:rPr>
        <w:t>42</w:t>
      </w:r>
      <w:r w:rsidRPr="000E4FE6">
        <w:rPr>
          <w:rFonts w:ascii="Times New Roman" w:hAnsi="Times New Roman" w:cs="Times New Roman"/>
          <w:sz w:val="24"/>
          <w:szCs w:val="24"/>
        </w:rPr>
        <w:t>(3), 246–253. https://doi.org/10.1111/nbu.12280</w:t>
      </w:r>
    </w:p>
    <w:p w14:paraId="00000E8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Rolls, Barbara J. (2009). The relationship between dietary energy density and energy intake.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97</w:t>
      </w:r>
      <w:r w:rsidRPr="000E4FE6">
        <w:rPr>
          <w:rFonts w:ascii="Times New Roman" w:hAnsi="Times New Roman" w:cs="Times New Roman"/>
          <w:sz w:val="24"/>
          <w:szCs w:val="24"/>
        </w:rPr>
        <w:t>(5), 609–615. https://doi.org/10.1016/j.physbeh.2009.03.011</w:t>
      </w:r>
    </w:p>
    <w:p w14:paraId="00000E8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Rolls, E. T., and McCabe, C. (2007). Enhanced affective brain representations of chocolate in cravers vs. non-cravers. </w:t>
      </w:r>
      <w:r w:rsidRPr="000E4FE6">
        <w:rPr>
          <w:rFonts w:ascii="Times New Roman" w:hAnsi="Times New Roman" w:cs="Times New Roman"/>
          <w:i/>
          <w:sz w:val="24"/>
          <w:szCs w:val="24"/>
        </w:rPr>
        <w:t>The European Journal of Neuroscience</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(4), 1067–1076. https://doi.org/10.1111/j.1460-9568.2007.05724.x</w:t>
      </w:r>
    </w:p>
    <w:p w14:paraId="00000E8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Romański</w:t>
      </w:r>
      <w:proofErr w:type="spellEnd"/>
      <w:r w:rsidRPr="000E4FE6">
        <w:rPr>
          <w:rFonts w:ascii="Times New Roman" w:hAnsi="Times New Roman" w:cs="Times New Roman"/>
          <w:sz w:val="24"/>
          <w:szCs w:val="24"/>
        </w:rPr>
        <w:t>, K. W. (2009). Migrating motor complex in biological sciences: characterization, animal models and disturbances. </w:t>
      </w:r>
      <w:r w:rsidRPr="000E4FE6">
        <w:rPr>
          <w:rFonts w:ascii="Times New Roman" w:hAnsi="Times New Roman" w:cs="Times New Roman"/>
          <w:i/>
          <w:sz w:val="24"/>
          <w:szCs w:val="24"/>
        </w:rPr>
        <w:t>Indian Journal of Experimental Biology</w:t>
      </w:r>
      <w:r w:rsidRPr="000E4FE6">
        <w:rPr>
          <w:rFonts w:ascii="Times New Roman" w:hAnsi="Times New Roman" w:cs="Times New Roman"/>
          <w:sz w:val="24"/>
          <w:szCs w:val="24"/>
        </w:rPr>
        <w:t>, </w:t>
      </w:r>
      <w:r w:rsidRPr="000E4FE6">
        <w:rPr>
          <w:rFonts w:ascii="Times New Roman" w:hAnsi="Times New Roman" w:cs="Times New Roman"/>
          <w:i/>
          <w:sz w:val="24"/>
          <w:szCs w:val="24"/>
        </w:rPr>
        <w:t>47</w:t>
      </w:r>
      <w:r w:rsidRPr="000E4FE6">
        <w:rPr>
          <w:rFonts w:ascii="Times New Roman" w:hAnsi="Times New Roman" w:cs="Times New Roman"/>
          <w:sz w:val="24"/>
          <w:szCs w:val="24"/>
        </w:rPr>
        <w:t>(4), 229–244.</w:t>
      </w:r>
    </w:p>
    <w:p w14:paraId="00000E9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Romon</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Edme</w:t>
      </w:r>
      <w:proofErr w:type="spellEnd"/>
      <w:r w:rsidRPr="000E4FE6">
        <w:rPr>
          <w:rFonts w:ascii="Times New Roman" w:hAnsi="Times New Roman" w:cs="Times New Roman"/>
          <w:sz w:val="24"/>
          <w:szCs w:val="24"/>
        </w:rPr>
        <w:t xml:space="preserve">, J. L., </w:t>
      </w:r>
      <w:proofErr w:type="spellStart"/>
      <w:r w:rsidRPr="000E4FE6">
        <w:rPr>
          <w:rFonts w:ascii="Times New Roman" w:hAnsi="Times New Roman" w:cs="Times New Roman"/>
          <w:sz w:val="24"/>
          <w:szCs w:val="24"/>
        </w:rPr>
        <w:t>Boulenguez</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Lescroart</w:t>
      </w:r>
      <w:proofErr w:type="spellEnd"/>
      <w:r w:rsidRPr="000E4FE6">
        <w:rPr>
          <w:rFonts w:ascii="Times New Roman" w:hAnsi="Times New Roman" w:cs="Times New Roman"/>
          <w:sz w:val="24"/>
          <w:szCs w:val="24"/>
        </w:rPr>
        <w:t xml:space="preserve">, J. L., and </w:t>
      </w:r>
      <w:proofErr w:type="spellStart"/>
      <w:r w:rsidRPr="000E4FE6">
        <w:rPr>
          <w:rFonts w:ascii="Times New Roman" w:hAnsi="Times New Roman" w:cs="Times New Roman"/>
          <w:sz w:val="24"/>
          <w:szCs w:val="24"/>
        </w:rPr>
        <w:t>Frimat</w:t>
      </w:r>
      <w:proofErr w:type="spellEnd"/>
      <w:r w:rsidRPr="000E4FE6">
        <w:rPr>
          <w:rFonts w:ascii="Times New Roman" w:hAnsi="Times New Roman" w:cs="Times New Roman"/>
          <w:sz w:val="24"/>
          <w:szCs w:val="24"/>
        </w:rPr>
        <w:t>, P. (1993). Circadian variation of diet-induced thermogenesis.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57</w:t>
      </w:r>
      <w:r w:rsidRPr="000E4FE6">
        <w:rPr>
          <w:rFonts w:ascii="Times New Roman" w:hAnsi="Times New Roman" w:cs="Times New Roman"/>
          <w:sz w:val="24"/>
          <w:szCs w:val="24"/>
        </w:rPr>
        <w:t>(4), 476–480. https://doi.org/10.1093/ajcn/57.4.476</w:t>
      </w:r>
    </w:p>
    <w:p w14:paraId="00000E9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Rouhani, M. H., </w:t>
      </w:r>
      <w:proofErr w:type="spellStart"/>
      <w:r w:rsidRPr="000E4FE6">
        <w:rPr>
          <w:rFonts w:ascii="Times New Roman" w:hAnsi="Times New Roman" w:cs="Times New Roman"/>
          <w:sz w:val="24"/>
          <w:szCs w:val="24"/>
        </w:rPr>
        <w:t>Haghighatdoost</w:t>
      </w:r>
      <w:proofErr w:type="spellEnd"/>
      <w:r w:rsidRPr="000E4FE6">
        <w:rPr>
          <w:rFonts w:ascii="Times New Roman" w:hAnsi="Times New Roman" w:cs="Times New Roman"/>
          <w:sz w:val="24"/>
          <w:szCs w:val="24"/>
        </w:rPr>
        <w:t xml:space="preserve">, F., </w:t>
      </w:r>
      <w:proofErr w:type="spellStart"/>
      <w:r w:rsidRPr="000E4FE6">
        <w:rPr>
          <w:rFonts w:ascii="Times New Roman" w:hAnsi="Times New Roman" w:cs="Times New Roman"/>
          <w:sz w:val="24"/>
          <w:szCs w:val="24"/>
        </w:rPr>
        <w:t>Surkan</w:t>
      </w:r>
      <w:proofErr w:type="spellEnd"/>
      <w:r w:rsidRPr="000E4FE6">
        <w:rPr>
          <w:rFonts w:ascii="Times New Roman" w:hAnsi="Times New Roman" w:cs="Times New Roman"/>
          <w:sz w:val="24"/>
          <w:szCs w:val="24"/>
        </w:rPr>
        <w:t xml:space="preserve">, P. J., and </w:t>
      </w:r>
      <w:proofErr w:type="spellStart"/>
      <w:r w:rsidRPr="000E4FE6">
        <w:rPr>
          <w:rFonts w:ascii="Times New Roman" w:hAnsi="Times New Roman" w:cs="Times New Roman"/>
          <w:sz w:val="24"/>
          <w:szCs w:val="24"/>
        </w:rPr>
        <w:t>Azadbakht</w:t>
      </w:r>
      <w:proofErr w:type="spellEnd"/>
      <w:r w:rsidRPr="000E4FE6">
        <w:rPr>
          <w:rFonts w:ascii="Times New Roman" w:hAnsi="Times New Roman" w:cs="Times New Roman"/>
          <w:sz w:val="24"/>
          <w:szCs w:val="24"/>
        </w:rPr>
        <w:t xml:space="preserve">, L. (2016). Associations between dietary energy density and obesity: A systematic review and meta-analysis of </w:t>
      </w:r>
      <w:r w:rsidRPr="000E4FE6">
        <w:rPr>
          <w:rFonts w:ascii="Times New Roman" w:hAnsi="Times New Roman" w:cs="Times New Roman"/>
          <w:sz w:val="24"/>
          <w:szCs w:val="24"/>
        </w:rPr>
        <w:lastRenderedPageBreak/>
        <w:t>observational studies. </w:t>
      </w:r>
      <w:r w:rsidRPr="000E4FE6">
        <w:rPr>
          <w:rFonts w:ascii="Times New Roman" w:hAnsi="Times New Roman" w:cs="Times New Roman"/>
          <w:i/>
          <w:sz w:val="24"/>
          <w:szCs w:val="24"/>
        </w:rPr>
        <w:t>Nutrition</w:t>
      </w:r>
      <w:r w:rsidRPr="000E4FE6">
        <w:rPr>
          <w:rFonts w:ascii="Times New Roman" w:hAnsi="Times New Roman" w:cs="Times New Roman"/>
          <w:sz w:val="24"/>
          <w:szCs w:val="24"/>
        </w:rPr>
        <w:t>, </w:t>
      </w:r>
      <w:r w:rsidRPr="000E4FE6">
        <w:rPr>
          <w:rFonts w:ascii="Times New Roman" w:hAnsi="Times New Roman" w:cs="Times New Roman"/>
          <w:i/>
          <w:sz w:val="24"/>
          <w:szCs w:val="24"/>
        </w:rPr>
        <w:t>32</w:t>
      </w:r>
      <w:r w:rsidRPr="000E4FE6">
        <w:rPr>
          <w:rFonts w:ascii="Times New Roman" w:hAnsi="Times New Roman" w:cs="Times New Roman"/>
          <w:sz w:val="24"/>
          <w:szCs w:val="24"/>
        </w:rPr>
        <w:t>(10), 1037–1047. https://doi.org/10.1016/j.nut.2016.03.017</w:t>
      </w:r>
    </w:p>
    <w:p w14:paraId="00000E9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Rowland, M. L. (1990). Self-reported weight and height. </w:t>
      </w:r>
      <w:r w:rsidRPr="000E4FE6">
        <w:rPr>
          <w:rFonts w:ascii="Times New Roman" w:hAnsi="Times New Roman" w:cs="Times New Roman"/>
          <w:i/>
          <w:sz w:val="24"/>
          <w:szCs w:val="24"/>
        </w:rPr>
        <w:t>The American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52</w:t>
      </w:r>
      <w:r w:rsidRPr="000E4FE6">
        <w:rPr>
          <w:rFonts w:ascii="Times New Roman" w:hAnsi="Times New Roman" w:cs="Times New Roman"/>
          <w:sz w:val="24"/>
          <w:szCs w:val="24"/>
        </w:rPr>
        <w:t>(6), 1125–1133. https://doi.org/10.1093/ajcn/52.6.1125</w:t>
      </w:r>
    </w:p>
    <w:p w14:paraId="00000E9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Rozin</w:t>
      </w:r>
      <w:proofErr w:type="spellEnd"/>
      <w:r w:rsidRPr="000E4FE6">
        <w:rPr>
          <w:rFonts w:ascii="Times New Roman" w:hAnsi="Times New Roman" w:cs="Times New Roman"/>
          <w:sz w:val="24"/>
          <w:szCs w:val="24"/>
        </w:rPr>
        <w:t xml:space="preserve">, P., </w:t>
      </w:r>
      <w:proofErr w:type="spellStart"/>
      <w:r w:rsidRPr="000E4FE6">
        <w:rPr>
          <w:rFonts w:ascii="Times New Roman" w:hAnsi="Times New Roman" w:cs="Times New Roman"/>
          <w:sz w:val="24"/>
          <w:szCs w:val="24"/>
        </w:rPr>
        <w:t>Fischler</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Imada</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Sarubin</w:t>
      </w:r>
      <w:proofErr w:type="spellEnd"/>
      <w:r w:rsidRPr="000E4FE6">
        <w:rPr>
          <w:rFonts w:ascii="Times New Roman" w:hAnsi="Times New Roman" w:cs="Times New Roman"/>
          <w:sz w:val="24"/>
          <w:szCs w:val="24"/>
        </w:rPr>
        <w:t xml:space="preserve">, A., and </w:t>
      </w:r>
      <w:proofErr w:type="spellStart"/>
      <w:r w:rsidRPr="000E4FE6">
        <w:rPr>
          <w:rFonts w:ascii="Times New Roman" w:hAnsi="Times New Roman" w:cs="Times New Roman"/>
          <w:sz w:val="24"/>
          <w:szCs w:val="24"/>
        </w:rPr>
        <w:t>Wrzesniewski</w:t>
      </w:r>
      <w:proofErr w:type="spellEnd"/>
      <w:r w:rsidRPr="000E4FE6">
        <w:rPr>
          <w:rFonts w:ascii="Times New Roman" w:hAnsi="Times New Roman" w:cs="Times New Roman"/>
          <w:sz w:val="24"/>
          <w:szCs w:val="24"/>
        </w:rPr>
        <w:t>, A. (1999). Attitudes to food and the role of food in life in the U.S.A., Japan, Flemish Belgium and France: possible implications for the diet-health debate.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33</w:t>
      </w:r>
      <w:r w:rsidRPr="000E4FE6">
        <w:rPr>
          <w:rFonts w:ascii="Times New Roman" w:hAnsi="Times New Roman" w:cs="Times New Roman"/>
          <w:sz w:val="24"/>
          <w:szCs w:val="24"/>
        </w:rPr>
        <w:t>(2), 163–180. https://doi.org/10.1006/appe.1999.0244</w:t>
      </w:r>
    </w:p>
    <w:p w14:paraId="00000E9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Ruddick-Collins, L C, Johnston, J. D., Morgan, P. J., and Johnstone, A. M. (2018). The Big Breakfast Study: Chrono-nutrition influence on energy expenditure and bodyweight. </w:t>
      </w:r>
      <w:r w:rsidRPr="000E4FE6">
        <w:rPr>
          <w:rFonts w:ascii="Times New Roman" w:hAnsi="Times New Roman" w:cs="Times New Roman"/>
          <w:i/>
          <w:sz w:val="24"/>
          <w:szCs w:val="24"/>
        </w:rPr>
        <w:t>Nutrition Bulletin / BNF</w:t>
      </w:r>
      <w:r w:rsidRPr="000E4FE6">
        <w:rPr>
          <w:rFonts w:ascii="Times New Roman" w:hAnsi="Times New Roman" w:cs="Times New Roman"/>
          <w:sz w:val="24"/>
          <w:szCs w:val="24"/>
        </w:rPr>
        <w:t>, </w:t>
      </w:r>
      <w:r w:rsidRPr="000E4FE6">
        <w:rPr>
          <w:rFonts w:ascii="Times New Roman" w:hAnsi="Times New Roman" w:cs="Times New Roman"/>
          <w:i/>
          <w:sz w:val="24"/>
          <w:szCs w:val="24"/>
        </w:rPr>
        <w:t>43</w:t>
      </w:r>
      <w:r w:rsidRPr="000E4FE6">
        <w:rPr>
          <w:rFonts w:ascii="Times New Roman" w:hAnsi="Times New Roman" w:cs="Times New Roman"/>
          <w:sz w:val="24"/>
          <w:szCs w:val="24"/>
        </w:rPr>
        <w:t>(2), 174–183. https://doi.org/10.1111/nbu.12323</w:t>
      </w:r>
    </w:p>
    <w:p w14:paraId="00000E9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Ruddick-Collins, Leonie C, Morgan, P. J., Fyfe, C. L., Filipe, J. A. N., Horgan, G. W., </w:t>
      </w:r>
      <w:proofErr w:type="spellStart"/>
      <w:r w:rsidRPr="000E4FE6">
        <w:rPr>
          <w:rFonts w:ascii="Times New Roman" w:hAnsi="Times New Roman" w:cs="Times New Roman"/>
          <w:sz w:val="24"/>
          <w:szCs w:val="24"/>
        </w:rPr>
        <w:t>Westerterp</w:t>
      </w:r>
      <w:proofErr w:type="spellEnd"/>
      <w:r w:rsidRPr="000E4FE6">
        <w:rPr>
          <w:rFonts w:ascii="Times New Roman" w:hAnsi="Times New Roman" w:cs="Times New Roman"/>
          <w:sz w:val="24"/>
          <w:szCs w:val="24"/>
        </w:rPr>
        <w:t>, K. R., … Johnstone, A. M. (2022). Timing of daily calorie loading affects appetite and hunger responses without changes in energy metabolism in healthy subjects with obesity. </w:t>
      </w:r>
      <w:r w:rsidRPr="000E4FE6">
        <w:rPr>
          <w:rFonts w:ascii="Times New Roman" w:hAnsi="Times New Roman" w:cs="Times New Roman"/>
          <w:i/>
          <w:sz w:val="24"/>
          <w:szCs w:val="24"/>
        </w:rPr>
        <w:t>Cell Metabolism</w:t>
      </w:r>
      <w:r w:rsidRPr="000E4FE6">
        <w:rPr>
          <w:rFonts w:ascii="Times New Roman" w:hAnsi="Times New Roman" w:cs="Times New Roman"/>
          <w:sz w:val="24"/>
          <w:szCs w:val="24"/>
        </w:rPr>
        <w:t>, </w:t>
      </w:r>
      <w:r w:rsidRPr="000E4FE6">
        <w:rPr>
          <w:rFonts w:ascii="Times New Roman" w:hAnsi="Times New Roman" w:cs="Times New Roman"/>
          <w:i/>
          <w:sz w:val="24"/>
          <w:szCs w:val="24"/>
        </w:rPr>
        <w:t>34</w:t>
      </w:r>
      <w:r w:rsidRPr="000E4FE6">
        <w:rPr>
          <w:rFonts w:ascii="Times New Roman" w:hAnsi="Times New Roman" w:cs="Times New Roman"/>
          <w:sz w:val="24"/>
          <w:szCs w:val="24"/>
        </w:rPr>
        <w:t>(10), 1472-1485.e6. https://doi.org/10.1016/j.cmet.2022.08.001</w:t>
      </w:r>
    </w:p>
    <w:p w14:paraId="00000E9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Ruidavets</w:t>
      </w:r>
      <w:proofErr w:type="spellEnd"/>
      <w:r w:rsidRPr="000E4FE6">
        <w:rPr>
          <w:rFonts w:ascii="Times New Roman" w:hAnsi="Times New Roman" w:cs="Times New Roman"/>
          <w:sz w:val="24"/>
          <w:szCs w:val="24"/>
        </w:rPr>
        <w:t xml:space="preserve">, J. B., </w:t>
      </w:r>
      <w:proofErr w:type="spellStart"/>
      <w:r w:rsidRPr="000E4FE6">
        <w:rPr>
          <w:rFonts w:ascii="Times New Roman" w:hAnsi="Times New Roman" w:cs="Times New Roman"/>
          <w:sz w:val="24"/>
          <w:szCs w:val="24"/>
        </w:rPr>
        <w:t>Bongard</w:t>
      </w:r>
      <w:proofErr w:type="spellEnd"/>
      <w:r w:rsidRPr="000E4FE6">
        <w:rPr>
          <w:rFonts w:ascii="Times New Roman" w:hAnsi="Times New Roman" w:cs="Times New Roman"/>
          <w:sz w:val="24"/>
          <w:szCs w:val="24"/>
        </w:rPr>
        <w:t xml:space="preserve">, V., </w:t>
      </w:r>
      <w:proofErr w:type="spellStart"/>
      <w:r w:rsidRPr="000E4FE6">
        <w:rPr>
          <w:rFonts w:ascii="Times New Roman" w:hAnsi="Times New Roman" w:cs="Times New Roman"/>
          <w:sz w:val="24"/>
          <w:szCs w:val="24"/>
        </w:rPr>
        <w:t>Bataille</w:t>
      </w:r>
      <w:proofErr w:type="spellEnd"/>
      <w:r w:rsidRPr="000E4FE6">
        <w:rPr>
          <w:rFonts w:ascii="Times New Roman" w:hAnsi="Times New Roman" w:cs="Times New Roman"/>
          <w:sz w:val="24"/>
          <w:szCs w:val="24"/>
        </w:rPr>
        <w:t xml:space="preserve">, V., </w:t>
      </w:r>
      <w:proofErr w:type="spellStart"/>
      <w:r w:rsidRPr="000E4FE6">
        <w:rPr>
          <w:rFonts w:ascii="Times New Roman" w:hAnsi="Times New Roman" w:cs="Times New Roman"/>
          <w:sz w:val="24"/>
          <w:szCs w:val="24"/>
        </w:rPr>
        <w:t>Gourdy</w:t>
      </w:r>
      <w:proofErr w:type="spellEnd"/>
      <w:r w:rsidRPr="000E4FE6">
        <w:rPr>
          <w:rFonts w:ascii="Times New Roman" w:hAnsi="Times New Roman" w:cs="Times New Roman"/>
          <w:sz w:val="24"/>
          <w:szCs w:val="24"/>
        </w:rPr>
        <w:t xml:space="preserve">, P., and </w:t>
      </w:r>
      <w:proofErr w:type="spellStart"/>
      <w:r w:rsidRPr="000E4FE6">
        <w:rPr>
          <w:rFonts w:ascii="Times New Roman" w:hAnsi="Times New Roman" w:cs="Times New Roman"/>
          <w:sz w:val="24"/>
          <w:szCs w:val="24"/>
        </w:rPr>
        <w:t>Ferrières</w:t>
      </w:r>
      <w:proofErr w:type="spellEnd"/>
      <w:r w:rsidRPr="000E4FE6">
        <w:rPr>
          <w:rFonts w:ascii="Times New Roman" w:hAnsi="Times New Roman" w:cs="Times New Roman"/>
          <w:sz w:val="24"/>
          <w:szCs w:val="24"/>
        </w:rPr>
        <w:t>, J. (2002). Eating frequency and body fatness in middle-aged men.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26</w:t>
      </w:r>
      <w:r w:rsidRPr="000E4FE6">
        <w:rPr>
          <w:rFonts w:ascii="Times New Roman" w:hAnsi="Times New Roman" w:cs="Times New Roman"/>
          <w:sz w:val="24"/>
          <w:szCs w:val="24"/>
        </w:rPr>
        <w:t>(11), 1476–1483. https://doi.org/10.1038/sj.ijo.0802143</w:t>
      </w:r>
    </w:p>
    <w:p w14:paraId="00000E9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Ruiz-Lozano, T., Vidal, J., de </w:t>
      </w:r>
      <w:proofErr w:type="spellStart"/>
      <w:r w:rsidRPr="000E4FE6">
        <w:rPr>
          <w:rFonts w:ascii="Times New Roman" w:hAnsi="Times New Roman" w:cs="Times New Roman"/>
          <w:sz w:val="24"/>
          <w:szCs w:val="24"/>
          <w:lang w:val="es-ES_tradnl"/>
        </w:rPr>
        <w:t>Hollanda</w:t>
      </w:r>
      <w:proofErr w:type="spellEnd"/>
      <w:r w:rsidRPr="000E4FE6">
        <w:rPr>
          <w:rFonts w:ascii="Times New Roman" w:hAnsi="Times New Roman" w:cs="Times New Roman"/>
          <w:sz w:val="24"/>
          <w:szCs w:val="24"/>
          <w:lang w:val="es-ES_tradnl"/>
        </w:rPr>
        <w:t xml:space="preserve">, A., Scheer, F. A. J. L., </w:t>
      </w:r>
      <w:proofErr w:type="spellStart"/>
      <w:r w:rsidRPr="000E4FE6">
        <w:rPr>
          <w:rFonts w:ascii="Times New Roman" w:hAnsi="Times New Roman" w:cs="Times New Roman"/>
          <w:sz w:val="24"/>
          <w:szCs w:val="24"/>
          <w:lang w:val="es-ES_tradnl"/>
        </w:rPr>
        <w:t>Garaulet</w:t>
      </w:r>
      <w:proofErr w:type="spellEnd"/>
      <w:r w:rsidRPr="000E4FE6">
        <w:rPr>
          <w:rFonts w:ascii="Times New Roman" w:hAnsi="Times New Roman" w:cs="Times New Roman"/>
          <w:sz w:val="24"/>
          <w:szCs w:val="24"/>
          <w:lang w:val="es-ES_tradnl"/>
        </w:rPr>
        <w:t xml:space="preserve">, M., and Izquierdo-Pulido, M. (2016). </w:t>
      </w:r>
      <w:r w:rsidRPr="000E4FE6">
        <w:rPr>
          <w:rFonts w:ascii="Times New Roman" w:hAnsi="Times New Roman" w:cs="Times New Roman"/>
          <w:sz w:val="24"/>
          <w:szCs w:val="24"/>
        </w:rPr>
        <w:t>Timing of food intake is associated with weight loss evolution in severe obese patients after bariatric surgery. </w:t>
      </w:r>
      <w:r w:rsidRPr="000E4FE6">
        <w:rPr>
          <w:rFonts w:ascii="Times New Roman" w:hAnsi="Times New Roman" w:cs="Times New Roman"/>
          <w:i/>
          <w:sz w:val="24"/>
          <w:szCs w:val="24"/>
        </w:rPr>
        <w:t>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35</w:t>
      </w:r>
      <w:r w:rsidRPr="000E4FE6">
        <w:rPr>
          <w:rFonts w:ascii="Times New Roman" w:hAnsi="Times New Roman" w:cs="Times New Roman"/>
          <w:sz w:val="24"/>
          <w:szCs w:val="24"/>
        </w:rPr>
        <w:t>(6), 1308–1314. https://doi.org/10.1016/j.clnu.2016.02.007</w:t>
      </w:r>
    </w:p>
    <w:p w14:paraId="00000E9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Salihu</w:t>
      </w:r>
      <w:proofErr w:type="spellEnd"/>
      <w:r w:rsidRPr="000E4FE6">
        <w:rPr>
          <w:rFonts w:ascii="Times New Roman" w:hAnsi="Times New Roman" w:cs="Times New Roman"/>
          <w:sz w:val="24"/>
          <w:szCs w:val="24"/>
        </w:rPr>
        <w:t>, H. M., Wilson, R. E., King, L. M., Marty, P. J., and Whiteman, V. E. (2015). Socio-ecological model as a framework for overcoming barriers and challenges in randomized control trials in minority and underserved communities. </w:t>
      </w:r>
      <w:r w:rsidRPr="000E4FE6">
        <w:rPr>
          <w:rFonts w:ascii="Times New Roman" w:hAnsi="Times New Roman" w:cs="Times New Roman"/>
          <w:i/>
          <w:sz w:val="24"/>
          <w:szCs w:val="24"/>
        </w:rPr>
        <w:t>International Journal of MCH and AIDS</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(1), 85–95.</w:t>
      </w:r>
    </w:p>
    <w:p w14:paraId="00000E99" w14:textId="64AA77B7" w:rsidR="00CB4215"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Sandhu, S. K., and Tang, T. S. (2017). When’s dinner? Does timing of dinner affect the cardiometabolic risk profiles of South-Asian Canadians at risk for diabetes. </w:t>
      </w:r>
      <w:r w:rsidRPr="000E4FE6">
        <w:rPr>
          <w:rFonts w:ascii="Times New Roman" w:hAnsi="Times New Roman" w:cs="Times New Roman"/>
          <w:i/>
          <w:sz w:val="24"/>
          <w:szCs w:val="24"/>
        </w:rPr>
        <w:t>Diabetic Medicine</w:t>
      </w:r>
      <w:r w:rsidRPr="000E4FE6">
        <w:rPr>
          <w:rFonts w:ascii="Times New Roman" w:hAnsi="Times New Roman" w:cs="Times New Roman"/>
          <w:sz w:val="24"/>
          <w:szCs w:val="24"/>
        </w:rPr>
        <w:t>, </w:t>
      </w:r>
      <w:r w:rsidRPr="000E4FE6">
        <w:rPr>
          <w:rFonts w:ascii="Times New Roman" w:hAnsi="Times New Roman" w:cs="Times New Roman"/>
          <w:i/>
          <w:sz w:val="24"/>
          <w:szCs w:val="24"/>
        </w:rPr>
        <w:t>34</w:t>
      </w:r>
      <w:r w:rsidRPr="000E4FE6">
        <w:rPr>
          <w:rFonts w:ascii="Times New Roman" w:hAnsi="Times New Roman" w:cs="Times New Roman"/>
          <w:sz w:val="24"/>
          <w:szCs w:val="24"/>
        </w:rPr>
        <w:t xml:space="preserve">(4), 539–542. </w:t>
      </w:r>
      <w:hyperlink r:id="rId832" w:history="1">
        <w:r w:rsidR="00FB6D74" w:rsidRPr="00CB0261">
          <w:rPr>
            <w:rStyle w:val="Hyperlink"/>
            <w:rFonts w:ascii="Times New Roman" w:hAnsi="Times New Roman" w:cs="Times New Roman"/>
            <w:sz w:val="24"/>
            <w:szCs w:val="24"/>
          </w:rPr>
          <w:t>https://doi.org/10.1111/dme.13081</w:t>
        </w:r>
      </w:hyperlink>
    </w:p>
    <w:p w14:paraId="1B8B21E6" w14:textId="766E1FB9" w:rsidR="00FB6D74" w:rsidRPr="000E4FE6" w:rsidRDefault="00FB6D74">
      <w:pPr>
        <w:spacing w:line="480" w:lineRule="auto"/>
        <w:ind w:left="737" w:hanging="720"/>
        <w:jc w:val="both"/>
        <w:rPr>
          <w:rFonts w:ascii="Times New Roman" w:hAnsi="Times New Roman" w:cs="Times New Roman"/>
          <w:sz w:val="24"/>
          <w:szCs w:val="24"/>
        </w:rPr>
      </w:pPr>
      <w:proofErr w:type="spellStart"/>
      <w:r w:rsidRPr="00FB6D74">
        <w:rPr>
          <w:rFonts w:ascii="Times New Roman" w:hAnsi="Times New Roman" w:cs="Times New Roman"/>
          <w:sz w:val="24"/>
          <w:szCs w:val="24"/>
        </w:rPr>
        <w:t>Santonja</w:t>
      </w:r>
      <w:proofErr w:type="spellEnd"/>
      <w:r w:rsidRPr="00FB6D74">
        <w:rPr>
          <w:rFonts w:ascii="Times New Roman" w:hAnsi="Times New Roman" w:cs="Times New Roman"/>
          <w:sz w:val="24"/>
          <w:szCs w:val="24"/>
        </w:rPr>
        <w:t xml:space="preserve">, I., </w:t>
      </w:r>
      <w:proofErr w:type="spellStart"/>
      <w:r w:rsidRPr="00FB6D74">
        <w:rPr>
          <w:rFonts w:ascii="Times New Roman" w:hAnsi="Times New Roman" w:cs="Times New Roman"/>
          <w:sz w:val="24"/>
          <w:szCs w:val="24"/>
        </w:rPr>
        <w:t>Bogl</w:t>
      </w:r>
      <w:proofErr w:type="spellEnd"/>
      <w:r w:rsidRPr="00FB6D74">
        <w:rPr>
          <w:rFonts w:ascii="Times New Roman" w:hAnsi="Times New Roman" w:cs="Times New Roman"/>
          <w:sz w:val="24"/>
          <w:szCs w:val="24"/>
        </w:rPr>
        <w:t xml:space="preserve">, L. H., </w:t>
      </w:r>
      <w:proofErr w:type="spellStart"/>
      <w:r w:rsidRPr="00FB6D74">
        <w:rPr>
          <w:rFonts w:ascii="Times New Roman" w:hAnsi="Times New Roman" w:cs="Times New Roman"/>
          <w:sz w:val="24"/>
          <w:szCs w:val="24"/>
        </w:rPr>
        <w:t>Degenfellner</w:t>
      </w:r>
      <w:proofErr w:type="spellEnd"/>
      <w:r w:rsidRPr="00FB6D74">
        <w:rPr>
          <w:rFonts w:ascii="Times New Roman" w:hAnsi="Times New Roman" w:cs="Times New Roman"/>
          <w:sz w:val="24"/>
          <w:szCs w:val="24"/>
        </w:rPr>
        <w:t xml:space="preserve">, J., </w:t>
      </w:r>
      <w:proofErr w:type="spellStart"/>
      <w:r w:rsidRPr="00FB6D74">
        <w:rPr>
          <w:rFonts w:ascii="Times New Roman" w:hAnsi="Times New Roman" w:cs="Times New Roman"/>
          <w:sz w:val="24"/>
          <w:szCs w:val="24"/>
        </w:rPr>
        <w:t>Klösch</w:t>
      </w:r>
      <w:proofErr w:type="spellEnd"/>
      <w:r w:rsidRPr="00FB6D74">
        <w:rPr>
          <w:rFonts w:ascii="Times New Roman" w:hAnsi="Times New Roman" w:cs="Times New Roman"/>
          <w:sz w:val="24"/>
          <w:szCs w:val="24"/>
        </w:rPr>
        <w:t xml:space="preserve">, G., Seidel, S., </w:t>
      </w:r>
      <w:proofErr w:type="spellStart"/>
      <w:r w:rsidRPr="00FB6D74">
        <w:rPr>
          <w:rFonts w:ascii="Times New Roman" w:hAnsi="Times New Roman" w:cs="Times New Roman"/>
          <w:sz w:val="24"/>
          <w:szCs w:val="24"/>
        </w:rPr>
        <w:t>Schernhammer</w:t>
      </w:r>
      <w:proofErr w:type="spellEnd"/>
      <w:r w:rsidRPr="00FB6D74">
        <w:rPr>
          <w:rFonts w:ascii="Times New Roman" w:hAnsi="Times New Roman" w:cs="Times New Roman"/>
          <w:sz w:val="24"/>
          <w:szCs w:val="24"/>
        </w:rPr>
        <w:t xml:space="preserve">, E., and </w:t>
      </w:r>
      <w:proofErr w:type="spellStart"/>
      <w:r w:rsidRPr="00FB6D74">
        <w:rPr>
          <w:rFonts w:ascii="Times New Roman" w:hAnsi="Times New Roman" w:cs="Times New Roman"/>
          <w:sz w:val="24"/>
          <w:szCs w:val="24"/>
        </w:rPr>
        <w:t>Papantoniou</w:t>
      </w:r>
      <w:proofErr w:type="spellEnd"/>
      <w:r w:rsidRPr="00FB6D74">
        <w:rPr>
          <w:rFonts w:ascii="Times New Roman" w:hAnsi="Times New Roman" w:cs="Times New Roman"/>
          <w:sz w:val="24"/>
          <w:szCs w:val="24"/>
        </w:rPr>
        <w:t>, K. (2023). Meal-timing patterns and chronic disease prevalence in two representative Austrian studies. European Journal of Nutrition, 62(4), 1879–1890. https://doi.org/10.1007/s00394-023-03113-z</w:t>
      </w:r>
    </w:p>
    <w:p w14:paraId="00000E9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Santos, I., </w:t>
      </w:r>
      <w:proofErr w:type="spellStart"/>
      <w:r w:rsidRPr="000E4FE6">
        <w:rPr>
          <w:rFonts w:ascii="Times New Roman" w:hAnsi="Times New Roman" w:cs="Times New Roman"/>
          <w:sz w:val="24"/>
          <w:szCs w:val="24"/>
        </w:rPr>
        <w:t>Sniehotta</w:t>
      </w:r>
      <w:proofErr w:type="spellEnd"/>
      <w:r w:rsidRPr="000E4FE6">
        <w:rPr>
          <w:rFonts w:ascii="Times New Roman" w:hAnsi="Times New Roman" w:cs="Times New Roman"/>
          <w:sz w:val="24"/>
          <w:szCs w:val="24"/>
        </w:rPr>
        <w:t xml:space="preserve">, F. F., Marques, M. M., </w:t>
      </w:r>
      <w:proofErr w:type="spellStart"/>
      <w:r w:rsidRPr="000E4FE6">
        <w:rPr>
          <w:rFonts w:ascii="Times New Roman" w:hAnsi="Times New Roman" w:cs="Times New Roman"/>
          <w:sz w:val="24"/>
          <w:szCs w:val="24"/>
        </w:rPr>
        <w:t>Carraça</w:t>
      </w:r>
      <w:proofErr w:type="spellEnd"/>
      <w:r w:rsidRPr="000E4FE6">
        <w:rPr>
          <w:rFonts w:ascii="Times New Roman" w:hAnsi="Times New Roman" w:cs="Times New Roman"/>
          <w:sz w:val="24"/>
          <w:szCs w:val="24"/>
        </w:rPr>
        <w:t>, E. V., and Teixeira, P. J. (2017). Prevalence of personal weight control attempts in adults: a systematic review and meta-analysis.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(1), 32–50. https://doi.org/10.1111/obr.12466</w:t>
      </w:r>
    </w:p>
    <w:p w14:paraId="00000E9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Sargent, C., Zhou, X., Matthews, R. W., </w:t>
      </w:r>
      <w:proofErr w:type="spellStart"/>
      <w:r w:rsidRPr="000E4FE6">
        <w:rPr>
          <w:rFonts w:ascii="Times New Roman" w:hAnsi="Times New Roman" w:cs="Times New Roman"/>
          <w:sz w:val="24"/>
          <w:szCs w:val="24"/>
        </w:rPr>
        <w:t>Darwent</w:t>
      </w:r>
      <w:proofErr w:type="spellEnd"/>
      <w:r w:rsidRPr="000E4FE6">
        <w:rPr>
          <w:rFonts w:ascii="Times New Roman" w:hAnsi="Times New Roman" w:cs="Times New Roman"/>
          <w:sz w:val="24"/>
          <w:szCs w:val="24"/>
        </w:rPr>
        <w:t>, D., and Roach, G. D. (2016). Daily Rhythms of Hunger and Satiety in Healthy Men during One Week of Sleep Restriction and Circadian Misalignment. </w:t>
      </w:r>
      <w:r w:rsidRPr="000E4FE6">
        <w:rPr>
          <w:rFonts w:ascii="Times New Roman" w:hAnsi="Times New Roman" w:cs="Times New Roman"/>
          <w:i/>
          <w:sz w:val="24"/>
          <w:szCs w:val="24"/>
        </w:rPr>
        <w:t>International Journal of Environmental Research and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13</w:t>
      </w:r>
      <w:r w:rsidRPr="000E4FE6">
        <w:rPr>
          <w:rFonts w:ascii="Times New Roman" w:hAnsi="Times New Roman" w:cs="Times New Roman"/>
          <w:sz w:val="24"/>
          <w:szCs w:val="24"/>
        </w:rPr>
        <w:t>(2), 170. https://doi.org/10.3390/ijerph13020170</w:t>
      </w:r>
    </w:p>
    <w:p w14:paraId="00000E9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Sarwer</w:t>
      </w:r>
      <w:proofErr w:type="spellEnd"/>
      <w:r w:rsidRPr="000E4FE6">
        <w:rPr>
          <w:rFonts w:ascii="Times New Roman" w:hAnsi="Times New Roman" w:cs="Times New Roman"/>
          <w:sz w:val="24"/>
          <w:szCs w:val="24"/>
        </w:rPr>
        <w:t xml:space="preserve">, D. B., Moore, R. H., Spitzer, J. C., </w:t>
      </w:r>
      <w:proofErr w:type="spellStart"/>
      <w:r w:rsidRPr="000E4FE6">
        <w:rPr>
          <w:rFonts w:ascii="Times New Roman" w:hAnsi="Times New Roman" w:cs="Times New Roman"/>
          <w:sz w:val="24"/>
          <w:szCs w:val="24"/>
        </w:rPr>
        <w:t>Wadden</w:t>
      </w:r>
      <w:proofErr w:type="spellEnd"/>
      <w:r w:rsidRPr="000E4FE6">
        <w:rPr>
          <w:rFonts w:ascii="Times New Roman" w:hAnsi="Times New Roman" w:cs="Times New Roman"/>
          <w:sz w:val="24"/>
          <w:szCs w:val="24"/>
        </w:rPr>
        <w:t xml:space="preserve">, T. A., </w:t>
      </w:r>
      <w:proofErr w:type="spellStart"/>
      <w:r w:rsidRPr="000E4FE6">
        <w:rPr>
          <w:rFonts w:ascii="Times New Roman" w:hAnsi="Times New Roman" w:cs="Times New Roman"/>
          <w:sz w:val="24"/>
          <w:szCs w:val="24"/>
        </w:rPr>
        <w:t>Raper</w:t>
      </w:r>
      <w:proofErr w:type="spellEnd"/>
      <w:r w:rsidRPr="000E4FE6">
        <w:rPr>
          <w:rFonts w:ascii="Times New Roman" w:hAnsi="Times New Roman" w:cs="Times New Roman"/>
          <w:sz w:val="24"/>
          <w:szCs w:val="24"/>
        </w:rPr>
        <w:t xml:space="preserve">, S. E., and Williams, N. N. (2012). A pilot study investigating the efficacy of postoperative dietary </w:t>
      </w:r>
      <w:proofErr w:type="spellStart"/>
      <w:r w:rsidRPr="000E4FE6">
        <w:rPr>
          <w:rFonts w:ascii="Times New Roman" w:hAnsi="Times New Roman" w:cs="Times New Roman"/>
          <w:sz w:val="24"/>
          <w:szCs w:val="24"/>
        </w:rPr>
        <w:t>counseling</w:t>
      </w:r>
      <w:proofErr w:type="spellEnd"/>
      <w:r w:rsidRPr="000E4FE6">
        <w:rPr>
          <w:rFonts w:ascii="Times New Roman" w:hAnsi="Times New Roman" w:cs="Times New Roman"/>
          <w:sz w:val="24"/>
          <w:szCs w:val="24"/>
        </w:rPr>
        <w:t xml:space="preserve"> to improve outcomes after bariatric surgery. </w:t>
      </w:r>
      <w:r w:rsidRPr="000E4FE6">
        <w:rPr>
          <w:rFonts w:ascii="Times New Roman" w:hAnsi="Times New Roman" w:cs="Times New Roman"/>
          <w:i/>
          <w:sz w:val="24"/>
          <w:szCs w:val="24"/>
        </w:rPr>
        <w:t>Surgery for Obesity and Related Diseases</w:t>
      </w:r>
      <w:r w:rsidRPr="000E4FE6">
        <w:rPr>
          <w:rFonts w:ascii="Times New Roman" w:hAnsi="Times New Roman" w:cs="Times New Roman"/>
          <w:sz w:val="24"/>
          <w:szCs w:val="24"/>
        </w:rPr>
        <w:t>, </w:t>
      </w:r>
      <w:r w:rsidRPr="000E4FE6">
        <w:rPr>
          <w:rFonts w:ascii="Times New Roman" w:hAnsi="Times New Roman" w:cs="Times New Roman"/>
          <w:i/>
          <w:sz w:val="24"/>
          <w:szCs w:val="24"/>
        </w:rPr>
        <w:t>8</w:t>
      </w:r>
      <w:r w:rsidRPr="000E4FE6">
        <w:rPr>
          <w:rFonts w:ascii="Times New Roman" w:hAnsi="Times New Roman" w:cs="Times New Roman"/>
          <w:sz w:val="24"/>
          <w:szCs w:val="24"/>
        </w:rPr>
        <w:t>(5), 561–568. https://doi.org/10.1016/j.soard.2012.02.010</w:t>
      </w:r>
    </w:p>
    <w:p w14:paraId="00000E9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Sarwer</w:t>
      </w:r>
      <w:proofErr w:type="spellEnd"/>
      <w:r w:rsidRPr="000E4FE6">
        <w:rPr>
          <w:rFonts w:ascii="Times New Roman" w:hAnsi="Times New Roman" w:cs="Times New Roman"/>
          <w:sz w:val="24"/>
          <w:szCs w:val="24"/>
        </w:rPr>
        <w:t>, D. B., and Polonsky, H. M. (2016). The psychosocial burden of obesity. </w:t>
      </w:r>
      <w:r w:rsidRPr="000E4FE6">
        <w:rPr>
          <w:rFonts w:ascii="Times New Roman" w:hAnsi="Times New Roman" w:cs="Times New Roman"/>
          <w:i/>
          <w:sz w:val="24"/>
          <w:szCs w:val="24"/>
        </w:rPr>
        <w:t>Endocrinology and Metabolism Clinics of North America</w:t>
      </w:r>
      <w:r w:rsidRPr="000E4FE6">
        <w:rPr>
          <w:rFonts w:ascii="Times New Roman" w:hAnsi="Times New Roman" w:cs="Times New Roman"/>
          <w:sz w:val="24"/>
          <w:szCs w:val="24"/>
        </w:rPr>
        <w:t>, </w:t>
      </w:r>
      <w:r w:rsidRPr="000E4FE6">
        <w:rPr>
          <w:rFonts w:ascii="Times New Roman" w:hAnsi="Times New Roman" w:cs="Times New Roman"/>
          <w:i/>
          <w:sz w:val="24"/>
          <w:szCs w:val="24"/>
        </w:rPr>
        <w:t>45</w:t>
      </w:r>
      <w:r w:rsidRPr="000E4FE6">
        <w:rPr>
          <w:rFonts w:ascii="Times New Roman" w:hAnsi="Times New Roman" w:cs="Times New Roman"/>
          <w:sz w:val="24"/>
          <w:szCs w:val="24"/>
        </w:rPr>
        <w:t>(3), 677–688. https://doi.org/10.1016/j.ecl.2016.04.016</w:t>
      </w:r>
    </w:p>
    <w:p w14:paraId="00000E9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lastRenderedPageBreak/>
        <w:t xml:space="preserve">Sato-Mito, N., </w:t>
      </w:r>
      <w:proofErr w:type="spellStart"/>
      <w:r w:rsidRPr="000E4FE6">
        <w:rPr>
          <w:rFonts w:ascii="Times New Roman" w:hAnsi="Times New Roman" w:cs="Times New Roman"/>
          <w:sz w:val="24"/>
          <w:szCs w:val="24"/>
          <w:lang w:val="es-ES_tradnl"/>
        </w:rPr>
        <w:t>Sasaki</w:t>
      </w:r>
      <w:proofErr w:type="spellEnd"/>
      <w:r w:rsidRPr="000E4FE6">
        <w:rPr>
          <w:rFonts w:ascii="Times New Roman" w:hAnsi="Times New Roman" w:cs="Times New Roman"/>
          <w:sz w:val="24"/>
          <w:szCs w:val="24"/>
          <w:lang w:val="es-ES_tradnl"/>
        </w:rPr>
        <w:t xml:space="preserve">, S., Murakami, K., </w:t>
      </w:r>
      <w:proofErr w:type="spellStart"/>
      <w:r w:rsidRPr="000E4FE6">
        <w:rPr>
          <w:rFonts w:ascii="Times New Roman" w:hAnsi="Times New Roman" w:cs="Times New Roman"/>
          <w:sz w:val="24"/>
          <w:szCs w:val="24"/>
          <w:lang w:val="es-ES_tradnl"/>
        </w:rPr>
        <w:t>Okubo</w:t>
      </w:r>
      <w:proofErr w:type="spellEnd"/>
      <w:r w:rsidRPr="000E4FE6">
        <w:rPr>
          <w:rFonts w:ascii="Times New Roman" w:hAnsi="Times New Roman" w:cs="Times New Roman"/>
          <w:sz w:val="24"/>
          <w:szCs w:val="24"/>
          <w:lang w:val="es-ES_tradnl"/>
        </w:rPr>
        <w:t xml:space="preserve">, H., Takahashi, Y., </w:t>
      </w:r>
      <w:proofErr w:type="spellStart"/>
      <w:r w:rsidRPr="000E4FE6">
        <w:rPr>
          <w:rFonts w:ascii="Times New Roman" w:hAnsi="Times New Roman" w:cs="Times New Roman"/>
          <w:sz w:val="24"/>
          <w:szCs w:val="24"/>
          <w:lang w:val="es-ES_tradnl"/>
        </w:rPr>
        <w:t>Shibata</w:t>
      </w:r>
      <w:proofErr w:type="spellEnd"/>
      <w:r w:rsidRPr="000E4FE6">
        <w:rPr>
          <w:rFonts w:ascii="Times New Roman" w:hAnsi="Times New Roman" w:cs="Times New Roman"/>
          <w:sz w:val="24"/>
          <w:szCs w:val="24"/>
          <w:lang w:val="es-ES_tradnl"/>
        </w:rPr>
        <w:t xml:space="preserve">, S., … </w:t>
      </w:r>
      <w:r w:rsidRPr="000E4FE6">
        <w:rPr>
          <w:rFonts w:ascii="Times New Roman" w:hAnsi="Times New Roman" w:cs="Times New Roman"/>
          <w:sz w:val="24"/>
          <w:szCs w:val="24"/>
        </w:rPr>
        <w:t xml:space="preserve">Freshmen in Dietetic Courses Study II group. (2011). The midpoint of sleep is associated with dietary intake and dietary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among young Japanese women. </w:t>
      </w:r>
      <w:r w:rsidRPr="000E4FE6">
        <w:rPr>
          <w:rFonts w:ascii="Times New Roman" w:hAnsi="Times New Roman" w:cs="Times New Roman"/>
          <w:i/>
          <w:sz w:val="24"/>
          <w:szCs w:val="24"/>
        </w:rPr>
        <w:t>Sleep Medicine</w:t>
      </w:r>
      <w:r w:rsidRPr="000E4FE6">
        <w:rPr>
          <w:rFonts w:ascii="Times New Roman" w:hAnsi="Times New Roman" w:cs="Times New Roman"/>
          <w:sz w:val="24"/>
          <w:szCs w:val="24"/>
        </w:rPr>
        <w:t>, </w:t>
      </w:r>
      <w:r w:rsidRPr="000E4FE6">
        <w:rPr>
          <w:rFonts w:ascii="Times New Roman" w:hAnsi="Times New Roman" w:cs="Times New Roman"/>
          <w:i/>
          <w:sz w:val="24"/>
          <w:szCs w:val="24"/>
        </w:rPr>
        <w:t>12</w:t>
      </w:r>
      <w:r w:rsidRPr="000E4FE6">
        <w:rPr>
          <w:rFonts w:ascii="Times New Roman" w:hAnsi="Times New Roman" w:cs="Times New Roman"/>
          <w:sz w:val="24"/>
          <w:szCs w:val="24"/>
        </w:rPr>
        <w:t>(3), 289–294. https://doi.org/10.1016/j.sleep.2010.09.012</w:t>
      </w:r>
    </w:p>
    <w:p w14:paraId="00000E9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Saunders, J. F., Nichols-Lopez, K. A., and Frazier, L. D. (2018). Psychometric properties of the intuitive eating scale-2 (IES-2) in a culturally diverse Hispanic American sample.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 1–7. https://doi.org/10.1016/j.eatbeh.2017.11.003</w:t>
      </w:r>
    </w:p>
    <w:p w14:paraId="00000EA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Schachter, S., and Gross, L. P. (1968). Manipulated time and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Journal of Personality and Social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(2), 98–106. https://doi.org/10.1037/h0026285</w:t>
      </w:r>
    </w:p>
    <w:p w14:paraId="00000EA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Scheer, F. A. J. L., Morris, C. J., and Shea, S. A. (2013). The internal circadian clock increases hunger and appetite in the evening independent of food intake and other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(3), 421–423. https://doi.org/10.1002/oby.20351</w:t>
      </w:r>
    </w:p>
    <w:p w14:paraId="00000EA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Scherwitz</w:t>
      </w:r>
      <w:proofErr w:type="spellEnd"/>
      <w:r w:rsidRPr="000E4FE6">
        <w:rPr>
          <w:rFonts w:ascii="Times New Roman" w:hAnsi="Times New Roman" w:cs="Times New Roman"/>
          <w:sz w:val="24"/>
          <w:szCs w:val="24"/>
        </w:rPr>
        <w:t xml:space="preserve">, L., and </w:t>
      </w:r>
      <w:proofErr w:type="spellStart"/>
      <w:r w:rsidRPr="000E4FE6">
        <w:rPr>
          <w:rFonts w:ascii="Times New Roman" w:hAnsi="Times New Roman" w:cs="Times New Roman"/>
          <w:sz w:val="24"/>
          <w:szCs w:val="24"/>
        </w:rPr>
        <w:t>Kesten</w:t>
      </w:r>
      <w:proofErr w:type="spellEnd"/>
      <w:r w:rsidRPr="000E4FE6">
        <w:rPr>
          <w:rFonts w:ascii="Times New Roman" w:hAnsi="Times New Roman" w:cs="Times New Roman"/>
          <w:sz w:val="24"/>
          <w:szCs w:val="24"/>
        </w:rPr>
        <w:t>, D. (2005). Seven eating styles linked to overeating, overweight, and obesity. </w:t>
      </w:r>
      <w:r w:rsidRPr="000E4FE6">
        <w:rPr>
          <w:rFonts w:ascii="Times New Roman" w:hAnsi="Times New Roman" w:cs="Times New Roman"/>
          <w:i/>
          <w:sz w:val="24"/>
          <w:szCs w:val="24"/>
        </w:rPr>
        <w:t>Explore (New York, N.Y.)</w:t>
      </w:r>
      <w:r w:rsidRPr="000E4FE6">
        <w:rPr>
          <w:rFonts w:ascii="Times New Roman" w:hAnsi="Times New Roman" w:cs="Times New Roman"/>
          <w:sz w:val="24"/>
          <w:szCs w:val="24"/>
        </w:rPr>
        <w:t>, </w:t>
      </w:r>
      <w:r w:rsidRPr="000E4FE6">
        <w:rPr>
          <w:rFonts w:ascii="Times New Roman" w:hAnsi="Times New Roman" w:cs="Times New Roman"/>
          <w:i/>
          <w:sz w:val="24"/>
          <w:szCs w:val="24"/>
        </w:rPr>
        <w:t>1</w:t>
      </w:r>
      <w:r w:rsidRPr="000E4FE6">
        <w:rPr>
          <w:rFonts w:ascii="Times New Roman" w:hAnsi="Times New Roman" w:cs="Times New Roman"/>
          <w:sz w:val="24"/>
          <w:szCs w:val="24"/>
        </w:rPr>
        <w:t>(5), 342–359. https://doi.org/10.1016/j.explore.2005.06.004</w:t>
      </w:r>
    </w:p>
    <w:p w14:paraId="00000EA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Scheving</w:t>
      </w:r>
      <w:proofErr w:type="spellEnd"/>
      <w:r w:rsidRPr="000E4FE6">
        <w:rPr>
          <w:rFonts w:ascii="Times New Roman" w:hAnsi="Times New Roman" w:cs="Times New Roman"/>
          <w:sz w:val="24"/>
          <w:szCs w:val="24"/>
        </w:rPr>
        <w:t>, L. A. (2000). Biological clocks and the digestive system. </w:t>
      </w:r>
      <w:r w:rsidRPr="000E4FE6">
        <w:rPr>
          <w:rFonts w:ascii="Times New Roman" w:hAnsi="Times New Roman" w:cs="Times New Roman"/>
          <w:i/>
          <w:sz w:val="24"/>
          <w:szCs w:val="24"/>
        </w:rPr>
        <w:t>Gastroenterology</w:t>
      </w:r>
      <w:r w:rsidRPr="000E4FE6">
        <w:rPr>
          <w:rFonts w:ascii="Times New Roman" w:hAnsi="Times New Roman" w:cs="Times New Roman"/>
          <w:sz w:val="24"/>
          <w:szCs w:val="24"/>
        </w:rPr>
        <w:t>, </w:t>
      </w:r>
      <w:r w:rsidRPr="000E4FE6">
        <w:rPr>
          <w:rFonts w:ascii="Times New Roman" w:hAnsi="Times New Roman" w:cs="Times New Roman"/>
          <w:i/>
          <w:sz w:val="24"/>
          <w:szCs w:val="24"/>
        </w:rPr>
        <w:t>119</w:t>
      </w:r>
      <w:r w:rsidRPr="000E4FE6">
        <w:rPr>
          <w:rFonts w:ascii="Times New Roman" w:hAnsi="Times New Roman" w:cs="Times New Roman"/>
          <w:sz w:val="24"/>
          <w:szCs w:val="24"/>
        </w:rPr>
        <w:t>(2), 536–549. https://doi.org/10.1053/gast.2000.9305</w:t>
      </w:r>
    </w:p>
    <w:p w14:paraId="00000EA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Schmidt, R. C. (1997). Managing </w:t>
      </w:r>
      <w:proofErr w:type="spellStart"/>
      <w:r w:rsidRPr="000E4FE6">
        <w:rPr>
          <w:rFonts w:ascii="Times New Roman" w:hAnsi="Times New Roman" w:cs="Times New Roman"/>
          <w:sz w:val="24"/>
          <w:szCs w:val="24"/>
        </w:rPr>
        <w:t>delphi</w:t>
      </w:r>
      <w:proofErr w:type="spellEnd"/>
      <w:r w:rsidRPr="000E4FE6">
        <w:rPr>
          <w:rFonts w:ascii="Times New Roman" w:hAnsi="Times New Roman" w:cs="Times New Roman"/>
          <w:sz w:val="24"/>
          <w:szCs w:val="24"/>
        </w:rPr>
        <w:t xml:space="preserve"> surveys using nonparametric statistical techniques. </w:t>
      </w:r>
      <w:r w:rsidRPr="000E4FE6">
        <w:rPr>
          <w:rFonts w:ascii="Times New Roman" w:hAnsi="Times New Roman" w:cs="Times New Roman"/>
          <w:i/>
          <w:sz w:val="24"/>
          <w:szCs w:val="24"/>
        </w:rPr>
        <w:t>Decision Sciences</w:t>
      </w:r>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(3), 763–774. https://doi.org/10.1111/j.1540-5915.1997.tb01330.x</w:t>
      </w:r>
    </w:p>
    <w:p w14:paraId="00000EA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Schubert, E., and </w:t>
      </w:r>
      <w:proofErr w:type="spellStart"/>
      <w:r w:rsidRPr="000E4FE6">
        <w:rPr>
          <w:rFonts w:ascii="Times New Roman" w:hAnsi="Times New Roman" w:cs="Times New Roman"/>
          <w:sz w:val="24"/>
          <w:szCs w:val="24"/>
        </w:rPr>
        <w:t>Randler</w:t>
      </w:r>
      <w:proofErr w:type="spellEnd"/>
      <w:r w:rsidRPr="000E4FE6">
        <w:rPr>
          <w:rFonts w:ascii="Times New Roman" w:hAnsi="Times New Roman" w:cs="Times New Roman"/>
          <w:sz w:val="24"/>
          <w:szCs w:val="24"/>
        </w:rPr>
        <w:t>, C. (2008). Association between chronotype and the constructs of the Three-Factor-Eating-Questionnaire.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51</w:t>
      </w:r>
      <w:r w:rsidRPr="000E4FE6">
        <w:rPr>
          <w:rFonts w:ascii="Times New Roman" w:hAnsi="Times New Roman" w:cs="Times New Roman"/>
          <w:sz w:val="24"/>
          <w:szCs w:val="24"/>
        </w:rPr>
        <w:t>(3), 501–505. https://doi.org/10.1016/j.appet.2008.03.018</w:t>
      </w:r>
    </w:p>
    <w:p w14:paraId="00000EA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Schumacher, S., Kemps, E., and Tiggemann, M. (2018). Cognitive </w:t>
      </w:r>
      <w:proofErr w:type="spellStart"/>
      <w:r w:rsidRPr="000E4FE6">
        <w:rPr>
          <w:rFonts w:ascii="Times New Roman" w:hAnsi="Times New Roman" w:cs="Times New Roman"/>
          <w:sz w:val="24"/>
          <w:szCs w:val="24"/>
        </w:rPr>
        <w:t>defusion</w:t>
      </w:r>
      <w:proofErr w:type="spellEnd"/>
      <w:r w:rsidRPr="000E4FE6">
        <w:rPr>
          <w:rFonts w:ascii="Times New Roman" w:hAnsi="Times New Roman" w:cs="Times New Roman"/>
          <w:sz w:val="24"/>
          <w:szCs w:val="24"/>
        </w:rPr>
        <w:t xml:space="preserve"> and guided imagery tasks reduce naturalistic food cravings and consumption: A field study.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127</w:t>
      </w:r>
      <w:r w:rsidRPr="000E4FE6">
        <w:rPr>
          <w:rFonts w:ascii="Times New Roman" w:hAnsi="Times New Roman" w:cs="Times New Roman"/>
          <w:sz w:val="24"/>
          <w:szCs w:val="24"/>
        </w:rPr>
        <w:t>, 393–399. https://doi.org/10.1016/j.appet.2018.05.018</w:t>
      </w:r>
    </w:p>
    <w:p w14:paraId="00000EA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Schusdziarra</w:t>
      </w:r>
      <w:proofErr w:type="spellEnd"/>
      <w:r w:rsidRPr="000E4FE6">
        <w:rPr>
          <w:rFonts w:ascii="Times New Roman" w:hAnsi="Times New Roman" w:cs="Times New Roman"/>
          <w:sz w:val="24"/>
          <w:szCs w:val="24"/>
        </w:rPr>
        <w:t xml:space="preserve">, V., Hausmann, M., </w:t>
      </w:r>
      <w:proofErr w:type="spellStart"/>
      <w:r w:rsidRPr="000E4FE6">
        <w:rPr>
          <w:rFonts w:ascii="Times New Roman" w:hAnsi="Times New Roman" w:cs="Times New Roman"/>
          <w:sz w:val="24"/>
          <w:szCs w:val="24"/>
        </w:rPr>
        <w:t>Wittke</w:t>
      </w:r>
      <w:proofErr w:type="spellEnd"/>
      <w:r w:rsidRPr="000E4FE6">
        <w:rPr>
          <w:rFonts w:ascii="Times New Roman" w:hAnsi="Times New Roman" w:cs="Times New Roman"/>
          <w:sz w:val="24"/>
          <w:szCs w:val="24"/>
        </w:rPr>
        <w:t>, C., Mittermeier, J., Kellner, M., Naumann, A., … Erdmann, J. (2011). Impact of breakfast on daily energy intake--an analysis of absolute versus relative breakfast calories. </w:t>
      </w:r>
      <w:r w:rsidRPr="000E4FE6">
        <w:rPr>
          <w:rFonts w:ascii="Times New Roman" w:hAnsi="Times New Roman" w:cs="Times New Roman"/>
          <w:i/>
          <w:sz w:val="24"/>
          <w:szCs w:val="24"/>
        </w:rPr>
        <w:t>Nutrition Journal</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 5. https://doi.org/10.1186/1475-2891-10-5</w:t>
      </w:r>
    </w:p>
    <w:p w14:paraId="00000EA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Schüz</w:t>
      </w:r>
      <w:proofErr w:type="spellEnd"/>
      <w:r w:rsidRPr="000E4FE6">
        <w:rPr>
          <w:rFonts w:ascii="Times New Roman" w:hAnsi="Times New Roman" w:cs="Times New Roman"/>
          <w:sz w:val="24"/>
          <w:szCs w:val="24"/>
        </w:rPr>
        <w:t xml:space="preserve">, B., Revell, S., Hills, A. P., </w:t>
      </w:r>
      <w:proofErr w:type="spellStart"/>
      <w:r w:rsidRPr="000E4FE6">
        <w:rPr>
          <w:rFonts w:ascii="Times New Roman" w:hAnsi="Times New Roman" w:cs="Times New Roman"/>
          <w:sz w:val="24"/>
          <w:szCs w:val="24"/>
        </w:rPr>
        <w:t>Schüz</w:t>
      </w:r>
      <w:proofErr w:type="spellEnd"/>
      <w:r w:rsidRPr="000E4FE6">
        <w:rPr>
          <w:rFonts w:ascii="Times New Roman" w:hAnsi="Times New Roman" w:cs="Times New Roman"/>
          <w:sz w:val="24"/>
          <w:szCs w:val="24"/>
        </w:rPr>
        <w:t>, N., and Ferguson, S. G. (2017). Higher BMI is associated with stronger effects of social cues on everyday snacking behaviour.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114</w:t>
      </w:r>
      <w:r w:rsidRPr="000E4FE6">
        <w:rPr>
          <w:rFonts w:ascii="Times New Roman" w:hAnsi="Times New Roman" w:cs="Times New Roman"/>
          <w:sz w:val="24"/>
          <w:szCs w:val="24"/>
        </w:rPr>
        <w:t>, 1–5. https://doi.org/10.1016/j.appet.2017.03.012</w:t>
      </w:r>
    </w:p>
    <w:p w14:paraId="00000EA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Scott, K. A., </w:t>
      </w:r>
      <w:proofErr w:type="spellStart"/>
      <w:r w:rsidRPr="000E4FE6">
        <w:rPr>
          <w:rFonts w:ascii="Times New Roman" w:hAnsi="Times New Roman" w:cs="Times New Roman"/>
          <w:sz w:val="24"/>
          <w:szCs w:val="24"/>
        </w:rPr>
        <w:t>Melhorn</w:t>
      </w:r>
      <w:proofErr w:type="spellEnd"/>
      <w:r w:rsidRPr="000E4FE6">
        <w:rPr>
          <w:rFonts w:ascii="Times New Roman" w:hAnsi="Times New Roman" w:cs="Times New Roman"/>
          <w:sz w:val="24"/>
          <w:szCs w:val="24"/>
        </w:rPr>
        <w:t>, S. J., and Sakai, R. R. (2012). Effects of chronic social stress on obesity. </w:t>
      </w:r>
      <w:r w:rsidRPr="000E4FE6">
        <w:rPr>
          <w:rFonts w:ascii="Times New Roman" w:hAnsi="Times New Roman" w:cs="Times New Roman"/>
          <w:i/>
          <w:sz w:val="24"/>
          <w:szCs w:val="24"/>
        </w:rPr>
        <w:t>Current Obesity Reports</w:t>
      </w:r>
      <w:r w:rsidRPr="000E4FE6">
        <w:rPr>
          <w:rFonts w:ascii="Times New Roman" w:hAnsi="Times New Roman" w:cs="Times New Roman"/>
          <w:sz w:val="24"/>
          <w:szCs w:val="24"/>
        </w:rPr>
        <w:t>, </w:t>
      </w:r>
      <w:r w:rsidRPr="000E4FE6">
        <w:rPr>
          <w:rFonts w:ascii="Times New Roman" w:hAnsi="Times New Roman" w:cs="Times New Roman"/>
          <w:i/>
          <w:sz w:val="24"/>
          <w:szCs w:val="24"/>
        </w:rPr>
        <w:t>1</w:t>
      </w:r>
      <w:r w:rsidRPr="000E4FE6">
        <w:rPr>
          <w:rFonts w:ascii="Times New Roman" w:hAnsi="Times New Roman" w:cs="Times New Roman"/>
          <w:sz w:val="24"/>
          <w:szCs w:val="24"/>
        </w:rPr>
        <w:t>(1), 16–25. https://doi.org/10.1007/s13679-011-0006-3</w:t>
      </w:r>
    </w:p>
    <w:p w14:paraId="00000EA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Segerstrom, S. C., and Smith, G. T. (2019). Personality and coping: individual differences in responses to emotion. </w:t>
      </w:r>
      <w:r w:rsidRPr="000E4FE6">
        <w:rPr>
          <w:rFonts w:ascii="Times New Roman" w:hAnsi="Times New Roman" w:cs="Times New Roman"/>
          <w:i/>
          <w:sz w:val="24"/>
          <w:szCs w:val="24"/>
        </w:rPr>
        <w:t>Annual Review of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70</w:t>
      </w:r>
      <w:r w:rsidRPr="000E4FE6">
        <w:rPr>
          <w:rFonts w:ascii="Times New Roman" w:hAnsi="Times New Roman" w:cs="Times New Roman"/>
          <w:sz w:val="24"/>
          <w:szCs w:val="24"/>
        </w:rPr>
        <w:t>, 651–671. https://doi.org/10.1146/annurev-psych-010418-102917</w:t>
      </w:r>
    </w:p>
    <w:p w14:paraId="00000EA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Seimon</w:t>
      </w:r>
      <w:proofErr w:type="spellEnd"/>
      <w:r w:rsidRPr="000E4FE6">
        <w:rPr>
          <w:rFonts w:ascii="Times New Roman" w:hAnsi="Times New Roman" w:cs="Times New Roman"/>
          <w:sz w:val="24"/>
          <w:szCs w:val="24"/>
        </w:rPr>
        <w:t xml:space="preserve">, R. V., </w:t>
      </w:r>
      <w:proofErr w:type="spellStart"/>
      <w:r w:rsidRPr="000E4FE6">
        <w:rPr>
          <w:rFonts w:ascii="Times New Roman" w:hAnsi="Times New Roman" w:cs="Times New Roman"/>
          <w:sz w:val="24"/>
          <w:szCs w:val="24"/>
        </w:rPr>
        <w:t>Roekenes</w:t>
      </w:r>
      <w:proofErr w:type="spellEnd"/>
      <w:r w:rsidRPr="000E4FE6">
        <w:rPr>
          <w:rFonts w:ascii="Times New Roman" w:hAnsi="Times New Roman" w:cs="Times New Roman"/>
          <w:sz w:val="24"/>
          <w:szCs w:val="24"/>
        </w:rPr>
        <w:t xml:space="preserve">, J. A., </w:t>
      </w:r>
      <w:proofErr w:type="spellStart"/>
      <w:r w:rsidRPr="000E4FE6">
        <w:rPr>
          <w:rFonts w:ascii="Times New Roman" w:hAnsi="Times New Roman" w:cs="Times New Roman"/>
          <w:sz w:val="24"/>
          <w:szCs w:val="24"/>
        </w:rPr>
        <w:t>Zibellini</w:t>
      </w:r>
      <w:proofErr w:type="spellEnd"/>
      <w:r w:rsidRPr="000E4FE6">
        <w:rPr>
          <w:rFonts w:ascii="Times New Roman" w:hAnsi="Times New Roman" w:cs="Times New Roman"/>
          <w:sz w:val="24"/>
          <w:szCs w:val="24"/>
        </w:rPr>
        <w:t>, J., Zhu, B., Gibson, A. A., Hills, A. P., … Sainsbury, A. (2015). Do intermittent diets provide physiological benefits over continuous diets for weight loss? A systematic review of clinical trials. </w:t>
      </w:r>
      <w:r w:rsidRPr="000E4FE6">
        <w:rPr>
          <w:rFonts w:ascii="Times New Roman" w:hAnsi="Times New Roman" w:cs="Times New Roman"/>
          <w:i/>
          <w:sz w:val="24"/>
          <w:szCs w:val="24"/>
        </w:rPr>
        <w:t>Molecular and Cellular Endocrinology</w:t>
      </w:r>
      <w:r w:rsidRPr="000E4FE6">
        <w:rPr>
          <w:rFonts w:ascii="Times New Roman" w:hAnsi="Times New Roman" w:cs="Times New Roman"/>
          <w:sz w:val="24"/>
          <w:szCs w:val="24"/>
        </w:rPr>
        <w:t>, </w:t>
      </w:r>
      <w:r w:rsidRPr="000E4FE6">
        <w:rPr>
          <w:rFonts w:ascii="Times New Roman" w:hAnsi="Times New Roman" w:cs="Times New Roman"/>
          <w:i/>
          <w:sz w:val="24"/>
          <w:szCs w:val="24"/>
        </w:rPr>
        <w:t>418 Pt 2</w:t>
      </w:r>
      <w:r w:rsidRPr="000E4FE6">
        <w:rPr>
          <w:rFonts w:ascii="Times New Roman" w:hAnsi="Times New Roman" w:cs="Times New Roman"/>
          <w:sz w:val="24"/>
          <w:szCs w:val="24"/>
        </w:rPr>
        <w:t>, 153–172. https://doi.org/10.1016/j.mce.2015.09.014</w:t>
      </w:r>
    </w:p>
    <w:p w14:paraId="00000EA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Sempere</w:t>
      </w:r>
      <w:proofErr w:type="spellEnd"/>
      <w:r w:rsidRPr="000E4FE6">
        <w:rPr>
          <w:rFonts w:ascii="Times New Roman" w:hAnsi="Times New Roman" w:cs="Times New Roman"/>
          <w:sz w:val="24"/>
          <w:szCs w:val="24"/>
        </w:rPr>
        <w:t xml:space="preserve">-Rubio, N., </w:t>
      </w:r>
      <w:proofErr w:type="spellStart"/>
      <w:r w:rsidRPr="000E4FE6">
        <w:rPr>
          <w:rFonts w:ascii="Times New Roman" w:hAnsi="Times New Roman" w:cs="Times New Roman"/>
          <w:sz w:val="24"/>
          <w:szCs w:val="24"/>
        </w:rPr>
        <w:t>Aguas</w:t>
      </w:r>
      <w:proofErr w:type="spellEnd"/>
      <w:r w:rsidRPr="000E4FE6">
        <w:rPr>
          <w:rFonts w:ascii="Times New Roman" w:hAnsi="Times New Roman" w:cs="Times New Roman"/>
          <w:sz w:val="24"/>
          <w:szCs w:val="24"/>
        </w:rPr>
        <w:t xml:space="preserve">, M., and </w:t>
      </w:r>
      <w:proofErr w:type="spellStart"/>
      <w:r w:rsidRPr="000E4FE6">
        <w:rPr>
          <w:rFonts w:ascii="Times New Roman" w:hAnsi="Times New Roman" w:cs="Times New Roman"/>
          <w:sz w:val="24"/>
          <w:szCs w:val="24"/>
        </w:rPr>
        <w:t>Faubel</w:t>
      </w:r>
      <w:proofErr w:type="spellEnd"/>
      <w:r w:rsidRPr="000E4FE6">
        <w:rPr>
          <w:rFonts w:ascii="Times New Roman" w:hAnsi="Times New Roman" w:cs="Times New Roman"/>
          <w:sz w:val="24"/>
          <w:szCs w:val="24"/>
        </w:rPr>
        <w:t>, R. (2022). Association between Chronotype, Physical Activity and Sedentary Behaviour: A Systematic Review. </w:t>
      </w:r>
      <w:r w:rsidRPr="000E4FE6">
        <w:rPr>
          <w:rFonts w:ascii="Times New Roman" w:hAnsi="Times New Roman" w:cs="Times New Roman"/>
          <w:i/>
          <w:sz w:val="24"/>
          <w:szCs w:val="24"/>
        </w:rPr>
        <w:t>International Journal of Environmental Research and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(15). https://doi.org/10.3390/ijerph19159646</w:t>
      </w:r>
    </w:p>
    <w:p w14:paraId="00000EA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Shah, M., Copeland, J., Dart, L., Adams-</w:t>
      </w:r>
      <w:proofErr w:type="spellStart"/>
      <w:r w:rsidRPr="000E4FE6">
        <w:rPr>
          <w:rFonts w:ascii="Times New Roman" w:hAnsi="Times New Roman" w:cs="Times New Roman"/>
          <w:sz w:val="24"/>
          <w:szCs w:val="24"/>
        </w:rPr>
        <w:t>Huet</w:t>
      </w:r>
      <w:proofErr w:type="spellEnd"/>
      <w:r w:rsidRPr="000E4FE6">
        <w:rPr>
          <w:rFonts w:ascii="Times New Roman" w:hAnsi="Times New Roman" w:cs="Times New Roman"/>
          <w:sz w:val="24"/>
          <w:szCs w:val="24"/>
        </w:rPr>
        <w:t xml:space="preserve">, B., James, A., and Rhea, D. (2014). Slower eating speed lowers energy intake in </w:t>
      </w:r>
      <w:proofErr w:type="gramStart"/>
      <w:r w:rsidRPr="000E4FE6">
        <w:rPr>
          <w:rFonts w:ascii="Times New Roman" w:hAnsi="Times New Roman" w:cs="Times New Roman"/>
          <w:sz w:val="24"/>
          <w:szCs w:val="24"/>
        </w:rPr>
        <w:t>normal-weight</w:t>
      </w:r>
      <w:proofErr w:type="gramEnd"/>
      <w:r w:rsidRPr="000E4FE6">
        <w:rPr>
          <w:rFonts w:ascii="Times New Roman" w:hAnsi="Times New Roman" w:cs="Times New Roman"/>
          <w:sz w:val="24"/>
          <w:szCs w:val="24"/>
        </w:rPr>
        <w:t xml:space="preserve"> but not overweight/obese subjects. </w:t>
      </w:r>
      <w:r w:rsidRPr="000E4FE6">
        <w:rPr>
          <w:rFonts w:ascii="Times New Roman" w:hAnsi="Times New Roman" w:cs="Times New Roman"/>
          <w:i/>
          <w:sz w:val="24"/>
          <w:szCs w:val="24"/>
        </w:rPr>
        <w:t>Journal of the Academy of Nutrition and Dietetics</w:t>
      </w:r>
      <w:r w:rsidRPr="000E4FE6">
        <w:rPr>
          <w:rFonts w:ascii="Times New Roman" w:hAnsi="Times New Roman" w:cs="Times New Roman"/>
          <w:sz w:val="24"/>
          <w:szCs w:val="24"/>
        </w:rPr>
        <w:t>, </w:t>
      </w:r>
      <w:r w:rsidRPr="000E4FE6">
        <w:rPr>
          <w:rFonts w:ascii="Times New Roman" w:hAnsi="Times New Roman" w:cs="Times New Roman"/>
          <w:i/>
          <w:sz w:val="24"/>
          <w:szCs w:val="24"/>
        </w:rPr>
        <w:t>114</w:t>
      </w:r>
      <w:r w:rsidRPr="000E4FE6">
        <w:rPr>
          <w:rFonts w:ascii="Times New Roman" w:hAnsi="Times New Roman" w:cs="Times New Roman"/>
          <w:sz w:val="24"/>
          <w:szCs w:val="24"/>
        </w:rPr>
        <w:t>(3), 393–402. https://doi.org/10.1016/j.jand.2013.11.002</w:t>
      </w:r>
    </w:p>
    <w:p w14:paraId="00000EA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Shanyinde</w:t>
      </w:r>
      <w:proofErr w:type="spellEnd"/>
      <w:r w:rsidRPr="000E4FE6">
        <w:rPr>
          <w:rFonts w:ascii="Times New Roman" w:hAnsi="Times New Roman" w:cs="Times New Roman"/>
          <w:sz w:val="24"/>
          <w:szCs w:val="24"/>
        </w:rPr>
        <w:t>, M., Pickering, R. M., and Weatherall, M. (2011). Questions asked and answered in pilot and feasibility randomized controlled trials. </w:t>
      </w:r>
      <w:r w:rsidRPr="000E4FE6">
        <w:rPr>
          <w:rFonts w:ascii="Times New Roman" w:hAnsi="Times New Roman" w:cs="Times New Roman"/>
          <w:i/>
          <w:sz w:val="24"/>
          <w:szCs w:val="24"/>
        </w:rPr>
        <w:t>BMC Medical Research Methodology</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 117. https://doi.org/10.1186/1471-2288-11-117</w:t>
      </w:r>
    </w:p>
    <w:p w14:paraId="00000EA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Sharifi, N., Mahdavi, R., and Ebrahimi-</w:t>
      </w:r>
      <w:proofErr w:type="spellStart"/>
      <w:r w:rsidRPr="000E4FE6">
        <w:rPr>
          <w:rFonts w:ascii="Times New Roman" w:hAnsi="Times New Roman" w:cs="Times New Roman"/>
          <w:sz w:val="24"/>
          <w:szCs w:val="24"/>
        </w:rPr>
        <w:t>Mameghani</w:t>
      </w:r>
      <w:proofErr w:type="spellEnd"/>
      <w:r w:rsidRPr="000E4FE6">
        <w:rPr>
          <w:rFonts w:ascii="Times New Roman" w:hAnsi="Times New Roman" w:cs="Times New Roman"/>
          <w:sz w:val="24"/>
          <w:szCs w:val="24"/>
        </w:rPr>
        <w:t>, M. (2013). Perceived Barriers to Weight loss Programs for Overweight or Obese Women. </w:t>
      </w:r>
      <w:r w:rsidRPr="000E4FE6">
        <w:rPr>
          <w:rFonts w:ascii="Times New Roman" w:hAnsi="Times New Roman" w:cs="Times New Roman"/>
          <w:i/>
          <w:sz w:val="24"/>
          <w:szCs w:val="24"/>
        </w:rPr>
        <w:t>Health Promotion Perspectives</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(1), 11–22. https://doi.org/10.5681/hpp.2013.002</w:t>
      </w:r>
    </w:p>
    <w:p w14:paraId="00000EB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Sharpe, D., and </w:t>
      </w:r>
      <w:proofErr w:type="spellStart"/>
      <w:r w:rsidRPr="000E4FE6">
        <w:rPr>
          <w:rFonts w:ascii="Times New Roman" w:hAnsi="Times New Roman" w:cs="Times New Roman"/>
          <w:sz w:val="24"/>
          <w:szCs w:val="24"/>
        </w:rPr>
        <w:t>Whelton</w:t>
      </w:r>
      <w:proofErr w:type="spellEnd"/>
      <w:r w:rsidRPr="000E4FE6">
        <w:rPr>
          <w:rFonts w:ascii="Times New Roman" w:hAnsi="Times New Roman" w:cs="Times New Roman"/>
          <w:sz w:val="24"/>
          <w:szCs w:val="24"/>
        </w:rPr>
        <w:t>, W. J. (2016). Frightened by an old scarecrow: the remarkable resilience of demand characteristics. </w:t>
      </w:r>
      <w:r w:rsidRPr="000E4FE6">
        <w:rPr>
          <w:rFonts w:ascii="Times New Roman" w:hAnsi="Times New Roman" w:cs="Times New Roman"/>
          <w:i/>
          <w:sz w:val="24"/>
          <w:szCs w:val="24"/>
        </w:rPr>
        <w:t>Review of General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20</w:t>
      </w:r>
      <w:r w:rsidRPr="000E4FE6">
        <w:rPr>
          <w:rFonts w:ascii="Times New Roman" w:hAnsi="Times New Roman" w:cs="Times New Roman"/>
          <w:sz w:val="24"/>
          <w:szCs w:val="24"/>
        </w:rPr>
        <w:t>(4), 349–368. https://doi.org/10.1037/gpr0000087</w:t>
      </w:r>
    </w:p>
    <w:p w14:paraId="00000EB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Shaw, E., Leung, G. K. W., Jong, J., Coates, A. M., Davis, R., Blair, M., … Bonham, M. P. (2019). The Impact of Time of Day on Energy Expenditure: Implications for Long-Term Energy Balance.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(10). https://doi.org/10.3390/nu11102383</w:t>
      </w:r>
    </w:p>
    <w:p w14:paraId="00000EB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Shearin</w:t>
      </w:r>
      <w:proofErr w:type="spellEnd"/>
      <w:r w:rsidRPr="000E4FE6">
        <w:rPr>
          <w:rFonts w:ascii="Times New Roman" w:hAnsi="Times New Roman" w:cs="Times New Roman"/>
          <w:sz w:val="24"/>
          <w:szCs w:val="24"/>
        </w:rPr>
        <w:t>, E. N., Russ, M. J., Hull, J. W., Clarkin, J. F., and Smith, G. P. (1994). Construct validity of the Three-Factor Eating Questionnaire: flexible and rigid control subscales. </w:t>
      </w:r>
      <w:r w:rsidRPr="000E4FE6">
        <w:rPr>
          <w:rFonts w:ascii="Times New Roman" w:hAnsi="Times New Roman" w:cs="Times New Roman"/>
          <w:i/>
          <w:sz w:val="24"/>
          <w:szCs w:val="24"/>
        </w:rPr>
        <w:t>The International Journal of Eating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(2), 187–198. https://doi.org/10.1002/1098-108x(199409)16:2&lt;</w:t>
      </w:r>
      <w:proofErr w:type="gramStart"/>
      <w:r w:rsidRPr="000E4FE6">
        <w:rPr>
          <w:rFonts w:ascii="Times New Roman" w:hAnsi="Times New Roman" w:cs="Times New Roman"/>
          <w:sz w:val="24"/>
          <w:szCs w:val="24"/>
        </w:rPr>
        <w:t>187::</w:t>
      </w:r>
      <w:proofErr w:type="gramEnd"/>
      <w:r w:rsidRPr="000E4FE6">
        <w:rPr>
          <w:rFonts w:ascii="Times New Roman" w:hAnsi="Times New Roman" w:cs="Times New Roman"/>
          <w:sz w:val="24"/>
          <w:szCs w:val="24"/>
        </w:rPr>
        <w:t>aid-eat2260160210&gt;3.0.co;2-u</w:t>
      </w:r>
    </w:p>
    <w:p w14:paraId="00000EB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Shephard, R. J. (2003). Limits to the measurement of habitual physical activity by questionnaires. </w:t>
      </w:r>
      <w:r w:rsidRPr="000E4FE6">
        <w:rPr>
          <w:rFonts w:ascii="Times New Roman" w:hAnsi="Times New Roman" w:cs="Times New Roman"/>
          <w:i/>
          <w:sz w:val="24"/>
          <w:szCs w:val="24"/>
        </w:rPr>
        <w:t>British Journal of Sports Medicine</w:t>
      </w:r>
      <w:r w:rsidRPr="000E4FE6">
        <w:rPr>
          <w:rFonts w:ascii="Times New Roman" w:hAnsi="Times New Roman" w:cs="Times New Roman"/>
          <w:sz w:val="24"/>
          <w:szCs w:val="24"/>
        </w:rPr>
        <w:t>, </w:t>
      </w:r>
      <w:r w:rsidRPr="000E4FE6">
        <w:rPr>
          <w:rFonts w:ascii="Times New Roman" w:hAnsi="Times New Roman" w:cs="Times New Roman"/>
          <w:i/>
          <w:sz w:val="24"/>
          <w:szCs w:val="24"/>
        </w:rPr>
        <w:t>37</w:t>
      </w:r>
      <w:r w:rsidRPr="000E4FE6">
        <w:rPr>
          <w:rFonts w:ascii="Times New Roman" w:hAnsi="Times New Roman" w:cs="Times New Roman"/>
          <w:sz w:val="24"/>
          <w:szCs w:val="24"/>
        </w:rPr>
        <w:t>(3), 197–206; discussion 206. https://doi.org/10.1136/bjsm.37.3.197</w:t>
      </w:r>
    </w:p>
    <w:p w14:paraId="00000EB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Shi, S., Ansari, T. S., McGuinness, O. P., Wasserman, D. H., and Johnson, C. H. (2013). Circadian disruption leads to insulin resistance and obesity. </w:t>
      </w:r>
      <w:r w:rsidRPr="000E4FE6">
        <w:rPr>
          <w:rFonts w:ascii="Times New Roman" w:hAnsi="Times New Roman" w:cs="Times New Roman"/>
          <w:i/>
          <w:sz w:val="24"/>
          <w:szCs w:val="24"/>
        </w:rPr>
        <w:t>Current Biology</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(5), 372–381. https://doi.org/10.1016/j.cub.2013.01.048</w:t>
      </w:r>
    </w:p>
    <w:p w14:paraId="00000EB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Shields, M., </w:t>
      </w:r>
      <w:proofErr w:type="spellStart"/>
      <w:r w:rsidRPr="000E4FE6">
        <w:rPr>
          <w:rFonts w:ascii="Times New Roman" w:hAnsi="Times New Roman" w:cs="Times New Roman"/>
          <w:sz w:val="24"/>
          <w:szCs w:val="24"/>
        </w:rPr>
        <w:t>Gorber</w:t>
      </w:r>
      <w:proofErr w:type="spellEnd"/>
      <w:r w:rsidRPr="000E4FE6">
        <w:rPr>
          <w:rFonts w:ascii="Times New Roman" w:hAnsi="Times New Roman" w:cs="Times New Roman"/>
          <w:sz w:val="24"/>
          <w:szCs w:val="24"/>
        </w:rPr>
        <w:t>, S. C., and Tremblay, M. S. (2008). Estimates of obesity based on self-report versus direct measures. </w:t>
      </w:r>
      <w:r w:rsidRPr="000E4FE6">
        <w:rPr>
          <w:rFonts w:ascii="Times New Roman" w:hAnsi="Times New Roman" w:cs="Times New Roman"/>
          <w:i/>
          <w:sz w:val="24"/>
          <w:szCs w:val="24"/>
        </w:rPr>
        <w:t>Health Reports</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(2).</w:t>
      </w:r>
    </w:p>
    <w:p w14:paraId="00000EB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Si Hassen, W., </w:t>
      </w:r>
      <w:proofErr w:type="spellStart"/>
      <w:r w:rsidRPr="000E4FE6">
        <w:rPr>
          <w:rFonts w:ascii="Times New Roman" w:hAnsi="Times New Roman" w:cs="Times New Roman"/>
          <w:sz w:val="24"/>
          <w:szCs w:val="24"/>
        </w:rPr>
        <w:t>Castetbon</w:t>
      </w:r>
      <w:proofErr w:type="spellEnd"/>
      <w:r w:rsidRPr="000E4FE6">
        <w:rPr>
          <w:rFonts w:ascii="Times New Roman" w:hAnsi="Times New Roman" w:cs="Times New Roman"/>
          <w:sz w:val="24"/>
          <w:szCs w:val="24"/>
        </w:rPr>
        <w:t xml:space="preserve">, K., </w:t>
      </w:r>
      <w:proofErr w:type="spellStart"/>
      <w:r w:rsidRPr="000E4FE6">
        <w:rPr>
          <w:rFonts w:ascii="Times New Roman" w:hAnsi="Times New Roman" w:cs="Times New Roman"/>
          <w:sz w:val="24"/>
          <w:szCs w:val="24"/>
        </w:rPr>
        <w:t>Tichit</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Péneau</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Nechba</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Ducrot</w:t>
      </w:r>
      <w:proofErr w:type="spellEnd"/>
      <w:r w:rsidRPr="000E4FE6">
        <w:rPr>
          <w:rFonts w:ascii="Times New Roman" w:hAnsi="Times New Roman" w:cs="Times New Roman"/>
          <w:sz w:val="24"/>
          <w:szCs w:val="24"/>
        </w:rPr>
        <w:t xml:space="preserve">, P., … </w:t>
      </w:r>
      <w:proofErr w:type="spellStart"/>
      <w:r w:rsidRPr="000E4FE6">
        <w:rPr>
          <w:rFonts w:ascii="Times New Roman" w:hAnsi="Times New Roman" w:cs="Times New Roman"/>
          <w:sz w:val="24"/>
          <w:szCs w:val="24"/>
        </w:rPr>
        <w:t>Méjean</w:t>
      </w:r>
      <w:proofErr w:type="spellEnd"/>
      <w:r w:rsidRPr="000E4FE6">
        <w:rPr>
          <w:rFonts w:ascii="Times New Roman" w:hAnsi="Times New Roman" w:cs="Times New Roman"/>
          <w:sz w:val="24"/>
          <w:szCs w:val="24"/>
        </w:rPr>
        <w:t>, C. (2018). Energy, nutrient and food content of snacks in French adults. </w:t>
      </w:r>
      <w:r w:rsidRPr="000E4FE6">
        <w:rPr>
          <w:rFonts w:ascii="Times New Roman" w:hAnsi="Times New Roman" w:cs="Times New Roman"/>
          <w:i/>
          <w:sz w:val="24"/>
          <w:szCs w:val="24"/>
        </w:rPr>
        <w:t>Nutrition Journal</w:t>
      </w:r>
      <w:r w:rsidRPr="000E4FE6">
        <w:rPr>
          <w:rFonts w:ascii="Times New Roman" w:hAnsi="Times New Roman" w:cs="Times New Roman"/>
          <w:sz w:val="24"/>
          <w:szCs w:val="24"/>
        </w:rPr>
        <w:t>, </w:t>
      </w:r>
      <w:r w:rsidRPr="000E4FE6">
        <w:rPr>
          <w:rFonts w:ascii="Times New Roman" w:hAnsi="Times New Roman" w:cs="Times New Roman"/>
          <w:i/>
          <w:sz w:val="24"/>
          <w:szCs w:val="24"/>
        </w:rPr>
        <w:t>17</w:t>
      </w:r>
      <w:r w:rsidRPr="000E4FE6">
        <w:rPr>
          <w:rFonts w:ascii="Times New Roman" w:hAnsi="Times New Roman" w:cs="Times New Roman"/>
          <w:sz w:val="24"/>
          <w:szCs w:val="24"/>
        </w:rPr>
        <w:t>(1), 33. https://doi.org/10.1186/s12937-018-0336-z</w:t>
      </w:r>
    </w:p>
    <w:p w14:paraId="00000EB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Sierra-Johnson, J., </w:t>
      </w:r>
      <w:proofErr w:type="spellStart"/>
      <w:r w:rsidRPr="000E4FE6">
        <w:rPr>
          <w:rFonts w:ascii="Times New Roman" w:hAnsi="Times New Roman" w:cs="Times New Roman"/>
          <w:sz w:val="24"/>
          <w:szCs w:val="24"/>
        </w:rPr>
        <w:t>Undén</w:t>
      </w:r>
      <w:proofErr w:type="spellEnd"/>
      <w:r w:rsidRPr="000E4FE6">
        <w:rPr>
          <w:rFonts w:ascii="Times New Roman" w:hAnsi="Times New Roman" w:cs="Times New Roman"/>
          <w:sz w:val="24"/>
          <w:szCs w:val="24"/>
        </w:rPr>
        <w:t xml:space="preserve">, A.-L., </w:t>
      </w:r>
      <w:proofErr w:type="spellStart"/>
      <w:r w:rsidRPr="000E4FE6">
        <w:rPr>
          <w:rFonts w:ascii="Times New Roman" w:hAnsi="Times New Roman" w:cs="Times New Roman"/>
          <w:sz w:val="24"/>
          <w:szCs w:val="24"/>
        </w:rPr>
        <w:t>Linestrand</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Rosell</w:t>
      </w:r>
      <w:proofErr w:type="spellEnd"/>
      <w:r w:rsidRPr="000E4FE6">
        <w:rPr>
          <w:rFonts w:ascii="Times New Roman" w:hAnsi="Times New Roman" w:cs="Times New Roman"/>
          <w:sz w:val="24"/>
          <w:szCs w:val="24"/>
        </w:rPr>
        <w:t xml:space="preserve">, M., Sjogren, P., </w:t>
      </w:r>
      <w:proofErr w:type="spellStart"/>
      <w:r w:rsidRPr="000E4FE6">
        <w:rPr>
          <w:rFonts w:ascii="Times New Roman" w:hAnsi="Times New Roman" w:cs="Times New Roman"/>
          <w:sz w:val="24"/>
          <w:szCs w:val="24"/>
        </w:rPr>
        <w:t>Kolak</w:t>
      </w:r>
      <w:proofErr w:type="spellEnd"/>
      <w:r w:rsidRPr="000E4FE6">
        <w:rPr>
          <w:rFonts w:ascii="Times New Roman" w:hAnsi="Times New Roman" w:cs="Times New Roman"/>
          <w:sz w:val="24"/>
          <w:szCs w:val="24"/>
        </w:rPr>
        <w:t xml:space="preserve">, M., … </w:t>
      </w:r>
      <w:proofErr w:type="spellStart"/>
      <w:r w:rsidRPr="000E4FE6">
        <w:rPr>
          <w:rFonts w:ascii="Times New Roman" w:hAnsi="Times New Roman" w:cs="Times New Roman"/>
          <w:sz w:val="24"/>
          <w:szCs w:val="24"/>
        </w:rPr>
        <w:t>Hellénius</w:t>
      </w:r>
      <w:proofErr w:type="spellEnd"/>
      <w:r w:rsidRPr="000E4FE6">
        <w:rPr>
          <w:rFonts w:ascii="Times New Roman" w:hAnsi="Times New Roman" w:cs="Times New Roman"/>
          <w:sz w:val="24"/>
          <w:szCs w:val="24"/>
        </w:rPr>
        <w:t>, M.-L. (2008). Eating meals irregularly: a novel environmental risk factor for the metabolic syndrome.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(6), 1302–1307. https://doi.org/10.1038/oby.2008.203</w:t>
      </w:r>
    </w:p>
    <w:p w14:paraId="00000EB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Sievert, K., Hussain, S. M., Page, M. J., Wang, Y., Hughes, H. J., Malek, M., and </w:t>
      </w:r>
      <w:proofErr w:type="spellStart"/>
      <w:r w:rsidRPr="000E4FE6">
        <w:rPr>
          <w:rFonts w:ascii="Times New Roman" w:hAnsi="Times New Roman" w:cs="Times New Roman"/>
          <w:sz w:val="24"/>
          <w:szCs w:val="24"/>
        </w:rPr>
        <w:t>Cicuttini</w:t>
      </w:r>
      <w:proofErr w:type="spellEnd"/>
      <w:r w:rsidRPr="000E4FE6">
        <w:rPr>
          <w:rFonts w:ascii="Times New Roman" w:hAnsi="Times New Roman" w:cs="Times New Roman"/>
          <w:sz w:val="24"/>
          <w:szCs w:val="24"/>
        </w:rPr>
        <w:t>, F. M. (2019). Effect of breakfast on weight and energy intake: systematic review and meta-analysis of randomised controlled trials. </w:t>
      </w:r>
      <w:r w:rsidRPr="000E4FE6">
        <w:rPr>
          <w:rFonts w:ascii="Times New Roman" w:hAnsi="Times New Roman" w:cs="Times New Roman"/>
          <w:i/>
          <w:sz w:val="24"/>
          <w:szCs w:val="24"/>
        </w:rPr>
        <w:t>BMJ (Clinical Research Ed.)</w:t>
      </w:r>
      <w:r w:rsidRPr="000E4FE6">
        <w:rPr>
          <w:rFonts w:ascii="Times New Roman" w:hAnsi="Times New Roman" w:cs="Times New Roman"/>
          <w:sz w:val="24"/>
          <w:szCs w:val="24"/>
        </w:rPr>
        <w:t>, </w:t>
      </w:r>
      <w:r w:rsidRPr="000E4FE6">
        <w:rPr>
          <w:rFonts w:ascii="Times New Roman" w:hAnsi="Times New Roman" w:cs="Times New Roman"/>
          <w:i/>
          <w:sz w:val="24"/>
          <w:szCs w:val="24"/>
        </w:rPr>
        <w:t>364</w:t>
      </w:r>
      <w:r w:rsidRPr="000E4FE6">
        <w:rPr>
          <w:rFonts w:ascii="Times New Roman" w:hAnsi="Times New Roman" w:cs="Times New Roman"/>
          <w:sz w:val="24"/>
          <w:szCs w:val="24"/>
        </w:rPr>
        <w:t>, l42. https://doi.org/10.1136/bmj.l42</w:t>
      </w:r>
    </w:p>
    <w:p w14:paraId="00000EB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Sifferlin, A. (n.d.). </w:t>
      </w:r>
      <w:r w:rsidRPr="000E4FE6">
        <w:rPr>
          <w:rFonts w:ascii="Times New Roman" w:hAnsi="Times New Roman" w:cs="Times New Roman"/>
          <w:i/>
          <w:sz w:val="24"/>
          <w:szCs w:val="24"/>
        </w:rPr>
        <w:t>When to eat breakfast, lunch and dinner</w:t>
      </w:r>
      <w:r w:rsidRPr="000E4FE6">
        <w:rPr>
          <w:rFonts w:ascii="Times New Roman" w:hAnsi="Times New Roman" w:cs="Times New Roman"/>
          <w:sz w:val="24"/>
          <w:szCs w:val="24"/>
        </w:rPr>
        <w:t>.</w:t>
      </w:r>
    </w:p>
    <w:p w14:paraId="00000EB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Silfee</w:t>
      </w:r>
      <w:proofErr w:type="spellEnd"/>
      <w:r w:rsidRPr="000E4FE6">
        <w:rPr>
          <w:rFonts w:ascii="Times New Roman" w:hAnsi="Times New Roman" w:cs="Times New Roman"/>
          <w:sz w:val="24"/>
          <w:szCs w:val="24"/>
        </w:rPr>
        <w:t>, V. J., Haughton, C. F., Jake-</w:t>
      </w:r>
      <w:proofErr w:type="spellStart"/>
      <w:r w:rsidRPr="000E4FE6">
        <w:rPr>
          <w:rFonts w:ascii="Times New Roman" w:hAnsi="Times New Roman" w:cs="Times New Roman"/>
          <w:sz w:val="24"/>
          <w:szCs w:val="24"/>
        </w:rPr>
        <w:t>Schoffman</w:t>
      </w:r>
      <w:proofErr w:type="spellEnd"/>
      <w:r w:rsidRPr="000E4FE6">
        <w:rPr>
          <w:rFonts w:ascii="Times New Roman" w:hAnsi="Times New Roman" w:cs="Times New Roman"/>
          <w:sz w:val="24"/>
          <w:szCs w:val="24"/>
        </w:rPr>
        <w:t xml:space="preserve">, D. E., Lopez-Cepero, A., May, C. N., </w:t>
      </w:r>
      <w:proofErr w:type="spellStart"/>
      <w:r w:rsidRPr="000E4FE6">
        <w:rPr>
          <w:rFonts w:ascii="Times New Roman" w:hAnsi="Times New Roman" w:cs="Times New Roman"/>
          <w:sz w:val="24"/>
          <w:szCs w:val="24"/>
        </w:rPr>
        <w:t>Sreedhara</w:t>
      </w:r>
      <w:proofErr w:type="spellEnd"/>
      <w:r w:rsidRPr="000E4FE6">
        <w:rPr>
          <w:rFonts w:ascii="Times New Roman" w:hAnsi="Times New Roman" w:cs="Times New Roman"/>
          <w:sz w:val="24"/>
          <w:szCs w:val="24"/>
        </w:rPr>
        <w:t>, M., … Lemon, S. C. (2018). Objective measurement of physical activity outcomes in lifestyle interventions among adults: A systematic review. </w:t>
      </w:r>
      <w:r w:rsidRPr="000E4FE6">
        <w:rPr>
          <w:rFonts w:ascii="Times New Roman" w:hAnsi="Times New Roman" w:cs="Times New Roman"/>
          <w:i/>
          <w:sz w:val="24"/>
          <w:szCs w:val="24"/>
        </w:rPr>
        <w:t>Preventive Medicine Reports</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 74–80. https://doi.org/10.1016/j.pmedr.2018.05.003</w:t>
      </w:r>
    </w:p>
    <w:p w14:paraId="00000EB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Simon, S. L., Blankenship, J., Manoogian, E. N. C., Panda, S., </w:t>
      </w:r>
      <w:proofErr w:type="spellStart"/>
      <w:r w:rsidRPr="000E4FE6">
        <w:rPr>
          <w:rFonts w:ascii="Times New Roman" w:hAnsi="Times New Roman" w:cs="Times New Roman"/>
          <w:sz w:val="24"/>
          <w:szCs w:val="24"/>
        </w:rPr>
        <w:t>Mashek</w:t>
      </w:r>
      <w:proofErr w:type="spellEnd"/>
      <w:r w:rsidRPr="000E4FE6">
        <w:rPr>
          <w:rFonts w:ascii="Times New Roman" w:hAnsi="Times New Roman" w:cs="Times New Roman"/>
          <w:sz w:val="24"/>
          <w:szCs w:val="24"/>
        </w:rPr>
        <w:t>, D. G., and Chow, L. S. (2022). The impact of a self-selected time restricted eating intervention on eating patterns, sleep, and late-night eating in individuals with obesity. </w:t>
      </w:r>
      <w:r w:rsidRPr="000E4FE6">
        <w:rPr>
          <w:rFonts w:ascii="Times New Roman" w:hAnsi="Times New Roman" w:cs="Times New Roman"/>
          <w:i/>
          <w:sz w:val="24"/>
          <w:szCs w:val="24"/>
        </w:rPr>
        <w:t>Frontiers in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 1007824. https://doi.org/10.3389/fnut.2022.1007824</w:t>
      </w:r>
    </w:p>
    <w:p w14:paraId="00000EB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Sims, R., Gordon, S., Garcia, W., Clark, E., </w:t>
      </w:r>
      <w:proofErr w:type="spellStart"/>
      <w:r w:rsidRPr="000E4FE6">
        <w:rPr>
          <w:rFonts w:ascii="Times New Roman" w:hAnsi="Times New Roman" w:cs="Times New Roman"/>
          <w:sz w:val="24"/>
          <w:szCs w:val="24"/>
        </w:rPr>
        <w:t>Monye</w:t>
      </w:r>
      <w:proofErr w:type="spellEnd"/>
      <w:r w:rsidRPr="000E4FE6">
        <w:rPr>
          <w:rFonts w:ascii="Times New Roman" w:hAnsi="Times New Roman" w:cs="Times New Roman"/>
          <w:sz w:val="24"/>
          <w:szCs w:val="24"/>
        </w:rPr>
        <w:t xml:space="preserve">, D., </w:t>
      </w:r>
      <w:proofErr w:type="spellStart"/>
      <w:r w:rsidRPr="000E4FE6">
        <w:rPr>
          <w:rFonts w:ascii="Times New Roman" w:hAnsi="Times New Roman" w:cs="Times New Roman"/>
          <w:sz w:val="24"/>
          <w:szCs w:val="24"/>
        </w:rPr>
        <w:t>Callender</w:t>
      </w:r>
      <w:proofErr w:type="spellEnd"/>
      <w:r w:rsidRPr="000E4FE6">
        <w:rPr>
          <w:rFonts w:ascii="Times New Roman" w:hAnsi="Times New Roman" w:cs="Times New Roman"/>
          <w:sz w:val="24"/>
          <w:szCs w:val="24"/>
        </w:rPr>
        <w:t xml:space="preserve">, C., and Campbell, A. (2008). Perceived stress and eating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xml:space="preserve"> in a community-based sample of African Americans.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(2), 137–142. https://doi.org/10.1016/j.eatbeh.2007.06.006</w:t>
      </w:r>
    </w:p>
    <w:p w14:paraId="00000EB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Siwik</w:t>
      </w:r>
      <w:proofErr w:type="spellEnd"/>
      <w:r w:rsidRPr="000E4FE6">
        <w:rPr>
          <w:rFonts w:ascii="Times New Roman" w:hAnsi="Times New Roman" w:cs="Times New Roman"/>
          <w:sz w:val="24"/>
          <w:szCs w:val="24"/>
        </w:rPr>
        <w:t xml:space="preserve">, V. P., and </w:t>
      </w:r>
      <w:proofErr w:type="spellStart"/>
      <w:r w:rsidRPr="000E4FE6">
        <w:rPr>
          <w:rFonts w:ascii="Times New Roman" w:hAnsi="Times New Roman" w:cs="Times New Roman"/>
          <w:sz w:val="24"/>
          <w:szCs w:val="24"/>
        </w:rPr>
        <w:t>Senf</w:t>
      </w:r>
      <w:proofErr w:type="spellEnd"/>
      <w:r w:rsidRPr="000E4FE6">
        <w:rPr>
          <w:rFonts w:ascii="Times New Roman" w:hAnsi="Times New Roman" w:cs="Times New Roman"/>
          <w:sz w:val="24"/>
          <w:szCs w:val="24"/>
        </w:rPr>
        <w:t>, J. H. (2006). Food cravings, ethnicity and other factors related to eating out. </w:t>
      </w:r>
      <w:r w:rsidRPr="000E4FE6">
        <w:rPr>
          <w:rFonts w:ascii="Times New Roman" w:hAnsi="Times New Roman" w:cs="Times New Roman"/>
          <w:i/>
          <w:sz w:val="24"/>
          <w:szCs w:val="24"/>
        </w:rPr>
        <w:t>Journal of the American College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25</w:t>
      </w:r>
      <w:r w:rsidRPr="000E4FE6">
        <w:rPr>
          <w:rFonts w:ascii="Times New Roman" w:hAnsi="Times New Roman" w:cs="Times New Roman"/>
          <w:sz w:val="24"/>
          <w:szCs w:val="24"/>
        </w:rPr>
        <w:t>(5), 382–388. https://doi.org/10.1080/07315724.2006.10719549</w:t>
      </w:r>
    </w:p>
    <w:p w14:paraId="00000EB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Sjöberg</w:t>
      </w:r>
      <w:proofErr w:type="spellEnd"/>
      <w:r w:rsidRPr="000E4FE6">
        <w:rPr>
          <w:rFonts w:ascii="Times New Roman" w:hAnsi="Times New Roman" w:cs="Times New Roman"/>
          <w:sz w:val="24"/>
          <w:szCs w:val="24"/>
        </w:rPr>
        <w:t xml:space="preserve">, A., Hallberg, L., </w:t>
      </w:r>
      <w:proofErr w:type="spellStart"/>
      <w:r w:rsidRPr="000E4FE6">
        <w:rPr>
          <w:rFonts w:ascii="Times New Roman" w:hAnsi="Times New Roman" w:cs="Times New Roman"/>
          <w:sz w:val="24"/>
          <w:szCs w:val="24"/>
        </w:rPr>
        <w:t>Höglund</w:t>
      </w:r>
      <w:proofErr w:type="spellEnd"/>
      <w:r w:rsidRPr="000E4FE6">
        <w:rPr>
          <w:rFonts w:ascii="Times New Roman" w:hAnsi="Times New Roman" w:cs="Times New Roman"/>
          <w:sz w:val="24"/>
          <w:szCs w:val="24"/>
        </w:rPr>
        <w:t xml:space="preserve">, D., and </w:t>
      </w:r>
      <w:proofErr w:type="spellStart"/>
      <w:r w:rsidRPr="000E4FE6">
        <w:rPr>
          <w:rFonts w:ascii="Times New Roman" w:hAnsi="Times New Roman" w:cs="Times New Roman"/>
          <w:sz w:val="24"/>
          <w:szCs w:val="24"/>
        </w:rPr>
        <w:t>Hulthén</w:t>
      </w:r>
      <w:proofErr w:type="spellEnd"/>
      <w:r w:rsidRPr="000E4FE6">
        <w:rPr>
          <w:rFonts w:ascii="Times New Roman" w:hAnsi="Times New Roman" w:cs="Times New Roman"/>
          <w:sz w:val="24"/>
          <w:szCs w:val="24"/>
        </w:rPr>
        <w:t xml:space="preserve">, L. (2003). Meal pattern, food choice, nutrient intake and lifestyle factors in The </w:t>
      </w:r>
      <w:proofErr w:type="spellStart"/>
      <w:r w:rsidRPr="000E4FE6">
        <w:rPr>
          <w:rFonts w:ascii="Times New Roman" w:hAnsi="Times New Roman" w:cs="Times New Roman"/>
          <w:sz w:val="24"/>
          <w:szCs w:val="24"/>
        </w:rPr>
        <w:t>Göteborg</w:t>
      </w:r>
      <w:proofErr w:type="spellEnd"/>
      <w:r w:rsidRPr="000E4FE6">
        <w:rPr>
          <w:rFonts w:ascii="Times New Roman" w:hAnsi="Times New Roman" w:cs="Times New Roman"/>
          <w:sz w:val="24"/>
          <w:szCs w:val="24"/>
        </w:rPr>
        <w:t xml:space="preserve"> Adolescence Study. </w:t>
      </w:r>
      <w:r w:rsidRPr="000E4FE6">
        <w:rPr>
          <w:rFonts w:ascii="Times New Roman" w:hAnsi="Times New Roman" w:cs="Times New Roman"/>
          <w:i/>
          <w:sz w:val="24"/>
          <w:szCs w:val="24"/>
        </w:rPr>
        <w:t>European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57</w:t>
      </w:r>
      <w:r w:rsidRPr="000E4FE6">
        <w:rPr>
          <w:rFonts w:ascii="Times New Roman" w:hAnsi="Times New Roman" w:cs="Times New Roman"/>
          <w:sz w:val="24"/>
          <w:szCs w:val="24"/>
        </w:rPr>
        <w:t>(12), 1569–1578. https://doi.org/10.1038/sj.ejcn.1601726</w:t>
      </w:r>
    </w:p>
    <w:p w14:paraId="00000EB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Skoczek-Rubińska</w:t>
      </w:r>
      <w:proofErr w:type="spellEnd"/>
      <w:r w:rsidRPr="000E4FE6">
        <w:rPr>
          <w:rFonts w:ascii="Times New Roman" w:hAnsi="Times New Roman" w:cs="Times New Roman"/>
          <w:sz w:val="24"/>
          <w:szCs w:val="24"/>
        </w:rPr>
        <w:t xml:space="preserve">, A., and </w:t>
      </w:r>
      <w:proofErr w:type="spellStart"/>
      <w:r w:rsidRPr="000E4FE6">
        <w:rPr>
          <w:rFonts w:ascii="Times New Roman" w:hAnsi="Times New Roman" w:cs="Times New Roman"/>
          <w:sz w:val="24"/>
          <w:szCs w:val="24"/>
        </w:rPr>
        <w:t>Bajerska</w:t>
      </w:r>
      <w:proofErr w:type="spellEnd"/>
      <w:r w:rsidRPr="000E4FE6">
        <w:rPr>
          <w:rFonts w:ascii="Times New Roman" w:hAnsi="Times New Roman" w:cs="Times New Roman"/>
          <w:sz w:val="24"/>
          <w:szCs w:val="24"/>
        </w:rPr>
        <w:t>, J. (2021). The consumption of energy dense snacks and some contextual factors of snacking may contribute to higher energy intake and body weight in adults. </w:t>
      </w:r>
      <w:r w:rsidRPr="000E4FE6">
        <w:rPr>
          <w:rFonts w:ascii="Times New Roman" w:hAnsi="Times New Roman" w:cs="Times New Roman"/>
          <w:i/>
          <w:sz w:val="24"/>
          <w:szCs w:val="24"/>
        </w:rPr>
        <w:t>Nutrition Research (New York, N.Y.)</w:t>
      </w:r>
      <w:r w:rsidRPr="000E4FE6">
        <w:rPr>
          <w:rFonts w:ascii="Times New Roman" w:hAnsi="Times New Roman" w:cs="Times New Roman"/>
          <w:sz w:val="24"/>
          <w:szCs w:val="24"/>
        </w:rPr>
        <w:t>, </w:t>
      </w:r>
      <w:r w:rsidRPr="000E4FE6">
        <w:rPr>
          <w:rFonts w:ascii="Times New Roman" w:hAnsi="Times New Roman" w:cs="Times New Roman"/>
          <w:i/>
          <w:sz w:val="24"/>
          <w:szCs w:val="24"/>
        </w:rPr>
        <w:t>96</w:t>
      </w:r>
      <w:r w:rsidRPr="000E4FE6">
        <w:rPr>
          <w:rFonts w:ascii="Times New Roman" w:hAnsi="Times New Roman" w:cs="Times New Roman"/>
          <w:sz w:val="24"/>
          <w:szCs w:val="24"/>
        </w:rPr>
        <w:t>, 20–36. https://doi.org/10.1016/j.nutres.2021.11.001</w:t>
      </w:r>
    </w:p>
    <w:p w14:paraId="00000EC0"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Skoczek-Rubińska</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Muzsik-Kazimierska</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Chmurzynska</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Walkowiak</w:t>
      </w:r>
      <w:proofErr w:type="spellEnd"/>
      <w:r w:rsidRPr="000E4FE6">
        <w:rPr>
          <w:rFonts w:ascii="Times New Roman" w:hAnsi="Times New Roman" w:cs="Times New Roman"/>
          <w:sz w:val="24"/>
          <w:szCs w:val="24"/>
        </w:rPr>
        <w:t xml:space="preserve">, P. J., and </w:t>
      </w:r>
      <w:proofErr w:type="spellStart"/>
      <w:r w:rsidRPr="000E4FE6">
        <w:rPr>
          <w:rFonts w:ascii="Times New Roman" w:hAnsi="Times New Roman" w:cs="Times New Roman"/>
          <w:sz w:val="24"/>
          <w:szCs w:val="24"/>
        </w:rPr>
        <w:t>Bajerska</w:t>
      </w:r>
      <w:proofErr w:type="spellEnd"/>
      <w:r w:rsidRPr="000E4FE6">
        <w:rPr>
          <w:rFonts w:ascii="Times New Roman" w:hAnsi="Times New Roman" w:cs="Times New Roman"/>
          <w:sz w:val="24"/>
          <w:szCs w:val="24"/>
        </w:rPr>
        <w:t xml:space="preserve">, J. (2021). Snacking may improve dietary </w:t>
      </w:r>
      <w:proofErr w:type="spellStart"/>
      <w:r w:rsidRPr="000E4FE6">
        <w:rPr>
          <w:rFonts w:ascii="Times New Roman" w:hAnsi="Times New Roman" w:cs="Times New Roman"/>
          <w:sz w:val="24"/>
          <w:szCs w:val="24"/>
        </w:rPr>
        <w:t>fiber</w:t>
      </w:r>
      <w:proofErr w:type="spellEnd"/>
      <w:r w:rsidRPr="000E4FE6">
        <w:rPr>
          <w:rFonts w:ascii="Times New Roman" w:hAnsi="Times New Roman" w:cs="Times New Roman"/>
          <w:sz w:val="24"/>
          <w:szCs w:val="24"/>
        </w:rPr>
        <w:t xml:space="preserve"> density and is associated with a lower body mass index in postmenopausal women. </w:t>
      </w:r>
      <w:r w:rsidRPr="000E4FE6">
        <w:rPr>
          <w:rFonts w:ascii="Times New Roman" w:hAnsi="Times New Roman" w:cs="Times New Roman"/>
          <w:i/>
          <w:sz w:val="24"/>
          <w:szCs w:val="24"/>
        </w:rPr>
        <w:t>Nutrition</w:t>
      </w:r>
      <w:r w:rsidRPr="000E4FE6">
        <w:rPr>
          <w:rFonts w:ascii="Times New Roman" w:hAnsi="Times New Roman" w:cs="Times New Roman"/>
          <w:sz w:val="24"/>
          <w:szCs w:val="24"/>
        </w:rPr>
        <w:t>, </w:t>
      </w:r>
      <w:r w:rsidRPr="000E4FE6">
        <w:rPr>
          <w:rFonts w:ascii="Times New Roman" w:hAnsi="Times New Roman" w:cs="Times New Roman"/>
          <w:i/>
          <w:sz w:val="24"/>
          <w:szCs w:val="24"/>
        </w:rPr>
        <w:t>83</w:t>
      </w:r>
      <w:r w:rsidRPr="000E4FE6">
        <w:rPr>
          <w:rFonts w:ascii="Times New Roman" w:hAnsi="Times New Roman" w:cs="Times New Roman"/>
          <w:sz w:val="24"/>
          <w:szCs w:val="24"/>
        </w:rPr>
        <w:t>, 111063. https://doi.org/10.1016/j.nut.2020.111063</w:t>
      </w:r>
    </w:p>
    <w:p w14:paraId="00000EC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Smith, K. J., Blizzard, L., McNaughton, S. A., Gall, S. L., Dwyer, T., and Venn, A. J. (2012). Daily eating frequency and cardiometabolic risk factors in young Australian adults: cross-sectional analyses.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108</w:t>
      </w:r>
      <w:r w:rsidRPr="000E4FE6">
        <w:rPr>
          <w:rFonts w:ascii="Times New Roman" w:hAnsi="Times New Roman" w:cs="Times New Roman"/>
          <w:sz w:val="24"/>
          <w:szCs w:val="24"/>
        </w:rPr>
        <w:t>(6), 1086–1094. https://doi.org/10.1017/S0007114511006398</w:t>
      </w:r>
    </w:p>
    <w:p w14:paraId="00000EC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Smithson, E. F., and Hill, A. J. (2017). It is not how much you crave but what you do with it that counts: behavioural responses to food craving during weight </w:t>
      </w:r>
      <w:r w:rsidRPr="000E4FE6">
        <w:rPr>
          <w:rFonts w:ascii="Times New Roman" w:hAnsi="Times New Roman" w:cs="Times New Roman"/>
          <w:sz w:val="24"/>
          <w:szCs w:val="24"/>
        </w:rPr>
        <w:lastRenderedPageBreak/>
        <w:t>management. </w:t>
      </w:r>
      <w:r w:rsidRPr="000E4FE6">
        <w:rPr>
          <w:rFonts w:ascii="Times New Roman" w:hAnsi="Times New Roman" w:cs="Times New Roman"/>
          <w:i/>
          <w:sz w:val="24"/>
          <w:szCs w:val="24"/>
        </w:rPr>
        <w:t>European Journal of Clinical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71</w:t>
      </w:r>
      <w:r w:rsidRPr="000E4FE6">
        <w:rPr>
          <w:rFonts w:ascii="Times New Roman" w:hAnsi="Times New Roman" w:cs="Times New Roman"/>
          <w:sz w:val="24"/>
          <w:szCs w:val="24"/>
        </w:rPr>
        <w:t>(5), 625–630. https://doi.org/10.1038/ejcn.2016.235</w:t>
      </w:r>
    </w:p>
    <w:p w14:paraId="00000EC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Smolak</w:t>
      </w:r>
      <w:proofErr w:type="spellEnd"/>
      <w:r w:rsidRPr="000E4FE6">
        <w:rPr>
          <w:rFonts w:ascii="Times New Roman" w:hAnsi="Times New Roman" w:cs="Times New Roman"/>
          <w:sz w:val="24"/>
          <w:szCs w:val="24"/>
        </w:rPr>
        <w:t>, L., and Thompson, J. K. (Eds.). (2009). </w:t>
      </w:r>
      <w:r w:rsidRPr="000E4FE6">
        <w:rPr>
          <w:rFonts w:ascii="Times New Roman" w:hAnsi="Times New Roman" w:cs="Times New Roman"/>
          <w:i/>
          <w:sz w:val="24"/>
          <w:szCs w:val="24"/>
        </w:rPr>
        <w:t>Body image, eating disorders, and obesity in youth: Assessment, prevention, and treatment. (2nd ed).</w:t>
      </w:r>
      <w:r w:rsidRPr="000E4FE6">
        <w:rPr>
          <w:rFonts w:ascii="Times New Roman" w:hAnsi="Times New Roman" w:cs="Times New Roman"/>
          <w:sz w:val="24"/>
          <w:szCs w:val="24"/>
        </w:rPr>
        <w:t> Washington: American Psychological Association. https://doi.org/10.1037/11860-000</w:t>
      </w:r>
    </w:p>
    <w:p w14:paraId="00000EC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So, H. K., Nelson, E. A. S., Li, A. M., </w:t>
      </w:r>
      <w:proofErr w:type="spellStart"/>
      <w:r w:rsidRPr="000E4FE6">
        <w:rPr>
          <w:rFonts w:ascii="Times New Roman" w:hAnsi="Times New Roman" w:cs="Times New Roman"/>
          <w:sz w:val="24"/>
          <w:szCs w:val="24"/>
        </w:rPr>
        <w:t>Guldan</w:t>
      </w:r>
      <w:proofErr w:type="spellEnd"/>
      <w:r w:rsidRPr="000E4FE6">
        <w:rPr>
          <w:rFonts w:ascii="Times New Roman" w:hAnsi="Times New Roman" w:cs="Times New Roman"/>
          <w:sz w:val="24"/>
          <w:szCs w:val="24"/>
        </w:rPr>
        <w:t>, G. S., Yin, J., Ng, P. C., and Sung, R. Y. T. (2011). Breakfast frequency inversely associated with BMI and body fatness in Hong Kong Chinese children aged 9-18 years.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106</w:t>
      </w:r>
      <w:r w:rsidRPr="000E4FE6">
        <w:rPr>
          <w:rFonts w:ascii="Times New Roman" w:hAnsi="Times New Roman" w:cs="Times New Roman"/>
          <w:sz w:val="24"/>
          <w:szCs w:val="24"/>
        </w:rPr>
        <w:t>(5), 742–751. https://doi.org/10.1017/S0007114511000754</w:t>
      </w:r>
    </w:p>
    <w:p w14:paraId="00000EC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Song, W. O., Chun, O. K., Obayashi, S., Cho, S., and Chung, C. E. (2005). Is consumption of breakfast associated with body mass index in US adults? </w:t>
      </w:r>
      <w:r w:rsidRPr="000E4FE6">
        <w:rPr>
          <w:rFonts w:ascii="Times New Roman" w:hAnsi="Times New Roman" w:cs="Times New Roman"/>
          <w:i/>
          <w:sz w:val="24"/>
          <w:szCs w:val="24"/>
        </w:rPr>
        <w:t>Journal of the 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105</w:t>
      </w:r>
      <w:r w:rsidRPr="000E4FE6">
        <w:rPr>
          <w:rFonts w:ascii="Times New Roman" w:hAnsi="Times New Roman" w:cs="Times New Roman"/>
          <w:sz w:val="24"/>
          <w:szCs w:val="24"/>
        </w:rPr>
        <w:t>(9), 1373–1382. https://doi.org/10.1016/j.jada.2005.06.002</w:t>
      </w:r>
    </w:p>
    <w:p w14:paraId="00000EC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Spence, J. C., </w:t>
      </w:r>
      <w:proofErr w:type="spellStart"/>
      <w:r w:rsidRPr="000E4FE6">
        <w:rPr>
          <w:rFonts w:ascii="Times New Roman" w:hAnsi="Times New Roman" w:cs="Times New Roman"/>
          <w:sz w:val="24"/>
          <w:szCs w:val="24"/>
        </w:rPr>
        <w:t>Cutumisu</w:t>
      </w:r>
      <w:proofErr w:type="spellEnd"/>
      <w:r w:rsidRPr="000E4FE6">
        <w:rPr>
          <w:rFonts w:ascii="Times New Roman" w:hAnsi="Times New Roman" w:cs="Times New Roman"/>
          <w:sz w:val="24"/>
          <w:szCs w:val="24"/>
        </w:rPr>
        <w:t xml:space="preserve">, N., Edwards, J., Raine, K. D., and </w:t>
      </w:r>
      <w:proofErr w:type="spellStart"/>
      <w:r w:rsidRPr="000E4FE6">
        <w:rPr>
          <w:rFonts w:ascii="Times New Roman" w:hAnsi="Times New Roman" w:cs="Times New Roman"/>
          <w:sz w:val="24"/>
          <w:szCs w:val="24"/>
        </w:rPr>
        <w:t>Smoyer-Tomic</w:t>
      </w:r>
      <w:proofErr w:type="spellEnd"/>
      <w:r w:rsidRPr="000E4FE6">
        <w:rPr>
          <w:rFonts w:ascii="Times New Roman" w:hAnsi="Times New Roman" w:cs="Times New Roman"/>
          <w:sz w:val="24"/>
          <w:szCs w:val="24"/>
        </w:rPr>
        <w:t>, K. (2009). Relation between local food environments and obesity among adults. </w:t>
      </w:r>
      <w:r w:rsidRPr="000E4FE6">
        <w:rPr>
          <w:rFonts w:ascii="Times New Roman" w:hAnsi="Times New Roman" w:cs="Times New Roman"/>
          <w:i/>
          <w:sz w:val="24"/>
          <w:szCs w:val="24"/>
        </w:rPr>
        <w:t>BMC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9</w:t>
      </w:r>
      <w:r w:rsidRPr="000E4FE6">
        <w:rPr>
          <w:rFonts w:ascii="Times New Roman" w:hAnsi="Times New Roman" w:cs="Times New Roman"/>
          <w:sz w:val="24"/>
          <w:szCs w:val="24"/>
        </w:rPr>
        <w:t>, 192. https://doi.org/10.1186/1471-2458-9-192</w:t>
      </w:r>
    </w:p>
    <w:p w14:paraId="00000EC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Steckler</w:t>
      </w:r>
      <w:proofErr w:type="spellEnd"/>
      <w:r w:rsidRPr="000E4FE6">
        <w:rPr>
          <w:rFonts w:ascii="Times New Roman" w:hAnsi="Times New Roman" w:cs="Times New Roman"/>
          <w:sz w:val="24"/>
          <w:szCs w:val="24"/>
        </w:rPr>
        <w:t>, A., McLeroy, K. R., Goodman, R. M., Bird, S. T., and McCormick, L. (1992). Toward integrating qualitative and quantitative methods: an introduction. </w:t>
      </w:r>
      <w:r w:rsidRPr="000E4FE6">
        <w:rPr>
          <w:rFonts w:ascii="Times New Roman" w:hAnsi="Times New Roman" w:cs="Times New Roman"/>
          <w:i/>
          <w:sz w:val="24"/>
          <w:szCs w:val="24"/>
        </w:rPr>
        <w:t>Health Education Quarterly</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(1), 1–8.</w:t>
      </w:r>
    </w:p>
    <w:p w14:paraId="00000EC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Stelmach-</w:t>
      </w:r>
      <w:proofErr w:type="spellStart"/>
      <w:r w:rsidRPr="000E4FE6">
        <w:rPr>
          <w:rFonts w:ascii="Times New Roman" w:hAnsi="Times New Roman" w:cs="Times New Roman"/>
          <w:sz w:val="24"/>
          <w:szCs w:val="24"/>
        </w:rPr>
        <w:t>Mardas</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Rodacki</w:t>
      </w:r>
      <w:proofErr w:type="spellEnd"/>
      <w:r w:rsidRPr="000E4FE6">
        <w:rPr>
          <w:rFonts w:ascii="Times New Roman" w:hAnsi="Times New Roman" w:cs="Times New Roman"/>
          <w:sz w:val="24"/>
          <w:szCs w:val="24"/>
        </w:rPr>
        <w:t xml:space="preserve">, T., </w:t>
      </w:r>
      <w:proofErr w:type="spellStart"/>
      <w:r w:rsidRPr="000E4FE6">
        <w:rPr>
          <w:rFonts w:ascii="Times New Roman" w:hAnsi="Times New Roman" w:cs="Times New Roman"/>
          <w:sz w:val="24"/>
          <w:szCs w:val="24"/>
        </w:rPr>
        <w:t>Dobrowolska-Iwanek</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Brzozowska</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Walkowiak</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Wojtanowska-Krosniak</w:t>
      </w:r>
      <w:proofErr w:type="spellEnd"/>
      <w:r w:rsidRPr="000E4FE6">
        <w:rPr>
          <w:rFonts w:ascii="Times New Roman" w:hAnsi="Times New Roman" w:cs="Times New Roman"/>
          <w:sz w:val="24"/>
          <w:szCs w:val="24"/>
        </w:rPr>
        <w:t>, A., … Boeing, H. (2016). Link between Food Energy Density and Body Weight Changes in Obese Adults.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8</w:t>
      </w:r>
      <w:r w:rsidRPr="000E4FE6">
        <w:rPr>
          <w:rFonts w:ascii="Times New Roman" w:hAnsi="Times New Roman" w:cs="Times New Roman"/>
          <w:sz w:val="24"/>
          <w:szCs w:val="24"/>
        </w:rPr>
        <w:t>(4), 229. https://doi.org/10.3390/nu8040229</w:t>
      </w:r>
    </w:p>
    <w:p w14:paraId="00000EC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Stevenson, R. J., and Francis, H. M. (2017). The hippocampus and the regulation of human food intake. </w:t>
      </w:r>
      <w:r w:rsidRPr="000E4FE6">
        <w:rPr>
          <w:rFonts w:ascii="Times New Roman" w:hAnsi="Times New Roman" w:cs="Times New Roman"/>
          <w:i/>
          <w:sz w:val="24"/>
          <w:szCs w:val="24"/>
        </w:rPr>
        <w:t>Psychological Bulletin</w:t>
      </w:r>
      <w:r w:rsidRPr="000E4FE6">
        <w:rPr>
          <w:rFonts w:ascii="Times New Roman" w:hAnsi="Times New Roman" w:cs="Times New Roman"/>
          <w:sz w:val="24"/>
          <w:szCs w:val="24"/>
        </w:rPr>
        <w:t>, </w:t>
      </w:r>
      <w:r w:rsidRPr="000E4FE6">
        <w:rPr>
          <w:rFonts w:ascii="Times New Roman" w:hAnsi="Times New Roman" w:cs="Times New Roman"/>
          <w:i/>
          <w:sz w:val="24"/>
          <w:szCs w:val="24"/>
        </w:rPr>
        <w:t>143</w:t>
      </w:r>
      <w:r w:rsidRPr="000E4FE6">
        <w:rPr>
          <w:rFonts w:ascii="Times New Roman" w:hAnsi="Times New Roman" w:cs="Times New Roman"/>
          <w:sz w:val="24"/>
          <w:szCs w:val="24"/>
        </w:rPr>
        <w:t>(10), 1011–1032. https://doi.org/10.1037/bul0000109</w:t>
      </w:r>
    </w:p>
    <w:p w14:paraId="00000EC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Stewart, T. M., Williamson, D. A., and White, M. A. (2002). Rigid vs. flexible dieting: association with eating disorder symptoms in nonobese women.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38</w:t>
      </w:r>
      <w:r w:rsidRPr="000E4FE6">
        <w:rPr>
          <w:rFonts w:ascii="Times New Roman" w:hAnsi="Times New Roman" w:cs="Times New Roman"/>
          <w:sz w:val="24"/>
          <w:szCs w:val="24"/>
        </w:rPr>
        <w:t>(1), 39–44. https://doi.org/10.1006/appe.2001.0445</w:t>
      </w:r>
    </w:p>
    <w:p w14:paraId="00000EC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Stoeckel</w:t>
      </w:r>
      <w:proofErr w:type="spellEnd"/>
      <w:r w:rsidRPr="000E4FE6">
        <w:rPr>
          <w:rFonts w:ascii="Times New Roman" w:hAnsi="Times New Roman" w:cs="Times New Roman"/>
          <w:sz w:val="24"/>
          <w:szCs w:val="24"/>
        </w:rPr>
        <w:t xml:space="preserve">, L. E., Weller, R. E., Cook, E. W., </w:t>
      </w:r>
      <w:proofErr w:type="spellStart"/>
      <w:r w:rsidRPr="000E4FE6">
        <w:rPr>
          <w:rFonts w:ascii="Times New Roman" w:hAnsi="Times New Roman" w:cs="Times New Roman"/>
          <w:sz w:val="24"/>
          <w:szCs w:val="24"/>
        </w:rPr>
        <w:t>Twieg</w:t>
      </w:r>
      <w:proofErr w:type="spellEnd"/>
      <w:r w:rsidRPr="000E4FE6">
        <w:rPr>
          <w:rFonts w:ascii="Times New Roman" w:hAnsi="Times New Roman" w:cs="Times New Roman"/>
          <w:sz w:val="24"/>
          <w:szCs w:val="24"/>
        </w:rPr>
        <w:t>, D. B., Knowlton, R. C., and Cox, J. E. (2008). Widespread reward-system activation in obese women in response to pictures of high-calorie foods. </w:t>
      </w:r>
      <w:r w:rsidRPr="000E4FE6">
        <w:rPr>
          <w:rFonts w:ascii="Times New Roman" w:hAnsi="Times New Roman" w:cs="Times New Roman"/>
          <w:i/>
          <w:sz w:val="24"/>
          <w:szCs w:val="24"/>
        </w:rPr>
        <w:t>Neuroimage</w:t>
      </w:r>
      <w:r w:rsidRPr="000E4FE6">
        <w:rPr>
          <w:rFonts w:ascii="Times New Roman" w:hAnsi="Times New Roman" w:cs="Times New Roman"/>
          <w:sz w:val="24"/>
          <w:szCs w:val="24"/>
        </w:rPr>
        <w:t>, </w:t>
      </w:r>
      <w:r w:rsidRPr="000E4FE6">
        <w:rPr>
          <w:rFonts w:ascii="Times New Roman" w:hAnsi="Times New Roman" w:cs="Times New Roman"/>
          <w:i/>
          <w:sz w:val="24"/>
          <w:szCs w:val="24"/>
        </w:rPr>
        <w:t>41</w:t>
      </w:r>
      <w:r w:rsidRPr="000E4FE6">
        <w:rPr>
          <w:rFonts w:ascii="Times New Roman" w:hAnsi="Times New Roman" w:cs="Times New Roman"/>
          <w:sz w:val="24"/>
          <w:szCs w:val="24"/>
        </w:rPr>
        <w:t>(2), 636–647. https://doi.org/10.1016/j.neuroimage.2008.02.031</w:t>
      </w:r>
    </w:p>
    <w:p w14:paraId="00000EC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Story, M., </w:t>
      </w:r>
      <w:proofErr w:type="spellStart"/>
      <w:r w:rsidRPr="000E4FE6">
        <w:rPr>
          <w:rFonts w:ascii="Times New Roman" w:hAnsi="Times New Roman" w:cs="Times New Roman"/>
          <w:sz w:val="24"/>
          <w:szCs w:val="24"/>
        </w:rPr>
        <w:t>Neumark-Sztainer</w:t>
      </w:r>
      <w:proofErr w:type="spellEnd"/>
      <w:r w:rsidRPr="000E4FE6">
        <w:rPr>
          <w:rFonts w:ascii="Times New Roman" w:hAnsi="Times New Roman" w:cs="Times New Roman"/>
          <w:sz w:val="24"/>
          <w:szCs w:val="24"/>
        </w:rPr>
        <w:t xml:space="preserve">, D., and French, S. (2002). Individual and environmental influences on adolescent eating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Journal of the 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102</w:t>
      </w:r>
      <w:r w:rsidRPr="000E4FE6">
        <w:rPr>
          <w:rFonts w:ascii="Times New Roman" w:hAnsi="Times New Roman" w:cs="Times New Roman"/>
          <w:sz w:val="24"/>
          <w:szCs w:val="24"/>
        </w:rPr>
        <w:t xml:space="preserve">(3 </w:t>
      </w:r>
      <w:proofErr w:type="spellStart"/>
      <w:r w:rsidRPr="000E4FE6">
        <w:rPr>
          <w:rFonts w:ascii="Times New Roman" w:hAnsi="Times New Roman" w:cs="Times New Roman"/>
          <w:sz w:val="24"/>
          <w:szCs w:val="24"/>
        </w:rPr>
        <w:t>Suppl</w:t>
      </w:r>
      <w:proofErr w:type="spellEnd"/>
      <w:r w:rsidRPr="000E4FE6">
        <w:rPr>
          <w:rFonts w:ascii="Times New Roman" w:hAnsi="Times New Roman" w:cs="Times New Roman"/>
          <w:sz w:val="24"/>
          <w:szCs w:val="24"/>
        </w:rPr>
        <w:t>), S40-51. https://doi.org/10.1016/S0002-8223(02)90421-9</w:t>
      </w:r>
    </w:p>
    <w:p w14:paraId="00000EC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St-Pierre, D. H., </w:t>
      </w:r>
      <w:proofErr w:type="spellStart"/>
      <w:r w:rsidRPr="000E4FE6">
        <w:rPr>
          <w:rFonts w:ascii="Times New Roman" w:hAnsi="Times New Roman" w:cs="Times New Roman"/>
          <w:sz w:val="24"/>
          <w:szCs w:val="24"/>
        </w:rPr>
        <w:t>Rabasa-Lhoret</w:t>
      </w:r>
      <w:proofErr w:type="spellEnd"/>
      <w:r w:rsidRPr="000E4FE6">
        <w:rPr>
          <w:rFonts w:ascii="Times New Roman" w:hAnsi="Times New Roman" w:cs="Times New Roman"/>
          <w:sz w:val="24"/>
          <w:szCs w:val="24"/>
        </w:rPr>
        <w:t xml:space="preserve">, R., Lavoie, M.-E., Karelis, A. D., </w:t>
      </w:r>
      <w:proofErr w:type="spellStart"/>
      <w:r w:rsidRPr="000E4FE6">
        <w:rPr>
          <w:rFonts w:ascii="Times New Roman" w:hAnsi="Times New Roman" w:cs="Times New Roman"/>
          <w:sz w:val="24"/>
          <w:szCs w:val="24"/>
        </w:rPr>
        <w:t>Strychar</w:t>
      </w:r>
      <w:proofErr w:type="spellEnd"/>
      <w:r w:rsidRPr="000E4FE6">
        <w:rPr>
          <w:rFonts w:ascii="Times New Roman" w:hAnsi="Times New Roman" w:cs="Times New Roman"/>
          <w:sz w:val="24"/>
          <w:szCs w:val="24"/>
        </w:rPr>
        <w:t xml:space="preserve">, I., Doucet, E., and Coderre, L. (2009). </w:t>
      </w:r>
      <w:proofErr w:type="spellStart"/>
      <w:r w:rsidRPr="000E4FE6">
        <w:rPr>
          <w:rFonts w:ascii="Times New Roman" w:hAnsi="Times New Roman" w:cs="Times New Roman"/>
          <w:sz w:val="24"/>
          <w:szCs w:val="24"/>
        </w:rPr>
        <w:t>Fiber</w:t>
      </w:r>
      <w:proofErr w:type="spellEnd"/>
      <w:r w:rsidRPr="000E4FE6">
        <w:rPr>
          <w:rFonts w:ascii="Times New Roman" w:hAnsi="Times New Roman" w:cs="Times New Roman"/>
          <w:sz w:val="24"/>
          <w:szCs w:val="24"/>
        </w:rPr>
        <w:t xml:space="preserve"> intake predicts ghrelin levels in overweight and obese postmenopausal women. </w:t>
      </w:r>
      <w:r w:rsidRPr="000E4FE6">
        <w:rPr>
          <w:rFonts w:ascii="Times New Roman" w:hAnsi="Times New Roman" w:cs="Times New Roman"/>
          <w:i/>
          <w:sz w:val="24"/>
          <w:szCs w:val="24"/>
        </w:rPr>
        <w:t>European Journal of Endocrinology</w:t>
      </w:r>
      <w:r w:rsidRPr="000E4FE6">
        <w:rPr>
          <w:rFonts w:ascii="Times New Roman" w:hAnsi="Times New Roman" w:cs="Times New Roman"/>
          <w:sz w:val="24"/>
          <w:szCs w:val="24"/>
        </w:rPr>
        <w:t>, </w:t>
      </w:r>
      <w:r w:rsidRPr="000E4FE6">
        <w:rPr>
          <w:rFonts w:ascii="Times New Roman" w:hAnsi="Times New Roman" w:cs="Times New Roman"/>
          <w:i/>
          <w:sz w:val="24"/>
          <w:szCs w:val="24"/>
        </w:rPr>
        <w:t>161</w:t>
      </w:r>
      <w:r w:rsidRPr="000E4FE6">
        <w:rPr>
          <w:rFonts w:ascii="Times New Roman" w:hAnsi="Times New Roman" w:cs="Times New Roman"/>
          <w:sz w:val="24"/>
          <w:szCs w:val="24"/>
        </w:rPr>
        <w:t>(1), 65–72. https://doi.org/10.1530/EJE-09-0018</w:t>
      </w:r>
    </w:p>
    <w:p w14:paraId="00000EC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Striegel</w:t>
      </w:r>
      <w:proofErr w:type="spellEnd"/>
      <w:r w:rsidRPr="000E4FE6">
        <w:rPr>
          <w:rFonts w:ascii="Times New Roman" w:hAnsi="Times New Roman" w:cs="Times New Roman"/>
          <w:sz w:val="24"/>
          <w:szCs w:val="24"/>
        </w:rPr>
        <w:t xml:space="preserve">-Moore, R. H., Franko, D. L., Thompson, D., </w:t>
      </w:r>
      <w:proofErr w:type="spellStart"/>
      <w:r w:rsidRPr="000E4FE6">
        <w:rPr>
          <w:rFonts w:ascii="Times New Roman" w:hAnsi="Times New Roman" w:cs="Times New Roman"/>
          <w:sz w:val="24"/>
          <w:szCs w:val="24"/>
        </w:rPr>
        <w:t>Affenito</w:t>
      </w:r>
      <w:proofErr w:type="spellEnd"/>
      <w:r w:rsidRPr="000E4FE6">
        <w:rPr>
          <w:rFonts w:ascii="Times New Roman" w:hAnsi="Times New Roman" w:cs="Times New Roman"/>
          <w:sz w:val="24"/>
          <w:szCs w:val="24"/>
        </w:rPr>
        <w:t>, S., May, A., and Kraemer, H. C. (2008). Exploring the typology of night eating syndrome. </w:t>
      </w:r>
      <w:r w:rsidRPr="000E4FE6">
        <w:rPr>
          <w:rFonts w:ascii="Times New Roman" w:hAnsi="Times New Roman" w:cs="Times New Roman"/>
          <w:i/>
          <w:sz w:val="24"/>
          <w:szCs w:val="24"/>
        </w:rPr>
        <w:t>The International Journal of Eating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41</w:t>
      </w:r>
      <w:r w:rsidRPr="000E4FE6">
        <w:rPr>
          <w:rFonts w:ascii="Times New Roman" w:hAnsi="Times New Roman" w:cs="Times New Roman"/>
          <w:sz w:val="24"/>
          <w:szCs w:val="24"/>
        </w:rPr>
        <w:t>(5), 411–418. https://doi.org/10.1002/eat.20514</w:t>
      </w:r>
    </w:p>
    <w:p w14:paraId="00000EC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Stubbs, J, </w:t>
      </w:r>
      <w:proofErr w:type="spellStart"/>
      <w:r w:rsidRPr="000E4FE6">
        <w:rPr>
          <w:rFonts w:ascii="Times New Roman" w:hAnsi="Times New Roman" w:cs="Times New Roman"/>
          <w:sz w:val="24"/>
          <w:szCs w:val="24"/>
        </w:rPr>
        <w:t>Ferres</w:t>
      </w:r>
      <w:proofErr w:type="spellEnd"/>
      <w:r w:rsidRPr="000E4FE6">
        <w:rPr>
          <w:rFonts w:ascii="Times New Roman" w:hAnsi="Times New Roman" w:cs="Times New Roman"/>
          <w:sz w:val="24"/>
          <w:szCs w:val="24"/>
        </w:rPr>
        <w:t>, S., and Horgan, G. (2000). Energy density of foods: effects on energy intake. </w:t>
      </w:r>
      <w:r w:rsidRPr="000E4FE6">
        <w:rPr>
          <w:rFonts w:ascii="Times New Roman" w:hAnsi="Times New Roman" w:cs="Times New Roman"/>
          <w:i/>
          <w:sz w:val="24"/>
          <w:szCs w:val="24"/>
        </w:rPr>
        <w:t>Critical Reviews in Food Science and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40</w:t>
      </w:r>
      <w:r w:rsidRPr="000E4FE6">
        <w:rPr>
          <w:rFonts w:ascii="Times New Roman" w:hAnsi="Times New Roman" w:cs="Times New Roman"/>
          <w:sz w:val="24"/>
          <w:szCs w:val="24"/>
        </w:rPr>
        <w:t>(6), 481–515. https://doi.org/10.1080/10408690091189248</w:t>
      </w:r>
    </w:p>
    <w:p w14:paraId="00000ED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Stubbs, James. (2012). Behavioural and Motivational Factors Associated with Weight Loss and Maintenance in a Commercial Weight Management Programme. </w:t>
      </w:r>
      <w:r w:rsidRPr="000E4FE6">
        <w:rPr>
          <w:rFonts w:ascii="Times New Roman" w:hAnsi="Times New Roman" w:cs="Times New Roman"/>
          <w:i/>
          <w:sz w:val="24"/>
          <w:szCs w:val="24"/>
        </w:rPr>
        <w:t>The Open Obesity Journal,</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(1), 35–43. https://doi.org/10.2174/1876823701204010035</w:t>
      </w:r>
    </w:p>
    <w:p w14:paraId="00000ED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Stunkard</w:t>
      </w:r>
      <w:proofErr w:type="spellEnd"/>
      <w:r w:rsidRPr="000E4FE6">
        <w:rPr>
          <w:rFonts w:ascii="Times New Roman" w:hAnsi="Times New Roman" w:cs="Times New Roman"/>
          <w:sz w:val="24"/>
          <w:szCs w:val="24"/>
        </w:rPr>
        <w:t>, A J, and Messick, S. (1985). The three-factor eating questionnaire to measure dietary restraint, disinhibition and hunger. </w:t>
      </w:r>
      <w:r w:rsidRPr="000E4FE6">
        <w:rPr>
          <w:rFonts w:ascii="Times New Roman" w:hAnsi="Times New Roman" w:cs="Times New Roman"/>
          <w:i/>
          <w:sz w:val="24"/>
          <w:szCs w:val="24"/>
        </w:rPr>
        <w:t>Journal of Psychosomatic Research</w:t>
      </w:r>
      <w:r w:rsidRPr="000E4FE6">
        <w:rPr>
          <w:rFonts w:ascii="Times New Roman" w:hAnsi="Times New Roman" w:cs="Times New Roman"/>
          <w:sz w:val="24"/>
          <w:szCs w:val="24"/>
        </w:rPr>
        <w:t>, </w:t>
      </w:r>
      <w:r w:rsidRPr="000E4FE6">
        <w:rPr>
          <w:rFonts w:ascii="Times New Roman" w:hAnsi="Times New Roman" w:cs="Times New Roman"/>
          <w:i/>
          <w:sz w:val="24"/>
          <w:szCs w:val="24"/>
        </w:rPr>
        <w:t>29</w:t>
      </w:r>
      <w:r w:rsidRPr="000E4FE6">
        <w:rPr>
          <w:rFonts w:ascii="Times New Roman" w:hAnsi="Times New Roman" w:cs="Times New Roman"/>
          <w:sz w:val="24"/>
          <w:szCs w:val="24"/>
        </w:rPr>
        <w:t>(1), 71–83. https://doi.org/10.1016/0022-3999(85)90010-8</w:t>
      </w:r>
    </w:p>
    <w:p w14:paraId="00000ED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Stunkard</w:t>
      </w:r>
      <w:proofErr w:type="spellEnd"/>
      <w:r w:rsidRPr="000E4FE6">
        <w:rPr>
          <w:rFonts w:ascii="Times New Roman" w:hAnsi="Times New Roman" w:cs="Times New Roman"/>
          <w:sz w:val="24"/>
          <w:szCs w:val="24"/>
        </w:rPr>
        <w:t xml:space="preserve">, A J, </w:t>
      </w:r>
      <w:proofErr w:type="spellStart"/>
      <w:r w:rsidRPr="000E4FE6">
        <w:rPr>
          <w:rFonts w:ascii="Times New Roman" w:hAnsi="Times New Roman" w:cs="Times New Roman"/>
          <w:sz w:val="24"/>
          <w:szCs w:val="24"/>
        </w:rPr>
        <w:t>Sørensen</w:t>
      </w:r>
      <w:proofErr w:type="spellEnd"/>
      <w:r w:rsidRPr="000E4FE6">
        <w:rPr>
          <w:rFonts w:ascii="Times New Roman" w:hAnsi="Times New Roman" w:cs="Times New Roman"/>
          <w:sz w:val="24"/>
          <w:szCs w:val="24"/>
        </w:rPr>
        <w:t xml:space="preserve">, T. I., </w:t>
      </w:r>
      <w:proofErr w:type="spellStart"/>
      <w:r w:rsidRPr="000E4FE6">
        <w:rPr>
          <w:rFonts w:ascii="Times New Roman" w:hAnsi="Times New Roman" w:cs="Times New Roman"/>
          <w:sz w:val="24"/>
          <w:szCs w:val="24"/>
        </w:rPr>
        <w:t>Hanis</w:t>
      </w:r>
      <w:proofErr w:type="spellEnd"/>
      <w:r w:rsidRPr="000E4FE6">
        <w:rPr>
          <w:rFonts w:ascii="Times New Roman" w:hAnsi="Times New Roman" w:cs="Times New Roman"/>
          <w:sz w:val="24"/>
          <w:szCs w:val="24"/>
        </w:rPr>
        <w:t xml:space="preserve">, C., Teasdale, T. W., Chakraborty, R., Schull, W. J., and </w:t>
      </w:r>
      <w:proofErr w:type="spellStart"/>
      <w:r w:rsidRPr="000E4FE6">
        <w:rPr>
          <w:rFonts w:ascii="Times New Roman" w:hAnsi="Times New Roman" w:cs="Times New Roman"/>
          <w:sz w:val="24"/>
          <w:szCs w:val="24"/>
        </w:rPr>
        <w:t>Schulsinger</w:t>
      </w:r>
      <w:proofErr w:type="spellEnd"/>
      <w:r w:rsidRPr="000E4FE6">
        <w:rPr>
          <w:rFonts w:ascii="Times New Roman" w:hAnsi="Times New Roman" w:cs="Times New Roman"/>
          <w:sz w:val="24"/>
          <w:szCs w:val="24"/>
        </w:rPr>
        <w:t>, F. (1986). An adoption study of human obesity. </w:t>
      </w:r>
      <w:r w:rsidRPr="000E4FE6">
        <w:rPr>
          <w:rFonts w:ascii="Times New Roman" w:hAnsi="Times New Roman" w:cs="Times New Roman"/>
          <w:i/>
          <w:sz w:val="24"/>
          <w:szCs w:val="24"/>
        </w:rPr>
        <w:t>The New England Journal of Medicine</w:t>
      </w:r>
      <w:r w:rsidRPr="000E4FE6">
        <w:rPr>
          <w:rFonts w:ascii="Times New Roman" w:hAnsi="Times New Roman" w:cs="Times New Roman"/>
          <w:sz w:val="24"/>
          <w:szCs w:val="24"/>
        </w:rPr>
        <w:t>, </w:t>
      </w:r>
      <w:r w:rsidRPr="000E4FE6">
        <w:rPr>
          <w:rFonts w:ascii="Times New Roman" w:hAnsi="Times New Roman" w:cs="Times New Roman"/>
          <w:i/>
          <w:sz w:val="24"/>
          <w:szCs w:val="24"/>
        </w:rPr>
        <w:t>314</w:t>
      </w:r>
      <w:r w:rsidRPr="000E4FE6">
        <w:rPr>
          <w:rFonts w:ascii="Times New Roman" w:hAnsi="Times New Roman" w:cs="Times New Roman"/>
          <w:sz w:val="24"/>
          <w:szCs w:val="24"/>
        </w:rPr>
        <w:t>(4), 193–198. https://doi.org/10.1056/NEJM198601233140401</w:t>
      </w:r>
    </w:p>
    <w:p w14:paraId="00000ED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Stunkard</w:t>
      </w:r>
      <w:proofErr w:type="spellEnd"/>
      <w:r w:rsidRPr="000E4FE6">
        <w:rPr>
          <w:rFonts w:ascii="Times New Roman" w:hAnsi="Times New Roman" w:cs="Times New Roman"/>
          <w:sz w:val="24"/>
          <w:szCs w:val="24"/>
        </w:rPr>
        <w:t>, Albert J, and Allison, K. C. (2003). Two forms of disordered eating in obesity: binge eating and night eating.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(1), 1–12. https://doi.org/10.1038/sj.ijo.0802186</w:t>
      </w:r>
    </w:p>
    <w:p w14:paraId="00000ED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Subar</w:t>
      </w:r>
      <w:proofErr w:type="spellEnd"/>
      <w:r w:rsidRPr="000E4FE6">
        <w:rPr>
          <w:rFonts w:ascii="Times New Roman" w:hAnsi="Times New Roman" w:cs="Times New Roman"/>
          <w:sz w:val="24"/>
          <w:szCs w:val="24"/>
        </w:rPr>
        <w:t xml:space="preserve">, A. F., Kipnis, V., Troiano, R. P., </w:t>
      </w:r>
      <w:proofErr w:type="spellStart"/>
      <w:r w:rsidRPr="000E4FE6">
        <w:rPr>
          <w:rFonts w:ascii="Times New Roman" w:hAnsi="Times New Roman" w:cs="Times New Roman"/>
          <w:sz w:val="24"/>
          <w:szCs w:val="24"/>
        </w:rPr>
        <w:t>Midthune</w:t>
      </w:r>
      <w:proofErr w:type="spellEnd"/>
      <w:r w:rsidRPr="000E4FE6">
        <w:rPr>
          <w:rFonts w:ascii="Times New Roman" w:hAnsi="Times New Roman" w:cs="Times New Roman"/>
          <w:sz w:val="24"/>
          <w:szCs w:val="24"/>
        </w:rPr>
        <w:t xml:space="preserve">, D., </w:t>
      </w:r>
      <w:proofErr w:type="spellStart"/>
      <w:r w:rsidRPr="000E4FE6">
        <w:rPr>
          <w:rFonts w:ascii="Times New Roman" w:hAnsi="Times New Roman" w:cs="Times New Roman"/>
          <w:sz w:val="24"/>
          <w:szCs w:val="24"/>
        </w:rPr>
        <w:t>Schoeller</w:t>
      </w:r>
      <w:proofErr w:type="spellEnd"/>
      <w:r w:rsidRPr="000E4FE6">
        <w:rPr>
          <w:rFonts w:ascii="Times New Roman" w:hAnsi="Times New Roman" w:cs="Times New Roman"/>
          <w:sz w:val="24"/>
          <w:szCs w:val="24"/>
        </w:rPr>
        <w:t xml:space="preserve">, D. A., Bingham, S., … </w:t>
      </w:r>
      <w:proofErr w:type="spellStart"/>
      <w:r w:rsidRPr="000E4FE6">
        <w:rPr>
          <w:rFonts w:ascii="Times New Roman" w:hAnsi="Times New Roman" w:cs="Times New Roman"/>
          <w:sz w:val="24"/>
          <w:szCs w:val="24"/>
        </w:rPr>
        <w:t>Schatzkin</w:t>
      </w:r>
      <w:proofErr w:type="spellEnd"/>
      <w:r w:rsidRPr="000E4FE6">
        <w:rPr>
          <w:rFonts w:ascii="Times New Roman" w:hAnsi="Times New Roman" w:cs="Times New Roman"/>
          <w:sz w:val="24"/>
          <w:szCs w:val="24"/>
        </w:rPr>
        <w:t>, A. (2003). Using intake biomarkers to evaluate the extent of dietary misreporting in a large sample of adults: the OPEN study. </w:t>
      </w:r>
      <w:r w:rsidRPr="000E4FE6">
        <w:rPr>
          <w:rFonts w:ascii="Times New Roman" w:hAnsi="Times New Roman" w:cs="Times New Roman"/>
          <w:i/>
          <w:sz w:val="24"/>
          <w:szCs w:val="24"/>
        </w:rPr>
        <w:t>American Journal of Epidemiology</w:t>
      </w:r>
      <w:r w:rsidRPr="000E4FE6">
        <w:rPr>
          <w:rFonts w:ascii="Times New Roman" w:hAnsi="Times New Roman" w:cs="Times New Roman"/>
          <w:sz w:val="24"/>
          <w:szCs w:val="24"/>
        </w:rPr>
        <w:t>, </w:t>
      </w:r>
      <w:r w:rsidRPr="000E4FE6">
        <w:rPr>
          <w:rFonts w:ascii="Times New Roman" w:hAnsi="Times New Roman" w:cs="Times New Roman"/>
          <w:i/>
          <w:sz w:val="24"/>
          <w:szCs w:val="24"/>
        </w:rPr>
        <w:t>158</w:t>
      </w:r>
      <w:r w:rsidRPr="000E4FE6">
        <w:rPr>
          <w:rFonts w:ascii="Times New Roman" w:hAnsi="Times New Roman" w:cs="Times New Roman"/>
          <w:sz w:val="24"/>
          <w:szCs w:val="24"/>
        </w:rPr>
        <w:t>(1), 1–13. https://doi.org/10.1093/aje/kwg092</w:t>
      </w:r>
    </w:p>
    <w:p w14:paraId="00000ED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Sun, M., Feng, W., Wang, F., Li, P., Li, Z., Li, M., … </w:t>
      </w:r>
      <w:proofErr w:type="spellStart"/>
      <w:r w:rsidRPr="000E4FE6">
        <w:rPr>
          <w:rFonts w:ascii="Times New Roman" w:hAnsi="Times New Roman" w:cs="Times New Roman"/>
          <w:sz w:val="24"/>
          <w:szCs w:val="24"/>
        </w:rPr>
        <w:t>Tse</w:t>
      </w:r>
      <w:proofErr w:type="spellEnd"/>
      <w:r w:rsidRPr="000E4FE6">
        <w:rPr>
          <w:rFonts w:ascii="Times New Roman" w:hAnsi="Times New Roman" w:cs="Times New Roman"/>
          <w:sz w:val="24"/>
          <w:szCs w:val="24"/>
        </w:rPr>
        <w:t>, L. A. (2018). Meta-analysis on shift work and risks of specific obesity types.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19</w:t>
      </w:r>
      <w:r w:rsidRPr="000E4FE6">
        <w:rPr>
          <w:rFonts w:ascii="Times New Roman" w:hAnsi="Times New Roman" w:cs="Times New Roman"/>
          <w:sz w:val="24"/>
          <w:szCs w:val="24"/>
        </w:rPr>
        <w:t>(1), 28–40. https://doi.org/10.1111/obr.12621</w:t>
      </w:r>
    </w:p>
    <w:p w14:paraId="00000ED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Sun, W., and </w:t>
      </w:r>
      <w:proofErr w:type="spellStart"/>
      <w:r w:rsidRPr="000E4FE6">
        <w:rPr>
          <w:rFonts w:ascii="Times New Roman" w:hAnsi="Times New Roman" w:cs="Times New Roman"/>
          <w:sz w:val="24"/>
          <w:szCs w:val="24"/>
        </w:rPr>
        <w:t>Kober</w:t>
      </w:r>
      <w:proofErr w:type="spellEnd"/>
      <w:r w:rsidRPr="000E4FE6">
        <w:rPr>
          <w:rFonts w:ascii="Times New Roman" w:hAnsi="Times New Roman" w:cs="Times New Roman"/>
          <w:sz w:val="24"/>
          <w:szCs w:val="24"/>
        </w:rPr>
        <w:t>, H. (2020). Regulating food craving: From mechanisms to interventions.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222</w:t>
      </w:r>
      <w:r w:rsidRPr="000E4FE6">
        <w:rPr>
          <w:rFonts w:ascii="Times New Roman" w:hAnsi="Times New Roman" w:cs="Times New Roman"/>
          <w:sz w:val="24"/>
          <w:szCs w:val="24"/>
        </w:rPr>
        <w:t>, 112878. https://doi.org/10.1016/j.physbeh.2020.112878</w:t>
      </w:r>
    </w:p>
    <w:p w14:paraId="00000ED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Sutton, E. F., </w:t>
      </w:r>
      <w:proofErr w:type="spellStart"/>
      <w:r w:rsidRPr="000E4FE6">
        <w:rPr>
          <w:rFonts w:ascii="Times New Roman" w:hAnsi="Times New Roman" w:cs="Times New Roman"/>
          <w:sz w:val="24"/>
          <w:szCs w:val="24"/>
        </w:rPr>
        <w:t>Beyl</w:t>
      </w:r>
      <w:proofErr w:type="spellEnd"/>
      <w:r w:rsidRPr="000E4FE6">
        <w:rPr>
          <w:rFonts w:ascii="Times New Roman" w:hAnsi="Times New Roman" w:cs="Times New Roman"/>
          <w:sz w:val="24"/>
          <w:szCs w:val="24"/>
        </w:rPr>
        <w:t xml:space="preserve">, R., Early, K. S., </w:t>
      </w:r>
      <w:proofErr w:type="spellStart"/>
      <w:r w:rsidRPr="000E4FE6">
        <w:rPr>
          <w:rFonts w:ascii="Times New Roman" w:hAnsi="Times New Roman" w:cs="Times New Roman"/>
          <w:sz w:val="24"/>
          <w:szCs w:val="24"/>
        </w:rPr>
        <w:t>Cefalu</w:t>
      </w:r>
      <w:proofErr w:type="spellEnd"/>
      <w:r w:rsidRPr="000E4FE6">
        <w:rPr>
          <w:rFonts w:ascii="Times New Roman" w:hAnsi="Times New Roman" w:cs="Times New Roman"/>
          <w:sz w:val="24"/>
          <w:szCs w:val="24"/>
        </w:rPr>
        <w:t xml:space="preserve">, W. T., </w:t>
      </w:r>
      <w:proofErr w:type="spellStart"/>
      <w:r w:rsidRPr="000E4FE6">
        <w:rPr>
          <w:rFonts w:ascii="Times New Roman" w:hAnsi="Times New Roman" w:cs="Times New Roman"/>
          <w:sz w:val="24"/>
          <w:szCs w:val="24"/>
        </w:rPr>
        <w:t>Ravussin</w:t>
      </w:r>
      <w:proofErr w:type="spellEnd"/>
      <w:r w:rsidRPr="000E4FE6">
        <w:rPr>
          <w:rFonts w:ascii="Times New Roman" w:hAnsi="Times New Roman" w:cs="Times New Roman"/>
          <w:sz w:val="24"/>
          <w:szCs w:val="24"/>
        </w:rPr>
        <w:t>, E., and Peterson, C. M. (2018). Early Time-Restricted Feeding Improves Insulin Sensitivity, Blood Pressure, and Oxidative Stress Even without Weight Loss in Men with Prediabetes. </w:t>
      </w:r>
      <w:r w:rsidRPr="000E4FE6">
        <w:rPr>
          <w:rFonts w:ascii="Times New Roman" w:hAnsi="Times New Roman" w:cs="Times New Roman"/>
          <w:i/>
          <w:sz w:val="24"/>
          <w:szCs w:val="24"/>
        </w:rPr>
        <w:t>Cell Metabolism</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(6), 1212-1221.e3. https://doi.org/10.1016/j.cmet.2018.04.010</w:t>
      </w:r>
    </w:p>
    <w:p w14:paraId="00000ED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Suzuki, A., </w:t>
      </w:r>
      <w:proofErr w:type="spellStart"/>
      <w:r w:rsidRPr="000E4FE6">
        <w:rPr>
          <w:rFonts w:ascii="Times New Roman" w:hAnsi="Times New Roman" w:cs="Times New Roman"/>
          <w:sz w:val="24"/>
          <w:szCs w:val="24"/>
        </w:rPr>
        <w:t>Sakurazawa</w:t>
      </w:r>
      <w:proofErr w:type="spellEnd"/>
      <w:r w:rsidRPr="000E4FE6">
        <w:rPr>
          <w:rFonts w:ascii="Times New Roman" w:hAnsi="Times New Roman" w:cs="Times New Roman"/>
          <w:sz w:val="24"/>
          <w:szCs w:val="24"/>
        </w:rPr>
        <w:t>, H., Fujita, T., and Akamatsu, R. (2016). Overeating at dinner time among Japanese workers: Is overeating related to stress response and late dinner times?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101</w:t>
      </w:r>
      <w:r w:rsidRPr="000E4FE6">
        <w:rPr>
          <w:rFonts w:ascii="Times New Roman" w:hAnsi="Times New Roman" w:cs="Times New Roman"/>
          <w:sz w:val="24"/>
          <w:szCs w:val="24"/>
        </w:rPr>
        <w:t>, 8–14. https://doi.org/10.1016/j.appet.2016.02.145</w:t>
      </w:r>
    </w:p>
    <w:p w14:paraId="00000ED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Swinburn, B. A., Sacks, G., Hall, K. D., McPherson, K., </w:t>
      </w:r>
      <w:proofErr w:type="spellStart"/>
      <w:r w:rsidRPr="000E4FE6">
        <w:rPr>
          <w:rFonts w:ascii="Times New Roman" w:hAnsi="Times New Roman" w:cs="Times New Roman"/>
          <w:sz w:val="24"/>
          <w:szCs w:val="24"/>
        </w:rPr>
        <w:t>Finegood</w:t>
      </w:r>
      <w:proofErr w:type="spellEnd"/>
      <w:r w:rsidRPr="000E4FE6">
        <w:rPr>
          <w:rFonts w:ascii="Times New Roman" w:hAnsi="Times New Roman" w:cs="Times New Roman"/>
          <w:sz w:val="24"/>
          <w:szCs w:val="24"/>
        </w:rPr>
        <w:t xml:space="preserve">, D. T., Moodie, M. L., and </w:t>
      </w:r>
      <w:proofErr w:type="spellStart"/>
      <w:r w:rsidRPr="000E4FE6">
        <w:rPr>
          <w:rFonts w:ascii="Times New Roman" w:hAnsi="Times New Roman" w:cs="Times New Roman"/>
          <w:sz w:val="24"/>
          <w:szCs w:val="24"/>
        </w:rPr>
        <w:t>Gortmaker</w:t>
      </w:r>
      <w:proofErr w:type="spellEnd"/>
      <w:r w:rsidRPr="000E4FE6">
        <w:rPr>
          <w:rFonts w:ascii="Times New Roman" w:hAnsi="Times New Roman" w:cs="Times New Roman"/>
          <w:sz w:val="24"/>
          <w:szCs w:val="24"/>
        </w:rPr>
        <w:t>, S. L. (2011). The global obesity pandemic: shaped by global drivers and local environments. </w:t>
      </w:r>
      <w:r w:rsidRPr="000E4FE6">
        <w:rPr>
          <w:rFonts w:ascii="Times New Roman" w:hAnsi="Times New Roman" w:cs="Times New Roman"/>
          <w:i/>
          <w:sz w:val="24"/>
          <w:szCs w:val="24"/>
        </w:rPr>
        <w:t>The Lancet</w:t>
      </w:r>
      <w:r w:rsidRPr="000E4FE6">
        <w:rPr>
          <w:rFonts w:ascii="Times New Roman" w:hAnsi="Times New Roman" w:cs="Times New Roman"/>
          <w:sz w:val="24"/>
          <w:szCs w:val="24"/>
        </w:rPr>
        <w:t>, </w:t>
      </w:r>
      <w:r w:rsidRPr="000E4FE6">
        <w:rPr>
          <w:rFonts w:ascii="Times New Roman" w:hAnsi="Times New Roman" w:cs="Times New Roman"/>
          <w:i/>
          <w:sz w:val="24"/>
          <w:szCs w:val="24"/>
        </w:rPr>
        <w:t>378</w:t>
      </w:r>
      <w:r w:rsidRPr="000E4FE6">
        <w:rPr>
          <w:rFonts w:ascii="Times New Roman" w:hAnsi="Times New Roman" w:cs="Times New Roman"/>
          <w:sz w:val="24"/>
          <w:szCs w:val="24"/>
        </w:rPr>
        <w:t>(9793), 804–814. https://doi.org/10.1016/S0140-6736(11)60813-1</w:t>
      </w:r>
    </w:p>
    <w:p w14:paraId="00000ED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Swinburn, B., Egger, G., and Raza, F. (1999). Dissecting obesogenic environments: the development and application of a framework for identifying and prioritizing environmental interventions for obesity. </w:t>
      </w:r>
      <w:r w:rsidRPr="000E4FE6">
        <w:rPr>
          <w:rFonts w:ascii="Times New Roman" w:hAnsi="Times New Roman" w:cs="Times New Roman"/>
          <w:i/>
          <w:sz w:val="24"/>
          <w:szCs w:val="24"/>
        </w:rPr>
        <w:t>Preventive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29</w:t>
      </w:r>
      <w:r w:rsidRPr="000E4FE6">
        <w:rPr>
          <w:rFonts w:ascii="Times New Roman" w:hAnsi="Times New Roman" w:cs="Times New Roman"/>
          <w:sz w:val="24"/>
          <w:szCs w:val="24"/>
        </w:rPr>
        <w:t>(6 Pt 1), 563–570. https://doi.org/10.1006/pmed.1999.0585</w:t>
      </w:r>
    </w:p>
    <w:p w14:paraId="00000ED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Szwajcer</w:t>
      </w:r>
      <w:proofErr w:type="spellEnd"/>
      <w:r w:rsidRPr="000E4FE6">
        <w:rPr>
          <w:rFonts w:ascii="Times New Roman" w:hAnsi="Times New Roman" w:cs="Times New Roman"/>
          <w:sz w:val="24"/>
          <w:szCs w:val="24"/>
        </w:rPr>
        <w:t xml:space="preserve">, E. M., Hiddink, G. J., Maas, L., </w:t>
      </w:r>
      <w:proofErr w:type="spellStart"/>
      <w:r w:rsidRPr="000E4FE6">
        <w:rPr>
          <w:rFonts w:ascii="Times New Roman" w:hAnsi="Times New Roman" w:cs="Times New Roman"/>
          <w:sz w:val="24"/>
          <w:szCs w:val="24"/>
        </w:rPr>
        <w:t>Koelen</w:t>
      </w:r>
      <w:proofErr w:type="spellEnd"/>
      <w:r w:rsidRPr="000E4FE6">
        <w:rPr>
          <w:rFonts w:ascii="Times New Roman" w:hAnsi="Times New Roman" w:cs="Times New Roman"/>
          <w:sz w:val="24"/>
          <w:szCs w:val="24"/>
        </w:rPr>
        <w:t xml:space="preserve">, M. A., and van </w:t>
      </w:r>
      <w:proofErr w:type="spellStart"/>
      <w:r w:rsidRPr="000E4FE6">
        <w:rPr>
          <w:rFonts w:ascii="Times New Roman" w:hAnsi="Times New Roman" w:cs="Times New Roman"/>
          <w:sz w:val="24"/>
          <w:szCs w:val="24"/>
        </w:rPr>
        <w:t>Woerkum</w:t>
      </w:r>
      <w:proofErr w:type="spellEnd"/>
      <w:r w:rsidRPr="000E4FE6">
        <w:rPr>
          <w:rFonts w:ascii="Times New Roman" w:hAnsi="Times New Roman" w:cs="Times New Roman"/>
          <w:sz w:val="24"/>
          <w:szCs w:val="24"/>
        </w:rPr>
        <w:t>, C. M. J. (2008). Nutrition-related information-seeking behaviours of women trying to conceive and pregnant women: evidence for the life course perspective. </w:t>
      </w:r>
      <w:r w:rsidRPr="000E4FE6">
        <w:rPr>
          <w:rFonts w:ascii="Times New Roman" w:hAnsi="Times New Roman" w:cs="Times New Roman"/>
          <w:i/>
          <w:sz w:val="24"/>
          <w:szCs w:val="24"/>
        </w:rPr>
        <w:t>Family Practice</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25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1</w:t>
      </w:r>
      <w:r w:rsidRPr="000E4FE6">
        <w:rPr>
          <w:rFonts w:ascii="Times New Roman" w:hAnsi="Times New Roman" w:cs="Times New Roman"/>
          <w:sz w:val="24"/>
          <w:szCs w:val="24"/>
        </w:rPr>
        <w:t>, i99-104. https://doi.org/10.1093/fampra/cmn077</w:t>
      </w:r>
    </w:p>
    <w:p w14:paraId="00000ED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Taetzsch</w:t>
      </w:r>
      <w:proofErr w:type="spellEnd"/>
      <w:r w:rsidRPr="000E4FE6">
        <w:rPr>
          <w:rFonts w:ascii="Times New Roman" w:hAnsi="Times New Roman" w:cs="Times New Roman"/>
          <w:sz w:val="24"/>
          <w:szCs w:val="24"/>
        </w:rPr>
        <w:t>, A., Roberts, S. B., Gilhooly, C. H., Lichtenstein, A. H., Krauss, A. J., Bukhari, A., … Das, S. K. (2020). Food cravings: Associations with dietary intake and metabolic health.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152</w:t>
      </w:r>
      <w:r w:rsidRPr="000E4FE6">
        <w:rPr>
          <w:rFonts w:ascii="Times New Roman" w:hAnsi="Times New Roman" w:cs="Times New Roman"/>
          <w:sz w:val="24"/>
          <w:szCs w:val="24"/>
        </w:rPr>
        <w:t>, 104711. https://doi.org/10.1016/j.appet.2020.104711</w:t>
      </w:r>
    </w:p>
    <w:p w14:paraId="00000ED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Tahara</w:t>
      </w:r>
      <w:proofErr w:type="spellEnd"/>
      <w:r w:rsidRPr="000E4FE6">
        <w:rPr>
          <w:rFonts w:ascii="Times New Roman" w:hAnsi="Times New Roman" w:cs="Times New Roman"/>
          <w:sz w:val="24"/>
          <w:szCs w:val="24"/>
        </w:rPr>
        <w:t xml:space="preserve">, Y., and Shibata, S. (2014). </w:t>
      </w:r>
      <w:proofErr w:type="gramStart"/>
      <w:r w:rsidRPr="000E4FE6">
        <w:rPr>
          <w:rFonts w:ascii="Times New Roman" w:hAnsi="Times New Roman" w:cs="Times New Roman"/>
          <w:sz w:val="24"/>
          <w:szCs w:val="24"/>
        </w:rPr>
        <w:t>Chrono-biology</w:t>
      </w:r>
      <w:proofErr w:type="gramEnd"/>
      <w:r w:rsidRPr="000E4FE6">
        <w:rPr>
          <w:rFonts w:ascii="Times New Roman" w:hAnsi="Times New Roman" w:cs="Times New Roman"/>
          <w:sz w:val="24"/>
          <w:szCs w:val="24"/>
        </w:rPr>
        <w:t>, chrono-pharmacology, and chrono-nutrition. </w:t>
      </w:r>
      <w:r w:rsidRPr="000E4FE6">
        <w:rPr>
          <w:rFonts w:ascii="Times New Roman" w:hAnsi="Times New Roman" w:cs="Times New Roman"/>
          <w:i/>
          <w:sz w:val="24"/>
          <w:szCs w:val="24"/>
        </w:rPr>
        <w:t>Journal of Pharmacological Sciences</w:t>
      </w:r>
      <w:r w:rsidRPr="000E4FE6">
        <w:rPr>
          <w:rFonts w:ascii="Times New Roman" w:hAnsi="Times New Roman" w:cs="Times New Roman"/>
          <w:sz w:val="24"/>
          <w:szCs w:val="24"/>
        </w:rPr>
        <w:t>, </w:t>
      </w:r>
      <w:r w:rsidRPr="000E4FE6">
        <w:rPr>
          <w:rFonts w:ascii="Times New Roman" w:hAnsi="Times New Roman" w:cs="Times New Roman"/>
          <w:i/>
          <w:sz w:val="24"/>
          <w:szCs w:val="24"/>
        </w:rPr>
        <w:t>124</w:t>
      </w:r>
      <w:r w:rsidRPr="000E4FE6">
        <w:rPr>
          <w:rFonts w:ascii="Times New Roman" w:hAnsi="Times New Roman" w:cs="Times New Roman"/>
          <w:sz w:val="24"/>
          <w:szCs w:val="24"/>
        </w:rPr>
        <w:t>(3), 320–335. https://doi.org/10.1254/jphs.13r06cr</w:t>
      </w:r>
    </w:p>
    <w:p w14:paraId="00000ED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Taillard</w:t>
      </w:r>
      <w:proofErr w:type="spellEnd"/>
      <w:r w:rsidRPr="000E4FE6">
        <w:rPr>
          <w:rFonts w:ascii="Times New Roman" w:hAnsi="Times New Roman" w:cs="Times New Roman"/>
          <w:sz w:val="24"/>
          <w:szCs w:val="24"/>
        </w:rPr>
        <w:t xml:space="preserve">, J., Philip, P., </w:t>
      </w:r>
      <w:proofErr w:type="spellStart"/>
      <w:r w:rsidRPr="000E4FE6">
        <w:rPr>
          <w:rFonts w:ascii="Times New Roman" w:hAnsi="Times New Roman" w:cs="Times New Roman"/>
          <w:sz w:val="24"/>
          <w:szCs w:val="24"/>
        </w:rPr>
        <w:t>Chastang</w:t>
      </w:r>
      <w:proofErr w:type="spellEnd"/>
      <w:r w:rsidRPr="000E4FE6">
        <w:rPr>
          <w:rFonts w:ascii="Times New Roman" w:hAnsi="Times New Roman" w:cs="Times New Roman"/>
          <w:sz w:val="24"/>
          <w:szCs w:val="24"/>
        </w:rPr>
        <w:t xml:space="preserve">, J. F., </w:t>
      </w:r>
      <w:proofErr w:type="spellStart"/>
      <w:r w:rsidRPr="000E4FE6">
        <w:rPr>
          <w:rFonts w:ascii="Times New Roman" w:hAnsi="Times New Roman" w:cs="Times New Roman"/>
          <w:sz w:val="24"/>
          <w:szCs w:val="24"/>
        </w:rPr>
        <w:t>Diefenbach</w:t>
      </w:r>
      <w:proofErr w:type="spellEnd"/>
      <w:r w:rsidRPr="000E4FE6">
        <w:rPr>
          <w:rFonts w:ascii="Times New Roman" w:hAnsi="Times New Roman" w:cs="Times New Roman"/>
          <w:sz w:val="24"/>
          <w:szCs w:val="24"/>
        </w:rPr>
        <w:t xml:space="preserve">, K., and </w:t>
      </w:r>
      <w:proofErr w:type="spellStart"/>
      <w:r w:rsidRPr="000E4FE6">
        <w:rPr>
          <w:rFonts w:ascii="Times New Roman" w:hAnsi="Times New Roman" w:cs="Times New Roman"/>
          <w:sz w:val="24"/>
          <w:szCs w:val="24"/>
        </w:rPr>
        <w:t>Bioulac</w:t>
      </w:r>
      <w:proofErr w:type="spellEnd"/>
      <w:r w:rsidRPr="000E4FE6">
        <w:rPr>
          <w:rFonts w:ascii="Times New Roman" w:hAnsi="Times New Roman" w:cs="Times New Roman"/>
          <w:sz w:val="24"/>
          <w:szCs w:val="24"/>
        </w:rPr>
        <w:t>, B. (2001). Is self-reported morbidity related to the circadian clock? </w:t>
      </w:r>
      <w:r w:rsidRPr="000E4FE6">
        <w:rPr>
          <w:rFonts w:ascii="Times New Roman" w:hAnsi="Times New Roman" w:cs="Times New Roman"/>
          <w:i/>
          <w:sz w:val="24"/>
          <w:szCs w:val="24"/>
        </w:rPr>
        <w:t>Journal of Biological Rhythms</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(2), 183–190. https://doi.org/10.1177/074873001129001764</w:t>
      </w:r>
    </w:p>
    <w:p w14:paraId="00000ED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Tajalli</w:t>
      </w:r>
      <w:proofErr w:type="spellEnd"/>
      <w:r w:rsidRPr="000E4FE6">
        <w:rPr>
          <w:rFonts w:ascii="Times New Roman" w:hAnsi="Times New Roman" w:cs="Times New Roman"/>
          <w:sz w:val="24"/>
          <w:szCs w:val="24"/>
        </w:rPr>
        <w:t xml:space="preserve">, M., and </w:t>
      </w:r>
      <w:proofErr w:type="spellStart"/>
      <w:r w:rsidRPr="000E4FE6">
        <w:rPr>
          <w:rFonts w:ascii="Times New Roman" w:hAnsi="Times New Roman" w:cs="Times New Roman"/>
          <w:sz w:val="24"/>
          <w:szCs w:val="24"/>
        </w:rPr>
        <w:t>Hajbabaie</w:t>
      </w:r>
      <w:proofErr w:type="spellEnd"/>
      <w:r w:rsidRPr="000E4FE6">
        <w:rPr>
          <w:rFonts w:ascii="Times New Roman" w:hAnsi="Times New Roman" w:cs="Times New Roman"/>
          <w:sz w:val="24"/>
          <w:szCs w:val="24"/>
        </w:rPr>
        <w:t>, A. (2017). On the relationships between commuting mode choice and public health. </w:t>
      </w:r>
      <w:r w:rsidRPr="000E4FE6">
        <w:rPr>
          <w:rFonts w:ascii="Times New Roman" w:hAnsi="Times New Roman" w:cs="Times New Roman"/>
          <w:i/>
          <w:sz w:val="24"/>
          <w:szCs w:val="24"/>
        </w:rPr>
        <w:t>Journal of Transport &amp; Health</w:t>
      </w:r>
      <w:r w:rsidRPr="000E4FE6">
        <w:rPr>
          <w:rFonts w:ascii="Times New Roman" w:hAnsi="Times New Roman" w:cs="Times New Roman"/>
          <w:sz w:val="24"/>
          <w:szCs w:val="24"/>
        </w:rPr>
        <w:t>. https://doi.org/10.1016/j.jth.2016.12.007</w:t>
      </w:r>
    </w:p>
    <w:p w14:paraId="00000EE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Tang, W., Aggarwal, A., </w:t>
      </w:r>
      <w:proofErr w:type="spellStart"/>
      <w:r w:rsidRPr="000E4FE6">
        <w:rPr>
          <w:rFonts w:ascii="Times New Roman" w:hAnsi="Times New Roman" w:cs="Times New Roman"/>
          <w:sz w:val="24"/>
          <w:szCs w:val="24"/>
        </w:rPr>
        <w:t>Moudon</w:t>
      </w:r>
      <w:proofErr w:type="spellEnd"/>
      <w:r w:rsidRPr="000E4FE6">
        <w:rPr>
          <w:rFonts w:ascii="Times New Roman" w:hAnsi="Times New Roman" w:cs="Times New Roman"/>
          <w:sz w:val="24"/>
          <w:szCs w:val="24"/>
        </w:rPr>
        <w:t xml:space="preserve">, A. V., and </w:t>
      </w:r>
      <w:proofErr w:type="spellStart"/>
      <w:r w:rsidRPr="000E4FE6">
        <w:rPr>
          <w:rFonts w:ascii="Times New Roman" w:hAnsi="Times New Roman" w:cs="Times New Roman"/>
          <w:sz w:val="24"/>
          <w:szCs w:val="24"/>
        </w:rPr>
        <w:t>Drewnowski</w:t>
      </w:r>
      <w:proofErr w:type="spellEnd"/>
      <w:r w:rsidRPr="000E4FE6">
        <w:rPr>
          <w:rFonts w:ascii="Times New Roman" w:hAnsi="Times New Roman" w:cs="Times New Roman"/>
          <w:sz w:val="24"/>
          <w:szCs w:val="24"/>
        </w:rPr>
        <w:t>, A. (2016). Self-reported and measured weights and heights among adults in Seattle and King County. </w:t>
      </w:r>
      <w:r w:rsidRPr="000E4FE6">
        <w:rPr>
          <w:rFonts w:ascii="Times New Roman" w:hAnsi="Times New Roman" w:cs="Times New Roman"/>
          <w:i/>
          <w:sz w:val="24"/>
          <w:szCs w:val="24"/>
        </w:rPr>
        <w:t>BMC Obesity</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 11. https://doi.org/10.1186/s40608-016-0088-2</w:t>
      </w:r>
    </w:p>
    <w:p w14:paraId="00000EE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Tapper, K., Shaw, C., </w:t>
      </w:r>
      <w:proofErr w:type="spellStart"/>
      <w:r w:rsidRPr="000E4FE6">
        <w:rPr>
          <w:rFonts w:ascii="Times New Roman" w:hAnsi="Times New Roman" w:cs="Times New Roman"/>
          <w:sz w:val="24"/>
          <w:szCs w:val="24"/>
        </w:rPr>
        <w:t>Ilsley</w:t>
      </w:r>
      <w:proofErr w:type="spellEnd"/>
      <w:r w:rsidRPr="000E4FE6">
        <w:rPr>
          <w:rFonts w:ascii="Times New Roman" w:hAnsi="Times New Roman" w:cs="Times New Roman"/>
          <w:sz w:val="24"/>
          <w:szCs w:val="24"/>
        </w:rPr>
        <w:t>, J., Hill, A. J., Bond, F. W., and Moore, L. (2009). Exploratory randomised controlled trial of a mindfulness-based weight loss intervention for women.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52</w:t>
      </w:r>
      <w:r w:rsidRPr="000E4FE6">
        <w:rPr>
          <w:rFonts w:ascii="Times New Roman" w:hAnsi="Times New Roman" w:cs="Times New Roman"/>
          <w:sz w:val="24"/>
          <w:szCs w:val="24"/>
        </w:rPr>
        <w:t>(2), 396–404. https://doi.org/10.1016/j.appet.2008.11.012</w:t>
      </w:r>
    </w:p>
    <w:p w14:paraId="00000EE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Tasali</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Chapotot</w:t>
      </w:r>
      <w:proofErr w:type="spellEnd"/>
      <w:r w:rsidRPr="000E4FE6">
        <w:rPr>
          <w:rFonts w:ascii="Times New Roman" w:hAnsi="Times New Roman" w:cs="Times New Roman"/>
          <w:sz w:val="24"/>
          <w:szCs w:val="24"/>
        </w:rPr>
        <w:t xml:space="preserve">, F., </w:t>
      </w:r>
      <w:proofErr w:type="spellStart"/>
      <w:r w:rsidRPr="000E4FE6">
        <w:rPr>
          <w:rFonts w:ascii="Times New Roman" w:hAnsi="Times New Roman" w:cs="Times New Roman"/>
          <w:sz w:val="24"/>
          <w:szCs w:val="24"/>
        </w:rPr>
        <w:t>Wroblewski</w:t>
      </w:r>
      <w:proofErr w:type="spellEnd"/>
      <w:r w:rsidRPr="000E4FE6">
        <w:rPr>
          <w:rFonts w:ascii="Times New Roman" w:hAnsi="Times New Roman" w:cs="Times New Roman"/>
          <w:sz w:val="24"/>
          <w:szCs w:val="24"/>
        </w:rPr>
        <w:t xml:space="preserve">, K., and </w:t>
      </w:r>
      <w:proofErr w:type="spellStart"/>
      <w:r w:rsidRPr="000E4FE6">
        <w:rPr>
          <w:rFonts w:ascii="Times New Roman" w:hAnsi="Times New Roman" w:cs="Times New Roman"/>
          <w:sz w:val="24"/>
          <w:szCs w:val="24"/>
        </w:rPr>
        <w:t>Schoeller</w:t>
      </w:r>
      <w:proofErr w:type="spellEnd"/>
      <w:r w:rsidRPr="000E4FE6">
        <w:rPr>
          <w:rFonts w:ascii="Times New Roman" w:hAnsi="Times New Roman" w:cs="Times New Roman"/>
          <w:sz w:val="24"/>
          <w:szCs w:val="24"/>
        </w:rPr>
        <w:t>, D. (2014). The effects of extended bedtimes on sleep duration and food desire in overweight young adults: a home-based intervention.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80</w:t>
      </w:r>
      <w:r w:rsidRPr="000E4FE6">
        <w:rPr>
          <w:rFonts w:ascii="Times New Roman" w:hAnsi="Times New Roman" w:cs="Times New Roman"/>
          <w:sz w:val="24"/>
          <w:szCs w:val="24"/>
        </w:rPr>
        <w:t>, 220–224. https://doi.org/10.1016/j.appet.2014.05.021</w:t>
      </w:r>
    </w:p>
    <w:p w14:paraId="00000EE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Taylor, B. J., and Hasler, B. P. (2018). Chronotype and mental health: recent advances. </w:t>
      </w:r>
      <w:r w:rsidRPr="000E4FE6">
        <w:rPr>
          <w:rFonts w:ascii="Times New Roman" w:hAnsi="Times New Roman" w:cs="Times New Roman"/>
          <w:i/>
          <w:sz w:val="24"/>
          <w:szCs w:val="24"/>
        </w:rPr>
        <w:t>Current Psychiatry Reports</w:t>
      </w:r>
      <w:r w:rsidRPr="000E4FE6">
        <w:rPr>
          <w:rFonts w:ascii="Times New Roman" w:hAnsi="Times New Roman" w:cs="Times New Roman"/>
          <w:sz w:val="24"/>
          <w:szCs w:val="24"/>
        </w:rPr>
        <w:t>, </w:t>
      </w:r>
      <w:r w:rsidRPr="000E4FE6">
        <w:rPr>
          <w:rFonts w:ascii="Times New Roman" w:hAnsi="Times New Roman" w:cs="Times New Roman"/>
          <w:i/>
          <w:sz w:val="24"/>
          <w:szCs w:val="24"/>
        </w:rPr>
        <w:t>20</w:t>
      </w:r>
      <w:r w:rsidRPr="000E4FE6">
        <w:rPr>
          <w:rFonts w:ascii="Times New Roman" w:hAnsi="Times New Roman" w:cs="Times New Roman"/>
          <w:sz w:val="24"/>
          <w:szCs w:val="24"/>
        </w:rPr>
        <w:t>(8), 59. https://doi.org/10.1007/s11920-018-0925-8</w:t>
      </w:r>
    </w:p>
    <w:p w14:paraId="00000EE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Te</w:t>
      </w:r>
      <w:proofErr w:type="spellEnd"/>
      <w:r w:rsidRPr="000E4FE6">
        <w:rPr>
          <w:rFonts w:ascii="Times New Roman" w:hAnsi="Times New Roman" w:cs="Times New Roman"/>
          <w:sz w:val="24"/>
          <w:szCs w:val="24"/>
        </w:rPr>
        <w:t xml:space="preserve"> </w:t>
      </w:r>
      <w:proofErr w:type="spellStart"/>
      <w:r w:rsidRPr="000E4FE6">
        <w:rPr>
          <w:rFonts w:ascii="Times New Roman" w:hAnsi="Times New Roman" w:cs="Times New Roman"/>
          <w:sz w:val="24"/>
          <w:szCs w:val="24"/>
        </w:rPr>
        <w:t>Morenga</w:t>
      </w:r>
      <w:proofErr w:type="spellEnd"/>
      <w:r w:rsidRPr="000E4FE6">
        <w:rPr>
          <w:rFonts w:ascii="Times New Roman" w:hAnsi="Times New Roman" w:cs="Times New Roman"/>
          <w:sz w:val="24"/>
          <w:szCs w:val="24"/>
        </w:rPr>
        <w:t>, L., and Mann, J. (2012). The role of high-protein diets in body weight management and health.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108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2</w:t>
      </w:r>
      <w:r w:rsidRPr="000E4FE6">
        <w:rPr>
          <w:rFonts w:ascii="Times New Roman" w:hAnsi="Times New Roman" w:cs="Times New Roman"/>
          <w:sz w:val="24"/>
          <w:szCs w:val="24"/>
        </w:rPr>
        <w:t>, S130-8. https://doi.org/10.1017/S0007114512002437</w:t>
      </w:r>
    </w:p>
    <w:p w14:paraId="00000EE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Teixeira, G. P., </w:t>
      </w:r>
      <w:proofErr w:type="spellStart"/>
      <w:r w:rsidRPr="000E4FE6">
        <w:rPr>
          <w:rFonts w:ascii="Times New Roman" w:hAnsi="Times New Roman" w:cs="Times New Roman"/>
          <w:sz w:val="24"/>
          <w:szCs w:val="24"/>
        </w:rPr>
        <w:t>Guimarães</w:t>
      </w:r>
      <w:proofErr w:type="spellEnd"/>
      <w:r w:rsidRPr="000E4FE6">
        <w:rPr>
          <w:rFonts w:ascii="Times New Roman" w:hAnsi="Times New Roman" w:cs="Times New Roman"/>
          <w:sz w:val="24"/>
          <w:szCs w:val="24"/>
        </w:rPr>
        <w:t xml:space="preserve">, K. C., Soares, A. G. N. S., </w:t>
      </w:r>
      <w:proofErr w:type="spellStart"/>
      <w:r w:rsidRPr="000E4FE6">
        <w:rPr>
          <w:rFonts w:ascii="Times New Roman" w:hAnsi="Times New Roman" w:cs="Times New Roman"/>
          <w:sz w:val="24"/>
          <w:szCs w:val="24"/>
        </w:rPr>
        <w:t>Marqueze</w:t>
      </w:r>
      <w:proofErr w:type="spellEnd"/>
      <w:r w:rsidRPr="000E4FE6">
        <w:rPr>
          <w:rFonts w:ascii="Times New Roman" w:hAnsi="Times New Roman" w:cs="Times New Roman"/>
          <w:sz w:val="24"/>
          <w:szCs w:val="24"/>
        </w:rPr>
        <w:t xml:space="preserve">, E. C., Moreno, C. R. C., </w:t>
      </w:r>
      <w:proofErr w:type="spellStart"/>
      <w:r w:rsidRPr="000E4FE6">
        <w:rPr>
          <w:rFonts w:ascii="Times New Roman" w:hAnsi="Times New Roman" w:cs="Times New Roman"/>
          <w:sz w:val="24"/>
          <w:szCs w:val="24"/>
        </w:rPr>
        <w:t>Mota</w:t>
      </w:r>
      <w:proofErr w:type="spellEnd"/>
      <w:r w:rsidRPr="000E4FE6">
        <w:rPr>
          <w:rFonts w:ascii="Times New Roman" w:hAnsi="Times New Roman" w:cs="Times New Roman"/>
          <w:sz w:val="24"/>
          <w:szCs w:val="24"/>
        </w:rPr>
        <w:t xml:space="preserve">, M. C., and </w:t>
      </w:r>
      <w:proofErr w:type="spellStart"/>
      <w:r w:rsidRPr="000E4FE6">
        <w:rPr>
          <w:rFonts w:ascii="Times New Roman" w:hAnsi="Times New Roman" w:cs="Times New Roman"/>
          <w:sz w:val="24"/>
          <w:szCs w:val="24"/>
        </w:rPr>
        <w:t>Crispim</w:t>
      </w:r>
      <w:proofErr w:type="spellEnd"/>
      <w:r w:rsidRPr="000E4FE6">
        <w:rPr>
          <w:rFonts w:ascii="Times New Roman" w:hAnsi="Times New Roman" w:cs="Times New Roman"/>
          <w:sz w:val="24"/>
          <w:szCs w:val="24"/>
        </w:rPr>
        <w:t>, C. A. (2022). Role of chronotype in dietary intake, meal timing, and obesity: a systematic review. </w:t>
      </w:r>
      <w:r w:rsidRPr="000E4FE6">
        <w:rPr>
          <w:rFonts w:ascii="Times New Roman" w:hAnsi="Times New Roman" w:cs="Times New Roman"/>
          <w:i/>
          <w:sz w:val="24"/>
          <w:szCs w:val="24"/>
        </w:rPr>
        <w:t>Nutrition Reviews</w:t>
      </w:r>
      <w:r w:rsidRPr="000E4FE6">
        <w:rPr>
          <w:rFonts w:ascii="Times New Roman" w:hAnsi="Times New Roman" w:cs="Times New Roman"/>
          <w:sz w:val="24"/>
          <w:szCs w:val="24"/>
        </w:rPr>
        <w:t>, </w:t>
      </w:r>
      <w:r w:rsidRPr="000E4FE6">
        <w:rPr>
          <w:rFonts w:ascii="Times New Roman" w:hAnsi="Times New Roman" w:cs="Times New Roman"/>
          <w:i/>
          <w:sz w:val="24"/>
          <w:szCs w:val="24"/>
        </w:rPr>
        <w:t>81</w:t>
      </w:r>
      <w:r w:rsidRPr="000E4FE6">
        <w:rPr>
          <w:rFonts w:ascii="Times New Roman" w:hAnsi="Times New Roman" w:cs="Times New Roman"/>
          <w:sz w:val="24"/>
          <w:szCs w:val="24"/>
        </w:rPr>
        <w:t>(1), 75–90. https://doi.org/10.1093/nutrit/nuac044</w:t>
      </w:r>
    </w:p>
    <w:p w14:paraId="00000EE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Teixeira, P. J., Silva, M. N., Coutinho, S. R., </w:t>
      </w:r>
      <w:proofErr w:type="spellStart"/>
      <w:r w:rsidRPr="000E4FE6">
        <w:rPr>
          <w:rFonts w:ascii="Times New Roman" w:hAnsi="Times New Roman" w:cs="Times New Roman"/>
          <w:sz w:val="24"/>
          <w:szCs w:val="24"/>
        </w:rPr>
        <w:t>Palmeira</w:t>
      </w:r>
      <w:proofErr w:type="spellEnd"/>
      <w:r w:rsidRPr="000E4FE6">
        <w:rPr>
          <w:rFonts w:ascii="Times New Roman" w:hAnsi="Times New Roman" w:cs="Times New Roman"/>
          <w:sz w:val="24"/>
          <w:szCs w:val="24"/>
        </w:rPr>
        <w:t xml:space="preserve">, A. L., Mata, J., Vieira, P. N., … </w:t>
      </w:r>
      <w:proofErr w:type="spellStart"/>
      <w:r w:rsidRPr="000E4FE6">
        <w:rPr>
          <w:rFonts w:ascii="Times New Roman" w:hAnsi="Times New Roman" w:cs="Times New Roman"/>
          <w:sz w:val="24"/>
          <w:szCs w:val="24"/>
        </w:rPr>
        <w:t>Sardinha</w:t>
      </w:r>
      <w:proofErr w:type="spellEnd"/>
      <w:r w:rsidRPr="000E4FE6">
        <w:rPr>
          <w:rFonts w:ascii="Times New Roman" w:hAnsi="Times New Roman" w:cs="Times New Roman"/>
          <w:sz w:val="24"/>
          <w:szCs w:val="24"/>
        </w:rPr>
        <w:t>, L. B. (2010). Mediators of weight loss and weight loss maintenance in middle-aged women.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(4), 725–735. https://doi.org/10.1038/oby.2009.281</w:t>
      </w:r>
    </w:p>
    <w:p w14:paraId="00000EE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Temple, J. L., Johnson, K., </w:t>
      </w:r>
      <w:proofErr w:type="spellStart"/>
      <w:r w:rsidRPr="000E4FE6">
        <w:rPr>
          <w:rFonts w:ascii="Times New Roman" w:hAnsi="Times New Roman" w:cs="Times New Roman"/>
          <w:sz w:val="24"/>
          <w:szCs w:val="24"/>
        </w:rPr>
        <w:t>Recupero</w:t>
      </w:r>
      <w:proofErr w:type="spellEnd"/>
      <w:r w:rsidRPr="000E4FE6">
        <w:rPr>
          <w:rFonts w:ascii="Times New Roman" w:hAnsi="Times New Roman" w:cs="Times New Roman"/>
          <w:sz w:val="24"/>
          <w:szCs w:val="24"/>
        </w:rPr>
        <w:t xml:space="preserve">, K., and </w:t>
      </w:r>
      <w:proofErr w:type="spellStart"/>
      <w:r w:rsidRPr="000E4FE6">
        <w:rPr>
          <w:rFonts w:ascii="Times New Roman" w:hAnsi="Times New Roman" w:cs="Times New Roman"/>
          <w:sz w:val="24"/>
          <w:szCs w:val="24"/>
        </w:rPr>
        <w:t>Suders</w:t>
      </w:r>
      <w:proofErr w:type="spellEnd"/>
      <w:r w:rsidRPr="000E4FE6">
        <w:rPr>
          <w:rFonts w:ascii="Times New Roman" w:hAnsi="Times New Roman" w:cs="Times New Roman"/>
          <w:sz w:val="24"/>
          <w:szCs w:val="24"/>
        </w:rPr>
        <w:t>, H. (2010). Nutrition labels decrease energy intake in adults consuming lunch in the laboratory. </w:t>
      </w:r>
      <w:r w:rsidRPr="000E4FE6">
        <w:rPr>
          <w:rFonts w:ascii="Times New Roman" w:hAnsi="Times New Roman" w:cs="Times New Roman"/>
          <w:i/>
          <w:sz w:val="24"/>
          <w:szCs w:val="24"/>
        </w:rPr>
        <w:t>Journal of the American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110</w:t>
      </w:r>
      <w:r w:rsidRPr="000E4FE6">
        <w:rPr>
          <w:rFonts w:ascii="Times New Roman" w:hAnsi="Times New Roman" w:cs="Times New Roman"/>
          <w:sz w:val="24"/>
          <w:szCs w:val="24"/>
        </w:rPr>
        <w:t>(7), 1094–1097. https://doi.org/10.1016/j.jada.2010.04.006</w:t>
      </w:r>
    </w:p>
    <w:p w14:paraId="00000EE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lang w:val="es-ES_tradnl"/>
        </w:rPr>
        <w:t>Tenk</w:t>
      </w:r>
      <w:proofErr w:type="spellEnd"/>
      <w:r w:rsidRPr="000E4FE6">
        <w:rPr>
          <w:rFonts w:ascii="Times New Roman" w:hAnsi="Times New Roman" w:cs="Times New Roman"/>
          <w:sz w:val="24"/>
          <w:szCs w:val="24"/>
          <w:lang w:val="es-ES_tradnl"/>
        </w:rPr>
        <w:t xml:space="preserve">, J., </w:t>
      </w:r>
      <w:proofErr w:type="spellStart"/>
      <w:r w:rsidRPr="000E4FE6">
        <w:rPr>
          <w:rFonts w:ascii="Times New Roman" w:hAnsi="Times New Roman" w:cs="Times New Roman"/>
          <w:sz w:val="24"/>
          <w:szCs w:val="24"/>
          <w:lang w:val="es-ES_tradnl"/>
        </w:rPr>
        <w:t>Mátrai</w:t>
      </w:r>
      <w:proofErr w:type="spellEnd"/>
      <w:r w:rsidRPr="000E4FE6">
        <w:rPr>
          <w:rFonts w:ascii="Times New Roman" w:hAnsi="Times New Roman" w:cs="Times New Roman"/>
          <w:sz w:val="24"/>
          <w:szCs w:val="24"/>
          <w:lang w:val="es-ES_tradnl"/>
        </w:rPr>
        <w:t xml:space="preserve">, P., </w:t>
      </w:r>
      <w:proofErr w:type="spellStart"/>
      <w:r w:rsidRPr="000E4FE6">
        <w:rPr>
          <w:rFonts w:ascii="Times New Roman" w:hAnsi="Times New Roman" w:cs="Times New Roman"/>
          <w:sz w:val="24"/>
          <w:szCs w:val="24"/>
          <w:lang w:val="es-ES_tradnl"/>
        </w:rPr>
        <w:t>Hegyi</w:t>
      </w:r>
      <w:proofErr w:type="spellEnd"/>
      <w:r w:rsidRPr="000E4FE6">
        <w:rPr>
          <w:rFonts w:ascii="Times New Roman" w:hAnsi="Times New Roman" w:cs="Times New Roman"/>
          <w:sz w:val="24"/>
          <w:szCs w:val="24"/>
          <w:lang w:val="es-ES_tradnl"/>
        </w:rPr>
        <w:t xml:space="preserve">, P., </w:t>
      </w:r>
      <w:proofErr w:type="spellStart"/>
      <w:r w:rsidRPr="000E4FE6">
        <w:rPr>
          <w:rFonts w:ascii="Times New Roman" w:hAnsi="Times New Roman" w:cs="Times New Roman"/>
          <w:sz w:val="24"/>
          <w:szCs w:val="24"/>
          <w:lang w:val="es-ES_tradnl"/>
        </w:rPr>
        <w:t>Rostás</w:t>
      </w:r>
      <w:proofErr w:type="spellEnd"/>
      <w:r w:rsidRPr="000E4FE6">
        <w:rPr>
          <w:rFonts w:ascii="Times New Roman" w:hAnsi="Times New Roman" w:cs="Times New Roman"/>
          <w:sz w:val="24"/>
          <w:szCs w:val="24"/>
          <w:lang w:val="es-ES_tradnl"/>
        </w:rPr>
        <w:t xml:space="preserve">, I., </w:t>
      </w:r>
      <w:proofErr w:type="spellStart"/>
      <w:r w:rsidRPr="000E4FE6">
        <w:rPr>
          <w:rFonts w:ascii="Times New Roman" w:hAnsi="Times New Roman" w:cs="Times New Roman"/>
          <w:sz w:val="24"/>
          <w:szCs w:val="24"/>
          <w:lang w:val="es-ES_tradnl"/>
        </w:rPr>
        <w:t>Garami</w:t>
      </w:r>
      <w:proofErr w:type="spellEnd"/>
      <w:r w:rsidRPr="000E4FE6">
        <w:rPr>
          <w:rFonts w:ascii="Times New Roman" w:hAnsi="Times New Roman" w:cs="Times New Roman"/>
          <w:sz w:val="24"/>
          <w:szCs w:val="24"/>
          <w:lang w:val="es-ES_tradnl"/>
        </w:rPr>
        <w:t xml:space="preserve">, A., Szabó, I., … </w:t>
      </w:r>
      <w:proofErr w:type="spellStart"/>
      <w:r w:rsidRPr="000E4FE6">
        <w:rPr>
          <w:rFonts w:ascii="Times New Roman" w:hAnsi="Times New Roman" w:cs="Times New Roman"/>
          <w:sz w:val="24"/>
          <w:szCs w:val="24"/>
        </w:rPr>
        <w:t>Balaskó</w:t>
      </w:r>
      <w:proofErr w:type="spellEnd"/>
      <w:r w:rsidRPr="000E4FE6">
        <w:rPr>
          <w:rFonts w:ascii="Times New Roman" w:hAnsi="Times New Roman" w:cs="Times New Roman"/>
          <w:sz w:val="24"/>
          <w:szCs w:val="24"/>
        </w:rPr>
        <w:t>, M. (2018). Perceived stress correlates with visceral obesity and lipid parameters of the metabolic syndrome: A systematic review and meta-analysis. </w:t>
      </w:r>
      <w:proofErr w:type="spellStart"/>
      <w:r w:rsidRPr="000E4FE6">
        <w:rPr>
          <w:rFonts w:ascii="Times New Roman" w:hAnsi="Times New Roman" w:cs="Times New Roman"/>
          <w:i/>
          <w:sz w:val="24"/>
          <w:szCs w:val="24"/>
        </w:rPr>
        <w:t>Psychoneuroendocrinology</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95</w:t>
      </w:r>
      <w:r w:rsidRPr="000E4FE6">
        <w:rPr>
          <w:rFonts w:ascii="Times New Roman" w:hAnsi="Times New Roman" w:cs="Times New Roman"/>
          <w:sz w:val="24"/>
          <w:szCs w:val="24"/>
        </w:rPr>
        <w:t>, 63–73. https://doi.org/10.1016/j.psyneuen.2018.05.014</w:t>
      </w:r>
    </w:p>
    <w:p w14:paraId="00000EE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Tennant, J. P., Waldner, F., Jacques, D. C., </w:t>
      </w:r>
      <w:proofErr w:type="spellStart"/>
      <w:r w:rsidRPr="000E4FE6">
        <w:rPr>
          <w:rFonts w:ascii="Times New Roman" w:hAnsi="Times New Roman" w:cs="Times New Roman"/>
          <w:sz w:val="24"/>
          <w:szCs w:val="24"/>
        </w:rPr>
        <w:t>Masuzzo</w:t>
      </w:r>
      <w:proofErr w:type="spellEnd"/>
      <w:r w:rsidRPr="000E4FE6">
        <w:rPr>
          <w:rFonts w:ascii="Times New Roman" w:hAnsi="Times New Roman" w:cs="Times New Roman"/>
          <w:sz w:val="24"/>
          <w:szCs w:val="24"/>
        </w:rPr>
        <w:t xml:space="preserve">, P., </w:t>
      </w:r>
      <w:proofErr w:type="spellStart"/>
      <w:r w:rsidRPr="000E4FE6">
        <w:rPr>
          <w:rFonts w:ascii="Times New Roman" w:hAnsi="Times New Roman" w:cs="Times New Roman"/>
          <w:sz w:val="24"/>
          <w:szCs w:val="24"/>
        </w:rPr>
        <w:t>Collister</w:t>
      </w:r>
      <w:proofErr w:type="spellEnd"/>
      <w:r w:rsidRPr="000E4FE6">
        <w:rPr>
          <w:rFonts w:ascii="Times New Roman" w:hAnsi="Times New Roman" w:cs="Times New Roman"/>
          <w:sz w:val="24"/>
          <w:szCs w:val="24"/>
        </w:rPr>
        <w:t xml:space="preserve">, L. B., and </w:t>
      </w:r>
      <w:proofErr w:type="spellStart"/>
      <w:r w:rsidRPr="000E4FE6">
        <w:rPr>
          <w:rFonts w:ascii="Times New Roman" w:hAnsi="Times New Roman" w:cs="Times New Roman"/>
          <w:sz w:val="24"/>
          <w:szCs w:val="24"/>
        </w:rPr>
        <w:t>Hartgerink</w:t>
      </w:r>
      <w:proofErr w:type="spellEnd"/>
      <w:r w:rsidRPr="000E4FE6">
        <w:rPr>
          <w:rFonts w:ascii="Times New Roman" w:hAnsi="Times New Roman" w:cs="Times New Roman"/>
          <w:sz w:val="24"/>
          <w:szCs w:val="24"/>
        </w:rPr>
        <w:t>, C. H. J. (2016). The academic, economic and societal impacts of Open Access: an evidence-based review. [version 3; peer review: 4 approved, 1 approved with reservations]. </w:t>
      </w:r>
      <w:r w:rsidRPr="000E4FE6">
        <w:rPr>
          <w:rFonts w:ascii="Times New Roman" w:hAnsi="Times New Roman" w:cs="Times New Roman"/>
          <w:i/>
          <w:sz w:val="24"/>
          <w:szCs w:val="24"/>
        </w:rPr>
        <w:t>F1000Research</w:t>
      </w:r>
      <w:r w:rsidRPr="000E4FE6">
        <w:rPr>
          <w:rFonts w:ascii="Times New Roman" w:hAnsi="Times New Roman" w:cs="Times New Roman"/>
          <w:sz w:val="24"/>
          <w:szCs w:val="24"/>
        </w:rPr>
        <w:t>, </w:t>
      </w:r>
      <w:r w:rsidRPr="000E4FE6">
        <w:rPr>
          <w:rFonts w:ascii="Times New Roman" w:hAnsi="Times New Roman" w:cs="Times New Roman"/>
          <w:i/>
          <w:sz w:val="24"/>
          <w:szCs w:val="24"/>
        </w:rPr>
        <w:t>5</w:t>
      </w:r>
      <w:r w:rsidRPr="000E4FE6">
        <w:rPr>
          <w:rFonts w:ascii="Times New Roman" w:hAnsi="Times New Roman" w:cs="Times New Roman"/>
          <w:sz w:val="24"/>
          <w:szCs w:val="24"/>
        </w:rPr>
        <w:t>, 632. https://doi.org/10.12688/f1000research.8460.3</w:t>
      </w:r>
    </w:p>
    <w:p w14:paraId="00000EE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Terrier, P., </w:t>
      </w:r>
      <w:proofErr w:type="spellStart"/>
      <w:r w:rsidRPr="000E4FE6">
        <w:rPr>
          <w:rFonts w:ascii="Times New Roman" w:hAnsi="Times New Roman" w:cs="Times New Roman"/>
          <w:sz w:val="24"/>
          <w:szCs w:val="24"/>
        </w:rPr>
        <w:t>Aminian</w:t>
      </w:r>
      <w:proofErr w:type="spellEnd"/>
      <w:r w:rsidRPr="000E4FE6">
        <w:rPr>
          <w:rFonts w:ascii="Times New Roman" w:hAnsi="Times New Roman" w:cs="Times New Roman"/>
          <w:sz w:val="24"/>
          <w:szCs w:val="24"/>
        </w:rPr>
        <w:t xml:space="preserve">, K., and Schutz, Y. (2001). Can </w:t>
      </w:r>
      <w:proofErr w:type="spellStart"/>
      <w:r w:rsidRPr="000E4FE6">
        <w:rPr>
          <w:rFonts w:ascii="Times New Roman" w:hAnsi="Times New Roman" w:cs="Times New Roman"/>
          <w:sz w:val="24"/>
          <w:szCs w:val="24"/>
        </w:rPr>
        <w:t>accelerometry</w:t>
      </w:r>
      <w:proofErr w:type="spellEnd"/>
      <w:r w:rsidRPr="000E4FE6">
        <w:rPr>
          <w:rFonts w:ascii="Times New Roman" w:hAnsi="Times New Roman" w:cs="Times New Roman"/>
          <w:sz w:val="24"/>
          <w:szCs w:val="24"/>
        </w:rPr>
        <w:t xml:space="preserve"> accurately predict the energy cost of uphill/downhill walking? </w:t>
      </w:r>
      <w:r w:rsidRPr="000E4FE6">
        <w:rPr>
          <w:rFonts w:ascii="Times New Roman" w:hAnsi="Times New Roman" w:cs="Times New Roman"/>
          <w:i/>
          <w:sz w:val="24"/>
          <w:szCs w:val="24"/>
        </w:rPr>
        <w:t>Ergonomics</w:t>
      </w:r>
      <w:r w:rsidRPr="000E4FE6">
        <w:rPr>
          <w:rFonts w:ascii="Times New Roman" w:hAnsi="Times New Roman" w:cs="Times New Roman"/>
          <w:sz w:val="24"/>
          <w:szCs w:val="24"/>
        </w:rPr>
        <w:t>, </w:t>
      </w:r>
      <w:r w:rsidRPr="000E4FE6">
        <w:rPr>
          <w:rFonts w:ascii="Times New Roman" w:hAnsi="Times New Roman" w:cs="Times New Roman"/>
          <w:i/>
          <w:sz w:val="24"/>
          <w:szCs w:val="24"/>
        </w:rPr>
        <w:t>44</w:t>
      </w:r>
      <w:r w:rsidRPr="000E4FE6">
        <w:rPr>
          <w:rFonts w:ascii="Times New Roman" w:hAnsi="Times New Roman" w:cs="Times New Roman"/>
          <w:sz w:val="24"/>
          <w:szCs w:val="24"/>
        </w:rPr>
        <w:t>(1), 48–62. https://doi.org/10.1080/00140130118289</w:t>
      </w:r>
    </w:p>
    <w:p w14:paraId="00000EE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Thabane, L., Ma, J., Chu, R., Cheng, J., </w:t>
      </w:r>
      <w:proofErr w:type="spellStart"/>
      <w:r w:rsidRPr="000E4FE6">
        <w:rPr>
          <w:rFonts w:ascii="Times New Roman" w:hAnsi="Times New Roman" w:cs="Times New Roman"/>
          <w:sz w:val="24"/>
          <w:szCs w:val="24"/>
        </w:rPr>
        <w:t>Ismaila</w:t>
      </w:r>
      <w:proofErr w:type="spellEnd"/>
      <w:r w:rsidRPr="000E4FE6">
        <w:rPr>
          <w:rFonts w:ascii="Times New Roman" w:hAnsi="Times New Roman" w:cs="Times New Roman"/>
          <w:sz w:val="24"/>
          <w:szCs w:val="24"/>
        </w:rPr>
        <w:t xml:space="preserve">, A., Rios, L. P., … Goldsmith, C. H. (2010). A tutorial on pilot studies: </w:t>
      </w:r>
      <w:proofErr w:type="gramStart"/>
      <w:r w:rsidRPr="000E4FE6">
        <w:rPr>
          <w:rFonts w:ascii="Times New Roman" w:hAnsi="Times New Roman" w:cs="Times New Roman"/>
          <w:sz w:val="24"/>
          <w:szCs w:val="24"/>
        </w:rPr>
        <w:t>the what</w:t>
      </w:r>
      <w:proofErr w:type="gramEnd"/>
      <w:r w:rsidRPr="000E4FE6">
        <w:rPr>
          <w:rFonts w:ascii="Times New Roman" w:hAnsi="Times New Roman" w:cs="Times New Roman"/>
          <w:sz w:val="24"/>
          <w:szCs w:val="24"/>
        </w:rPr>
        <w:t>, why and how. </w:t>
      </w:r>
      <w:r w:rsidRPr="000E4FE6">
        <w:rPr>
          <w:rFonts w:ascii="Times New Roman" w:hAnsi="Times New Roman" w:cs="Times New Roman"/>
          <w:i/>
          <w:sz w:val="24"/>
          <w:szCs w:val="24"/>
        </w:rPr>
        <w:t>BMC Medical Research Methodology</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 1. https://doi.org/10.1186/1471-2288-10-1</w:t>
      </w:r>
    </w:p>
    <w:p w14:paraId="00000EE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Thomas, D. R. (2006). A general inductive approach for </w:t>
      </w:r>
      <w:proofErr w:type="spellStart"/>
      <w:r w:rsidRPr="000E4FE6">
        <w:rPr>
          <w:rFonts w:ascii="Times New Roman" w:hAnsi="Times New Roman" w:cs="Times New Roman"/>
          <w:sz w:val="24"/>
          <w:szCs w:val="24"/>
        </w:rPr>
        <w:t>analyzing</w:t>
      </w:r>
      <w:proofErr w:type="spellEnd"/>
      <w:r w:rsidRPr="000E4FE6">
        <w:rPr>
          <w:rFonts w:ascii="Times New Roman" w:hAnsi="Times New Roman" w:cs="Times New Roman"/>
          <w:sz w:val="24"/>
          <w:szCs w:val="24"/>
        </w:rPr>
        <w:t xml:space="preserve"> qualitative evaluation data. </w:t>
      </w:r>
      <w:r w:rsidRPr="000E4FE6">
        <w:rPr>
          <w:rFonts w:ascii="Times New Roman" w:hAnsi="Times New Roman" w:cs="Times New Roman"/>
          <w:i/>
          <w:sz w:val="24"/>
          <w:szCs w:val="24"/>
        </w:rPr>
        <w:t>American Journal of Evaluation</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(2), 237–246. https://doi.org/10.1177/1098214005283748</w:t>
      </w:r>
    </w:p>
    <w:p w14:paraId="00000EE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Thomas, E. A., Zaman, A., Cornier, M.-A., </w:t>
      </w:r>
      <w:proofErr w:type="spellStart"/>
      <w:r w:rsidRPr="000E4FE6">
        <w:rPr>
          <w:rFonts w:ascii="Times New Roman" w:hAnsi="Times New Roman" w:cs="Times New Roman"/>
          <w:sz w:val="24"/>
          <w:szCs w:val="24"/>
        </w:rPr>
        <w:t>Catenacci</w:t>
      </w:r>
      <w:proofErr w:type="spellEnd"/>
      <w:r w:rsidRPr="000E4FE6">
        <w:rPr>
          <w:rFonts w:ascii="Times New Roman" w:hAnsi="Times New Roman" w:cs="Times New Roman"/>
          <w:sz w:val="24"/>
          <w:szCs w:val="24"/>
        </w:rPr>
        <w:t xml:space="preserve">, V. A., Tussey, E. J., Grau, L., … </w:t>
      </w:r>
      <w:proofErr w:type="spellStart"/>
      <w:r w:rsidRPr="000E4FE6">
        <w:rPr>
          <w:rFonts w:ascii="Times New Roman" w:hAnsi="Times New Roman" w:cs="Times New Roman"/>
          <w:sz w:val="24"/>
          <w:szCs w:val="24"/>
        </w:rPr>
        <w:t>Rynders</w:t>
      </w:r>
      <w:proofErr w:type="spellEnd"/>
      <w:r w:rsidRPr="000E4FE6">
        <w:rPr>
          <w:rFonts w:ascii="Times New Roman" w:hAnsi="Times New Roman" w:cs="Times New Roman"/>
          <w:sz w:val="24"/>
          <w:szCs w:val="24"/>
        </w:rPr>
        <w:t>, C. A. (2020). Later meal and sleep timing predicts higher percent body fat.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13</w:t>
      </w:r>
      <w:r w:rsidRPr="000E4FE6">
        <w:rPr>
          <w:rFonts w:ascii="Times New Roman" w:hAnsi="Times New Roman" w:cs="Times New Roman"/>
          <w:sz w:val="24"/>
          <w:szCs w:val="24"/>
        </w:rPr>
        <w:t>(1). https://doi.org/10.3390/nu13010073</w:t>
      </w:r>
    </w:p>
    <w:p w14:paraId="00000EE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Timko, C. A., and Perone, J. (2005). Rigid and flexible control of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in a college population.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6</w:t>
      </w:r>
      <w:r w:rsidRPr="000E4FE6">
        <w:rPr>
          <w:rFonts w:ascii="Times New Roman" w:hAnsi="Times New Roman" w:cs="Times New Roman"/>
          <w:sz w:val="24"/>
          <w:szCs w:val="24"/>
        </w:rPr>
        <w:t>(2), 119–125. https://doi.org/10.1016/j.eatbeh.2004.09.002</w:t>
      </w:r>
    </w:p>
    <w:p w14:paraId="00000EE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Timlin</w:t>
      </w:r>
      <w:proofErr w:type="spellEnd"/>
      <w:r w:rsidRPr="000E4FE6">
        <w:rPr>
          <w:rFonts w:ascii="Times New Roman" w:hAnsi="Times New Roman" w:cs="Times New Roman"/>
          <w:sz w:val="24"/>
          <w:szCs w:val="24"/>
        </w:rPr>
        <w:t xml:space="preserve">, M. T., and Pereira, M. A. (2007). Breakfast frequency and quality in the </w:t>
      </w:r>
      <w:proofErr w:type="spellStart"/>
      <w:r w:rsidRPr="000E4FE6">
        <w:rPr>
          <w:rFonts w:ascii="Times New Roman" w:hAnsi="Times New Roman" w:cs="Times New Roman"/>
          <w:sz w:val="24"/>
          <w:szCs w:val="24"/>
        </w:rPr>
        <w:t>etiology</w:t>
      </w:r>
      <w:proofErr w:type="spellEnd"/>
      <w:r w:rsidRPr="000E4FE6">
        <w:rPr>
          <w:rFonts w:ascii="Times New Roman" w:hAnsi="Times New Roman" w:cs="Times New Roman"/>
          <w:sz w:val="24"/>
          <w:szCs w:val="24"/>
        </w:rPr>
        <w:t xml:space="preserve"> of adult obesity and chronic diseases. </w:t>
      </w:r>
      <w:r w:rsidRPr="000E4FE6">
        <w:rPr>
          <w:rFonts w:ascii="Times New Roman" w:hAnsi="Times New Roman" w:cs="Times New Roman"/>
          <w:i/>
          <w:sz w:val="24"/>
          <w:szCs w:val="24"/>
        </w:rPr>
        <w:t>Nutrition Reviews</w:t>
      </w:r>
      <w:r w:rsidRPr="000E4FE6">
        <w:rPr>
          <w:rFonts w:ascii="Times New Roman" w:hAnsi="Times New Roman" w:cs="Times New Roman"/>
          <w:sz w:val="24"/>
          <w:szCs w:val="24"/>
        </w:rPr>
        <w:t>, </w:t>
      </w:r>
      <w:r w:rsidRPr="000E4FE6">
        <w:rPr>
          <w:rFonts w:ascii="Times New Roman" w:hAnsi="Times New Roman" w:cs="Times New Roman"/>
          <w:i/>
          <w:sz w:val="24"/>
          <w:szCs w:val="24"/>
        </w:rPr>
        <w:t>65</w:t>
      </w:r>
      <w:r w:rsidRPr="000E4FE6">
        <w:rPr>
          <w:rFonts w:ascii="Times New Roman" w:hAnsi="Times New Roman" w:cs="Times New Roman"/>
          <w:sz w:val="24"/>
          <w:szCs w:val="24"/>
        </w:rPr>
        <w:t>(6 Pt 1), 268–281. https://doi.org/10.1111/j.1753-4887.2007.tb00304.x</w:t>
      </w:r>
    </w:p>
    <w:p w14:paraId="00000EF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Timmerman, G. M., and Gregg, E. K. (2003). Dieting, perceived deprivation, and preoccupation with food. </w:t>
      </w:r>
      <w:r w:rsidRPr="000E4FE6">
        <w:rPr>
          <w:rFonts w:ascii="Times New Roman" w:hAnsi="Times New Roman" w:cs="Times New Roman"/>
          <w:i/>
          <w:sz w:val="24"/>
          <w:szCs w:val="24"/>
        </w:rPr>
        <w:t>Western Journal of Nursing Research</w:t>
      </w:r>
      <w:r w:rsidRPr="000E4FE6">
        <w:rPr>
          <w:rFonts w:ascii="Times New Roman" w:hAnsi="Times New Roman" w:cs="Times New Roman"/>
          <w:sz w:val="24"/>
          <w:szCs w:val="24"/>
        </w:rPr>
        <w:t>, </w:t>
      </w:r>
      <w:r w:rsidRPr="000E4FE6">
        <w:rPr>
          <w:rFonts w:ascii="Times New Roman" w:hAnsi="Times New Roman" w:cs="Times New Roman"/>
          <w:i/>
          <w:sz w:val="24"/>
          <w:szCs w:val="24"/>
        </w:rPr>
        <w:t>25</w:t>
      </w:r>
      <w:r w:rsidRPr="000E4FE6">
        <w:rPr>
          <w:rFonts w:ascii="Times New Roman" w:hAnsi="Times New Roman" w:cs="Times New Roman"/>
          <w:sz w:val="24"/>
          <w:szCs w:val="24"/>
        </w:rPr>
        <w:t>(4), 405–418. https://doi.org/10.1177/0193945903025004006</w:t>
      </w:r>
    </w:p>
    <w:p w14:paraId="00000EF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Tinsley, G. M., and La Bounty, P. M. (2015). Effects of intermittent fasting on body composition and clinical health markers in humans. </w:t>
      </w:r>
      <w:r w:rsidRPr="000E4FE6">
        <w:rPr>
          <w:rFonts w:ascii="Times New Roman" w:hAnsi="Times New Roman" w:cs="Times New Roman"/>
          <w:i/>
          <w:sz w:val="24"/>
          <w:szCs w:val="24"/>
        </w:rPr>
        <w:t>Nutrition Reviews</w:t>
      </w:r>
      <w:r w:rsidRPr="000E4FE6">
        <w:rPr>
          <w:rFonts w:ascii="Times New Roman" w:hAnsi="Times New Roman" w:cs="Times New Roman"/>
          <w:sz w:val="24"/>
          <w:szCs w:val="24"/>
        </w:rPr>
        <w:t>, </w:t>
      </w:r>
      <w:r w:rsidRPr="000E4FE6">
        <w:rPr>
          <w:rFonts w:ascii="Times New Roman" w:hAnsi="Times New Roman" w:cs="Times New Roman"/>
          <w:i/>
          <w:sz w:val="24"/>
          <w:szCs w:val="24"/>
        </w:rPr>
        <w:t>73</w:t>
      </w:r>
      <w:r w:rsidRPr="000E4FE6">
        <w:rPr>
          <w:rFonts w:ascii="Times New Roman" w:hAnsi="Times New Roman" w:cs="Times New Roman"/>
          <w:sz w:val="24"/>
          <w:szCs w:val="24"/>
        </w:rPr>
        <w:t>(10), 661–674. https://doi.org/10.1093/nutrit/nuv041</w:t>
      </w:r>
    </w:p>
    <w:p w14:paraId="00000EF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Titan, S. M., Bingham, S., Welch, A., </w:t>
      </w:r>
      <w:proofErr w:type="spellStart"/>
      <w:r w:rsidRPr="000E4FE6">
        <w:rPr>
          <w:rFonts w:ascii="Times New Roman" w:hAnsi="Times New Roman" w:cs="Times New Roman"/>
          <w:sz w:val="24"/>
          <w:szCs w:val="24"/>
        </w:rPr>
        <w:t>Luben</w:t>
      </w:r>
      <w:proofErr w:type="spellEnd"/>
      <w:r w:rsidRPr="000E4FE6">
        <w:rPr>
          <w:rFonts w:ascii="Times New Roman" w:hAnsi="Times New Roman" w:cs="Times New Roman"/>
          <w:sz w:val="24"/>
          <w:szCs w:val="24"/>
        </w:rPr>
        <w:t xml:space="preserve">, R., Oakes, S., Day, N., and </w:t>
      </w:r>
      <w:proofErr w:type="spellStart"/>
      <w:r w:rsidRPr="000E4FE6">
        <w:rPr>
          <w:rFonts w:ascii="Times New Roman" w:hAnsi="Times New Roman" w:cs="Times New Roman"/>
          <w:sz w:val="24"/>
          <w:szCs w:val="24"/>
        </w:rPr>
        <w:t>Khaw</w:t>
      </w:r>
      <w:proofErr w:type="spellEnd"/>
      <w:r w:rsidRPr="000E4FE6">
        <w:rPr>
          <w:rFonts w:ascii="Times New Roman" w:hAnsi="Times New Roman" w:cs="Times New Roman"/>
          <w:sz w:val="24"/>
          <w:szCs w:val="24"/>
        </w:rPr>
        <w:t>, K. T. (2001). Frequency of eating and concentrations of serum cholesterol in the Norfolk population of the European prospective investigation into cancer (EPIC-Norfolk): cross sectional study. </w:t>
      </w:r>
      <w:r w:rsidRPr="000E4FE6">
        <w:rPr>
          <w:rFonts w:ascii="Times New Roman" w:hAnsi="Times New Roman" w:cs="Times New Roman"/>
          <w:i/>
          <w:sz w:val="24"/>
          <w:szCs w:val="24"/>
        </w:rPr>
        <w:t>BMJ (Clinical Research Ed.)</w:t>
      </w:r>
      <w:r w:rsidRPr="000E4FE6">
        <w:rPr>
          <w:rFonts w:ascii="Times New Roman" w:hAnsi="Times New Roman" w:cs="Times New Roman"/>
          <w:sz w:val="24"/>
          <w:szCs w:val="24"/>
        </w:rPr>
        <w:t>, </w:t>
      </w:r>
      <w:r w:rsidRPr="000E4FE6">
        <w:rPr>
          <w:rFonts w:ascii="Times New Roman" w:hAnsi="Times New Roman" w:cs="Times New Roman"/>
          <w:i/>
          <w:sz w:val="24"/>
          <w:szCs w:val="24"/>
        </w:rPr>
        <w:t>323</w:t>
      </w:r>
      <w:r w:rsidRPr="000E4FE6">
        <w:rPr>
          <w:rFonts w:ascii="Times New Roman" w:hAnsi="Times New Roman" w:cs="Times New Roman"/>
          <w:sz w:val="24"/>
          <w:szCs w:val="24"/>
        </w:rPr>
        <w:t>(7324), 1286–1288.</w:t>
      </w:r>
    </w:p>
    <w:p w14:paraId="00000EF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Toktaş</w:t>
      </w:r>
      <w:proofErr w:type="spellEnd"/>
      <w:r w:rsidRPr="000E4FE6">
        <w:rPr>
          <w:rFonts w:ascii="Times New Roman" w:hAnsi="Times New Roman" w:cs="Times New Roman"/>
          <w:sz w:val="24"/>
          <w:szCs w:val="24"/>
        </w:rPr>
        <w:t xml:space="preserve">, N., </w:t>
      </w:r>
      <w:proofErr w:type="spellStart"/>
      <w:r w:rsidRPr="000E4FE6">
        <w:rPr>
          <w:rFonts w:ascii="Times New Roman" w:hAnsi="Times New Roman" w:cs="Times New Roman"/>
          <w:sz w:val="24"/>
          <w:szCs w:val="24"/>
        </w:rPr>
        <w:t>Erman</w:t>
      </w:r>
      <w:proofErr w:type="spellEnd"/>
      <w:r w:rsidRPr="000E4FE6">
        <w:rPr>
          <w:rFonts w:ascii="Times New Roman" w:hAnsi="Times New Roman" w:cs="Times New Roman"/>
          <w:sz w:val="24"/>
          <w:szCs w:val="24"/>
        </w:rPr>
        <w:t xml:space="preserve">, K. A., and </w:t>
      </w:r>
      <w:proofErr w:type="spellStart"/>
      <w:r w:rsidRPr="000E4FE6">
        <w:rPr>
          <w:rFonts w:ascii="Times New Roman" w:hAnsi="Times New Roman" w:cs="Times New Roman"/>
          <w:sz w:val="24"/>
          <w:szCs w:val="24"/>
        </w:rPr>
        <w:t>Mert</w:t>
      </w:r>
      <w:proofErr w:type="spellEnd"/>
      <w:r w:rsidRPr="000E4FE6">
        <w:rPr>
          <w:rFonts w:ascii="Times New Roman" w:hAnsi="Times New Roman" w:cs="Times New Roman"/>
          <w:sz w:val="24"/>
          <w:szCs w:val="24"/>
        </w:rPr>
        <w:t xml:space="preserve">, Z. (2018). Nutritional habits according to human chronotype and nutritional status of </w:t>
      </w:r>
      <w:proofErr w:type="spellStart"/>
      <w:r w:rsidRPr="000E4FE6">
        <w:rPr>
          <w:rFonts w:ascii="Times New Roman" w:hAnsi="Times New Roman" w:cs="Times New Roman"/>
          <w:sz w:val="24"/>
          <w:szCs w:val="24"/>
        </w:rPr>
        <w:t>morningness</w:t>
      </w:r>
      <w:proofErr w:type="spellEnd"/>
      <w:r w:rsidRPr="000E4FE6">
        <w:rPr>
          <w:rFonts w:ascii="Times New Roman" w:hAnsi="Times New Roman" w:cs="Times New Roman"/>
          <w:sz w:val="24"/>
          <w:szCs w:val="24"/>
        </w:rPr>
        <w:t xml:space="preserve"> and </w:t>
      </w:r>
      <w:proofErr w:type="spellStart"/>
      <w:r w:rsidRPr="000E4FE6">
        <w:rPr>
          <w:rFonts w:ascii="Times New Roman" w:hAnsi="Times New Roman" w:cs="Times New Roman"/>
          <w:sz w:val="24"/>
          <w:szCs w:val="24"/>
        </w:rPr>
        <w:t>eveningness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Journal of Education and Training Studies</w:t>
      </w:r>
      <w:r w:rsidRPr="000E4FE6">
        <w:rPr>
          <w:rFonts w:ascii="Times New Roman" w:hAnsi="Times New Roman" w:cs="Times New Roman"/>
          <w:sz w:val="24"/>
          <w:szCs w:val="24"/>
        </w:rPr>
        <w:t>, </w:t>
      </w:r>
      <w:r w:rsidRPr="000E4FE6">
        <w:rPr>
          <w:rFonts w:ascii="Times New Roman" w:hAnsi="Times New Roman" w:cs="Times New Roman"/>
          <w:i/>
          <w:sz w:val="24"/>
          <w:szCs w:val="24"/>
        </w:rPr>
        <w:t>6</w:t>
      </w:r>
      <w:r w:rsidRPr="000E4FE6">
        <w:rPr>
          <w:rFonts w:ascii="Times New Roman" w:hAnsi="Times New Roman" w:cs="Times New Roman"/>
          <w:sz w:val="24"/>
          <w:szCs w:val="24"/>
        </w:rPr>
        <w:t>(3a), 61. https://doi.org/10.11114/jets.v6i3a.3159</w:t>
      </w:r>
    </w:p>
    <w:p w14:paraId="00000EF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Toschke</w:t>
      </w:r>
      <w:proofErr w:type="spellEnd"/>
      <w:r w:rsidRPr="000E4FE6">
        <w:rPr>
          <w:rFonts w:ascii="Times New Roman" w:hAnsi="Times New Roman" w:cs="Times New Roman"/>
          <w:sz w:val="24"/>
          <w:szCs w:val="24"/>
        </w:rPr>
        <w:t xml:space="preserve">, A. M., </w:t>
      </w:r>
      <w:proofErr w:type="spellStart"/>
      <w:r w:rsidRPr="000E4FE6">
        <w:rPr>
          <w:rFonts w:ascii="Times New Roman" w:hAnsi="Times New Roman" w:cs="Times New Roman"/>
          <w:sz w:val="24"/>
          <w:szCs w:val="24"/>
        </w:rPr>
        <w:t>Küchenhoff</w:t>
      </w:r>
      <w:proofErr w:type="spellEnd"/>
      <w:r w:rsidRPr="000E4FE6">
        <w:rPr>
          <w:rFonts w:ascii="Times New Roman" w:hAnsi="Times New Roman" w:cs="Times New Roman"/>
          <w:sz w:val="24"/>
          <w:szCs w:val="24"/>
        </w:rPr>
        <w:t xml:space="preserve">, H., </w:t>
      </w:r>
      <w:proofErr w:type="spellStart"/>
      <w:r w:rsidRPr="000E4FE6">
        <w:rPr>
          <w:rFonts w:ascii="Times New Roman" w:hAnsi="Times New Roman" w:cs="Times New Roman"/>
          <w:sz w:val="24"/>
          <w:szCs w:val="24"/>
        </w:rPr>
        <w:t>Koletzko</w:t>
      </w:r>
      <w:proofErr w:type="spellEnd"/>
      <w:r w:rsidRPr="000E4FE6">
        <w:rPr>
          <w:rFonts w:ascii="Times New Roman" w:hAnsi="Times New Roman" w:cs="Times New Roman"/>
          <w:sz w:val="24"/>
          <w:szCs w:val="24"/>
        </w:rPr>
        <w:t xml:space="preserve">, B., and von </w:t>
      </w:r>
      <w:proofErr w:type="spellStart"/>
      <w:r w:rsidRPr="000E4FE6">
        <w:rPr>
          <w:rFonts w:ascii="Times New Roman" w:hAnsi="Times New Roman" w:cs="Times New Roman"/>
          <w:sz w:val="24"/>
          <w:szCs w:val="24"/>
        </w:rPr>
        <w:t>Kries</w:t>
      </w:r>
      <w:proofErr w:type="spellEnd"/>
      <w:r w:rsidRPr="000E4FE6">
        <w:rPr>
          <w:rFonts w:ascii="Times New Roman" w:hAnsi="Times New Roman" w:cs="Times New Roman"/>
          <w:sz w:val="24"/>
          <w:szCs w:val="24"/>
        </w:rPr>
        <w:t>, R. (2005). Meal frequency and childhood obesity. </w:t>
      </w:r>
      <w:r w:rsidRPr="000E4FE6">
        <w:rPr>
          <w:rFonts w:ascii="Times New Roman" w:hAnsi="Times New Roman" w:cs="Times New Roman"/>
          <w:i/>
          <w:sz w:val="24"/>
          <w:szCs w:val="24"/>
        </w:rPr>
        <w:t>Obesity Research</w:t>
      </w:r>
      <w:r w:rsidRPr="000E4FE6">
        <w:rPr>
          <w:rFonts w:ascii="Times New Roman" w:hAnsi="Times New Roman" w:cs="Times New Roman"/>
          <w:sz w:val="24"/>
          <w:szCs w:val="24"/>
        </w:rPr>
        <w:t>, </w:t>
      </w:r>
      <w:r w:rsidRPr="000E4FE6">
        <w:rPr>
          <w:rFonts w:ascii="Times New Roman" w:hAnsi="Times New Roman" w:cs="Times New Roman"/>
          <w:i/>
          <w:sz w:val="24"/>
          <w:szCs w:val="24"/>
        </w:rPr>
        <w:t>13</w:t>
      </w:r>
      <w:r w:rsidRPr="000E4FE6">
        <w:rPr>
          <w:rFonts w:ascii="Times New Roman" w:hAnsi="Times New Roman" w:cs="Times New Roman"/>
          <w:sz w:val="24"/>
          <w:szCs w:val="24"/>
        </w:rPr>
        <w:t>(11), 1932–1938. https://doi.org/10.1038/oby.2005.238</w:t>
      </w:r>
    </w:p>
    <w:p w14:paraId="00000EF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Toschke</w:t>
      </w:r>
      <w:proofErr w:type="spellEnd"/>
      <w:r w:rsidRPr="000E4FE6">
        <w:rPr>
          <w:rFonts w:ascii="Times New Roman" w:hAnsi="Times New Roman" w:cs="Times New Roman"/>
          <w:sz w:val="24"/>
          <w:szCs w:val="24"/>
        </w:rPr>
        <w:t xml:space="preserve">, A. M., </w:t>
      </w:r>
      <w:proofErr w:type="spellStart"/>
      <w:r w:rsidRPr="000E4FE6">
        <w:rPr>
          <w:rFonts w:ascii="Times New Roman" w:hAnsi="Times New Roman" w:cs="Times New Roman"/>
          <w:sz w:val="24"/>
          <w:szCs w:val="24"/>
        </w:rPr>
        <w:t>Thorsteinsdottir</w:t>
      </w:r>
      <w:proofErr w:type="spellEnd"/>
      <w:r w:rsidRPr="000E4FE6">
        <w:rPr>
          <w:rFonts w:ascii="Times New Roman" w:hAnsi="Times New Roman" w:cs="Times New Roman"/>
          <w:sz w:val="24"/>
          <w:szCs w:val="24"/>
        </w:rPr>
        <w:t xml:space="preserve">, K. H., von </w:t>
      </w:r>
      <w:proofErr w:type="spellStart"/>
      <w:r w:rsidRPr="000E4FE6">
        <w:rPr>
          <w:rFonts w:ascii="Times New Roman" w:hAnsi="Times New Roman" w:cs="Times New Roman"/>
          <w:sz w:val="24"/>
          <w:szCs w:val="24"/>
        </w:rPr>
        <w:t>Kries</w:t>
      </w:r>
      <w:proofErr w:type="spellEnd"/>
      <w:r w:rsidRPr="000E4FE6">
        <w:rPr>
          <w:rFonts w:ascii="Times New Roman" w:hAnsi="Times New Roman" w:cs="Times New Roman"/>
          <w:sz w:val="24"/>
          <w:szCs w:val="24"/>
        </w:rPr>
        <w:t>, R., and GME Study Group. (2009). Meal frequency, breakfast consumption and childhood obesity. </w:t>
      </w:r>
      <w:r w:rsidRPr="000E4FE6">
        <w:rPr>
          <w:rFonts w:ascii="Times New Roman" w:hAnsi="Times New Roman" w:cs="Times New Roman"/>
          <w:i/>
          <w:sz w:val="24"/>
          <w:szCs w:val="24"/>
        </w:rPr>
        <w:t xml:space="preserve">International Journal of </w:t>
      </w:r>
      <w:proofErr w:type="spellStart"/>
      <w:r w:rsidRPr="000E4FE6">
        <w:rPr>
          <w:rFonts w:ascii="Times New Roman" w:hAnsi="Times New Roman" w:cs="Times New Roman"/>
          <w:i/>
          <w:sz w:val="24"/>
          <w:szCs w:val="24"/>
        </w:rPr>
        <w:lastRenderedPageBreak/>
        <w:t>Pediatric</w:t>
      </w:r>
      <w:proofErr w:type="spellEnd"/>
      <w:r w:rsidRPr="000E4FE6">
        <w:rPr>
          <w:rFonts w:ascii="Times New Roman" w:hAnsi="Times New Roman" w:cs="Times New Roman"/>
          <w:i/>
          <w:sz w:val="24"/>
          <w:szCs w:val="24"/>
        </w:rPr>
        <w:t xml:space="preserve"> </w:t>
      </w:r>
      <w:proofErr w:type="gramStart"/>
      <w:r w:rsidRPr="000E4FE6">
        <w:rPr>
          <w:rFonts w:ascii="Times New Roman" w:hAnsi="Times New Roman" w:cs="Times New Roman"/>
          <w:i/>
          <w:sz w:val="24"/>
          <w:szCs w:val="24"/>
        </w:rPr>
        <w:t>Obesity :</w:t>
      </w:r>
      <w:proofErr w:type="gramEnd"/>
      <w:r w:rsidRPr="000E4FE6">
        <w:rPr>
          <w:rFonts w:ascii="Times New Roman" w:hAnsi="Times New Roman" w:cs="Times New Roman"/>
          <w:i/>
          <w:sz w:val="24"/>
          <w:szCs w:val="24"/>
        </w:rPr>
        <w:t xml:space="preserve"> IJPO : An Official Journal of the International Association for the Study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(4), 242–248. https://doi.org/10.3109/17477160902763341</w:t>
      </w:r>
    </w:p>
    <w:p w14:paraId="00000EF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Trabulsi</w:t>
      </w:r>
      <w:proofErr w:type="spellEnd"/>
      <w:r w:rsidRPr="000E4FE6">
        <w:rPr>
          <w:rFonts w:ascii="Times New Roman" w:hAnsi="Times New Roman" w:cs="Times New Roman"/>
          <w:sz w:val="24"/>
          <w:szCs w:val="24"/>
        </w:rPr>
        <w:t xml:space="preserve">, J., and </w:t>
      </w:r>
      <w:proofErr w:type="spellStart"/>
      <w:r w:rsidRPr="000E4FE6">
        <w:rPr>
          <w:rFonts w:ascii="Times New Roman" w:hAnsi="Times New Roman" w:cs="Times New Roman"/>
          <w:sz w:val="24"/>
          <w:szCs w:val="24"/>
        </w:rPr>
        <w:t>Schoeller</w:t>
      </w:r>
      <w:proofErr w:type="spellEnd"/>
      <w:r w:rsidRPr="000E4FE6">
        <w:rPr>
          <w:rFonts w:ascii="Times New Roman" w:hAnsi="Times New Roman" w:cs="Times New Roman"/>
          <w:sz w:val="24"/>
          <w:szCs w:val="24"/>
        </w:rPr>
        <w:t xml:space="preserve">, D. A. (2001). Evaluation of dietary assessment instruments against doubly </w:t>
      </w:r>
      <w:proofErr w:type="spellStart"/>
      <w:r w:rsidRPr="000E4FE6">
        <w:rPr>
          <w:rFonts w:ascii="Times New Roman" w:hAnsi="Times New Roman" w:cs="Times New Roman"/>
          <w:sz w:val="24"/>
          <w:szCs w:val="24"/>
        </w:rPr>
        <w:t>labeled</w:t>
      </w:r>
      <w:proofErr w:type="spellEnd"/>
      <w:r w:rsidRPr="000E4FE6">
        <w:rPr>
          <w:rFonts w:ascii="Times New Roman" w:hAnsi="Times New Roman" w:cs="Times New Roman"/>
          <w:sz w:val="24"/>
          <w:szCs w:val="24"/>
        </w:rPr>
        <w:t xml:space="preserve"> water, a biomarker of habitual energy intake. </w:t>
      </w:r>
      <w:r w:rsidRPr="000E4FE6">
        <w:rPr>
          <w:rFonts w:ascii="Times New Roman" w:hAnsi="Times New Roman" w:cs="Times New Roman"/>
          <w:i/>
          <w:sz w:val="24"/>
          <w:szCs w:val="24"/>
        </w:rPr>
        <w:t>American Journal of Physiology. Endocrinology and Metabolism</w:t>
      </w:r>
      <w:r w:rsidRPr="000E4FE6">
        <w:rPr>
          <w:rFonts w:ascii="Times New Roman" w:hAnsi="Times New Roman" w:cs="Times New Roman"/>
          <w:sz w:val="24"/>
          <w:szCs w:val="24"/>
        </w:rPr>
        <w:t>, </w:t>
      </w:r>
      <w:r w:rsidRPr="000E4FE6">
        <w:rPr>
          <w:rFonts w:ascii="Times New Roman" w:hAnsi="Times New Roman" w:cs="Times New Roman"/>
          <w:i/>
          <w:sz w:val="24"/>
          <w:szCs w:val="24"/>
        </w:rPr>
        <w:t>281</w:t>
      </w:r>
      <w:r w:rsidRPr="000E4FE6">
        <w:rPr>
          <w:rFonts w:ascii="Times New Roman" w:hAnsi="Times New Roman" w:cs="Times New Roman"/>
          <w:sz w:val="24"/>
          <w:szCs w:val="24"/>
        </w:rPr>
        <w:t>(5), E891-9. https://doi.org/10.1152/ajpendo.2001.281.5.E891</w:t>
      </w:r>
    </w:p>
    <w:p w14:paraId="00000EF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Trofholz</w:t>
      </w:r>
      <w:proofErr w:type="spellEnd"/>
      <w:r w:rsidRPr="000E4FE6">
        <w:rPr>
          <w:rFonts w:ascii="Times New Roman" w:hAnsi="Times New Roman" w:cs="Times New Roman"/>
          <w:sz w:val="24"/>
          <w:szCs w:val="24"/>
        </w:rPr>
        <w:t xml:space="preserve">, A. C., Tate, A. D., </w:t>
      </w:r>
      <w:proofErr w:type="spellStart"/>
      <w:r w:rsidRPr="000E4FE6">
        <w:rPr>
          <w:rFonts w:ascii="Times New Roman" w:hAnsi="Times New Roman" w:cs="Times New Roman"/>
          <w:sz w:val="24"/>
          <w:szCs w:val="24"/>
        </w:rPr>
        <w:t>Draxten</w:t>
      </w:r>
      <w:proofErr w:type="spellEnd"/>
      <w:r w:rsidRPr="000E4FE6">
        <w:rPr>
          <w:rFonts w:ascii="Times New Roman" w:hAnsi="Times New Roman" w:cs="Times New Roman"/>
          <w:sz w:val="24"/>
          <w:szCs w:val="24"/>
        </w:rPr>
        <w:t xml:space="preserve">, M. L., </w:t>
      </w:r>
      <w:proofErr w:type="spellStart"/>
      <w:r w:rsidRPr="000E4FE6">
        <w:rPr>
          <w:rFonts w:ascii="Times New Roman" w:hAnsi="Times New Roman" w:cs="Times New Roman"/>
          <w:sz w:val="24"/>
          <w:szCs w:val="24"/>
        </w:rPr>
        <w:t>Neumark-Sztainer</w:t>
      </w:r>
      <w:proofErr w:type="spellEnd"/>
      <w:r w:rsidRPr="000E4FE6">
        <w:rPr>
          <w:rFonts w:ascii="Times New Roman" w:hAnsi="Times New Roman" w:cs="Times New Roman"/>
          <w:sz w:val="24"/>
          <w:szCs w:val="24"/>
        </w:rPr>
        <w:t>, D., and Berge, J. M. (2016). Home food environment factors associated with the presence of fruit and vegetables at dinner: A direct observational study.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96</w:t>
      </w:r>
      <w:r w:rsidRPr="000E4FE6">
        <w:rPr>
          <w:rFonts w:ascii="Times New Roman" w:hAnsi="Times New Roman" w:cs="Times New Roman"/>
          <w:sz w:val="24"/>
          <w:szCs w:val="24"/>
        </w:rPr>
        <w:t>, 526–532. https://doi.org/10.1016/j.appet.2015.10.019</w:t>
      </w:r>
    </w:p>
    <w:p w14:paraId="00000EF8"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Trost</w:t>
      </w:r>
      <w:proofErr w:type="spellEnd"/>
      <w:r w:rsidRPr="000E4FE6">
        <w:rPr>
          <w:rFonts w:ascii="Times New Roman" w:hAnsi="Times New Roman" w:cs="Times New Roman"/>
          <w:sz w:val="24"/>
          <w:szCs w:val="24"/>
        </w:rPr>
        <w:t>, S G. (2001). Objective measurement of physical activity in youth: current issues, future directions. </w:t>
      </w:r>
      <w:r w:rsidRPr="000E4FE6">
        <w:rPr>
          <w:rFonts w:ascii="Times New Roman" w:hAnsi="Times New Roman" w:cs="Times New Roman"/>
          <w:i/>
          <w:sz w:val="24"/>
          <w:szCs w:val="24"/>
        </w:rPr>
        <w:t>Exercise and Sport Sciences Reviews</w:t>
      </w:r>
      <w:r w:rsidRPr="000E4FE6">
        <w:rPr>
          <w:rFonts w:ascii="Times New Roman" w:hAnsi="Times New Roman" w:cs="Times New Roman"/>
          <w:sz w:val="24"/>
          <w:szCs w:val="24"/>
        </w:rPr>
        <w:t>, </w:t>
      </w:r>
      <w:r w:rsidRPr="000E4FE6">
        <w:rPr>
          <w:rFonts w:ascii="Times New Roman" w:hAnsi="Times New Roman" w:cs="Times New Roman"/>
          <w:i/>
          <w:sz w:val="24"/>
          <w:szCs w:val="24"/>
        </w:rPr>
        <w:t>29</w:t>
      </w:r>
      <w:r w:rsidRPr="000E4FE6">
        <w:rPr>
          <w:rFonts w:ascii="Times New Roman" w:hAnsi="Times New Roman" w:cs="Times New Roman"/>
          <w:sz w:val="24"/>
          <w:szCs w:val="24"/>
        </w:rPr>
        <w:t>(1), 32–36. https://doi.org/10.1097/00003677-200101000-00007</w:t>
      </w:r>
    </w:p>
    <w:p w14:paraId="00000EF9"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Trost</w:t>
      </w:r>
      <w:proofErr w:type="spellEnd"/>
      <w:r w:rsidRPr="000E4FE6">
        <w:rPr>
          <w:rFonts w:ascii="Times New Roman" w:hAnsi="Times New Roman" w:cs="Times New Roman"/>
          <w:sz w:val="24"/>
          <w:szCs w:val="24"/>
        </w:rPr>
        <w:t>, Stewart G, McIver, K. L., and Pate, R. R. (2005). Conducting accelerometer-based activity assessments in field-based research. </w:t>
      </w:r>
      <w:r w:rsidRPr="000E4FE6">
        <w:rPr>
          <w:rFonts w:ascii="Times New Roman" w:hAnsi="Times New Roman" w:cs="Times New Roman"/>
          <w:i/>
          <w:sz w:val="24"/>
          <w:szCs w:val="24"/>
        </w:rPr>
        <w:t>Medicine and Science in Sports and Exercise</w:t>
      </w:r>
      <w:r w:rsidRPr="000E4FE6">
        <w:rPr>
          <w:rFonts w:ascii="Times New Roman" w:hAnsi="Times New Roman" w:cs="Times New Roman"/>
          <w:sz w:val="24"/>
          <w:szCs w:val="24"/>
        </w:rPr>
        <w:t>, </w:t>
      </w:r>
      <w:r w:rsidRPr="000E4FE6">
        <w:rPr>
          <w:rFonts w:ascii="Times New Roman" w:hAnsi="Times New Roman" w:cs="Times New Roman"/>
          <w:i/>
          <w:sz w:val="24"/>
          <w:szCs w:val="24"/>
        </w:rPr>
        <w:t>37</w:t>
      </w:r>
      <w:r w:rsidRPr="000E4FE6">
        <w:rPr>
          <w:rFonts w:ascii="Times New Roman" w:hAnsi="Times New Roman" w:cs="Times New Roman"/>
          <w:sz w:val="24"/>
          <w:szCs w:val="24"/>
        </w:rPr>
        <w:t xml:space="preserve">(11 </w:t>
      </w:r>
      <w:proofErr w:type="spellStart"/>
      <w:r w:rsidRPr="000E4FE6">
        <w:rPr>
          <w:rFonts w:ascii="Times New Roman" w:hAnsi="Times New Roman" w:cs="Times New Roman"/>
          <w:sz w:val="24"/>
          <w:szCs w:val="24"/>
        </w:rPr>
        <w:t>Suppl</w:t>
      </w:r>
      <w:proofErr w:type="spellEnd"/>
      <w:r w:rsidRPr="000E4FE6">
        <w:rPr>
          <w:rFonts w:ascii="Times New Roman" w:hAnsi="Times New Roman" w:cs="Times New Roman"/>
          <w:sz w:val="24"/>
          <w:szCs w:val="24"/>
        </w:rPr>
        <w:t>), S531-43. https://doi.org/10.1249/01.mss.0000185657.86065.98</w:t>
      </w:r>
    </w:p>
    <w:p w14:paraId="00000EFA"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Turek</w:t>
      </w:r>
      <w:proofErr w:type="spellEnd"/>
      <w:r w:rsidRPr="000E4FE6">
        <w:rPr>
          <w:rFonts w:ascii="Times New Roman" w:hAnsi="Times New Roman" w:cs="Times New Roman"/>
          <w:sz w:val="24"/>
          <w:szCs w:val="24"/>
        </w:rPr>
        <w:t xml:space="preserve">, F. W., </w:t>
      </w:r>
      <w:proofErr w:type="spellStart"/>
      <w:r w:rsidRPr="000E4FE6">
        <w:rPr>
          <w:rFonts w:ascii="Times New Roman" w:hAnsi="Times New Roman" w:cs="Times New Roman"/>
          <w:sz w:val="24"/>
          <w:szCs w:val="24"/>
        </w:rPr>
        <w:t>Joshu</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Kohsaka</w:t>
      </w:r>
      <w:proofErr w:type="spellEnd"/>
      <w:r w:rsidRPr="000E4FE6">
        <w:rPr>
          <w:rFonts w:ascii="Times New Roman" w:hAnsi="Times New Roman" w:cs="Times New Roman"/>
          <w:sz w:val="24"/>
          <w:szCs w:val="24"/>
        </w:rPr>
        <w:t xml:space="preserve">, A., Lin, E., Ivanova, G., </w:t>
      </w:r>
      <w:proofErr w:type="spellStart"/>
      <w:r w:rsidRPr="000E4FE6">
        <w:rPr>
          <w:rFonts w:ascii="Times New Roman" w:hAnsi="Times New Roman" w:cs="Times New Roman"/>
          <w:sz w:val="24"/>
          <w:szCs w:val="24"/>
        </w:rPr>
        <w:t>McDearmon</w:t>
      </w:r>
      <w:proofErr w:type="spellEnd"/>
      <w:r w:rsidRPr="000E4FE6">
        <w:rPr>
          <w:rFonts w:ascii="Times New Roman" w:hAnsi="Times New Roman" w:cs="Times New Roman"/>
          <w:sz w:val="24"/>
          <w:szCs w:val="24"/>
        </w:rPr>
        <w:t>, E., … Bass, J. (2005). Obesity and metabolic syndrome in circadian Clock mutant mice. </w:t>
      </w:r>
      <w:r w:rsidRPr="000E4FE6">
        <w:rPr>
          <w:rFonts w:ascii="Times New Roman" w:hAnsi="Times New Roman" w:cs="Times New Roman"/>
          <w:i/>
          <w:sz w:val="24"/>
          <w:szCs w:val="24"/>
        </w:rPr>
        <w:t>Science</w:t>
      </w:r>
      <w:r w:rsidRPr="000E4FE6">
        <w:rPr>
          <w:rFonts w:ascii="Times New Roman" w:hAnsi="Times New Roman" w:cs="Times New Roman"/>
          <w:sz w:val="24"/>
          <w:szCs w:val="24"/>
        </w:rPr>
        <w:t>, </w:t>
      </w:r>
      <w:r w:rsidRPr="000E4FE6">
        <w:rPr>
          <w:rFonts w:ascii="Times New Roman" w:hAnsi="Times New Roman" w:cs="Times New Roman"/>
          <w:i/>
          <w:sz w:val="24"/>
          <w:szCs w:val="24"/>
        </w:rPr>
        <w:t>308</w:t>
      </w:r>
      <w:r w:rsidRPr="000E4FE6">
        <w:rPr>
          <w:rFonts w:ascii="Times New Roman" w:hAnsi="Times New Roman" w:cs="Times New Roman"/>
          <w:sz w:val="24"/>
          <w:szCs w:val="24"/>
        </w:rPr>
        <w:t>(5724), 1043–1045. https://doi.org/10.1126/science.1108750</w:t>
      </w:r>
    </w:p>
    <w:p w14:paraId="00000EF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Tuschl</w:t>
      </w:r>
      <w:proofErr w:type="spellEnd"/>
      <w:r w:rsidRPr="000E4FE6">
        <w:rPr>
          <w:rFonts w:ascii="Times New Roman" w:hAnsi="Times New Roman" w:cs="Times New Roman"/>
          <w:sz w:val="24"/>
          <w:szCs w:val="24"/>
        </w:rPr>
        <w:t xml:space="preserve">, R. J., </w:t>
      </w:r>
      <w:proofErr w:type="spellStart"/>
      <w:r w:rsidRPr="000E4FE6">
        <w:rPr>
          <w:rFonts w:ascii="Times New Roman" w:hAnsi="Times New Roman" w:cs="Times New Roman"/>
          <w:sz w:val="24"/>
          <w:szCs w:val="24"/>
        </w:rPr>
        <w:t>Laessle</w:t>
      </w:r>
      <w:proofErr w:type="spellEnd"/>
      <w:r w:rsidRPr="000E4FE6">
        <w:rPr>
          <w:rFonts w:ascii="Times New Roman" w:hAnsi="Times New Roman" w:cs="Times New Roman"/>
          <w:sz w:val="24"/>
          <w:szCs w:val="24"/>
        </w:rPr>
        <w:t xml:space="preserve">, R. G., Platte, P., and </w:t>
      </w:r>
      <w:proofErr w:type="spellStart"/>
      <w:r w:rsidRPr="000E4FE6">
        <w:rPr>
          <w:rFonts w:ascii="Times New Roman" w:hAnsi="Times New Roman" w:cs="Times New Roman"/>
          <w:sz w:val="24"/>
          <w:szCs w:val="24"/>
        </w:rPr>
        <w:t>Pirke</w:t>
      </w:r>
      <w:proofErr w:type="spellEnd"/>
      <w:r w:rsidRPr="000E4FE6">
        <w:rPr>
          <w:rFonts w:ascii="Times New Roman" w:hAnsi="Times New Roman" w:cs="Times New Roman"/>
          <w:sz w:val="24"/>
          <w:szCs w:val="24"/>
        </w:rPr>
        <w:t>, K. M. (1990). Differences in food-choice frequencies between restrained and unrestrained eaters.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14</w:t>
      </w:r>
      <w:r w:rsidRPr="000E4FE6">
        <w:rPr>
          <w:rFonts w:ascii="Times New Roman" w:hAnsi="Times New Roman" w:cs="Times New Roman"/>
          <w:sz w:val="24"/>
          <w:szCs w:val="24"/>
        </w:rPr>
        <w:t>(1), 9–13. https://doi.org/10.1016/0195-6663(90)90050-i</w:t>
      </w:r>
    </w:p>
    <w:p w14:paraId="00000EF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Tylka</w:t>
      </w:r>
      <w:proofErr w:type="spellEnd"/>
      <w:r w:rsidRPr="000E4FE6">
        <w:rPr>
          <w:rFonts w:ascii="Times New Roman" w:hAnsi="Times New Roman" w:cs="Times New Roman"/>
          <w:sz w:val="24"/>
          <w:szCs w:val="24"/>
        </w:rPr>
        <w:t>, T. L. (2006). Development and psychometric evaluation of a measure of intuitive eating. </w:t>
      </w:r>
      <w:r w:rsidRPr="000E4FE6">
        <w:rPr>
          <w:rFonts w:ascii="Times New Roman" w:hAnsi="Times New Roman" w:cs="Times New Roman"/>
          <w:i/>
          <w:sz w:val="24"/>
          <w:szCs w:val="24"/>
        </w:rPr>
        <w:t xml:space="preserve">Journal of </w:t>
      </w:r>
      <w:proofErr w:type="spellStart"/>
      <w:r w:rsidRPr="000E4FE6">
        <w:rPr>
          <w:rFonts w:ascii="Times New Roman" w:hAnsi="Times New Roman" w:cs="Times New Roman"/>
          <w:i/>
          <w:sz w:val="24"/>
          <w:szCs w:val="24"/>
        </w:rPr>
        <w:t>Counseling</w:t>
      </w:r>
      <w:proofErr w:type="spellEnd"/>
      <w:r w:rsidRPr="000E4FE6">
        <w:rPr>
          <w:rFonts w:ascii="Times New Roman" w:hAnsi="Times New Roman" w:cs="Times New Roman"/>
          <w:i/>
          <w:sz w:val="24"/>
          <w:szCs w:val="24"/>
        </w:rPr>
        <w:t xml:space="preserve">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53</w:t>
      </w:r>
      <w:r w:rsidRPr="000E4FE6">
        <w:rPr>
          <w:rFonts w:ascii="Times New Roman" w:hAnsi="Times New Roman" w:cs="Times New Roman"/>
          <w:sz w:val="24"/>
          <w:szCs w:val="24"/>
        </w:rPr>
        <w:t>(2), 226–240. https://doi.org/10.1037/0022-0167.53.2.226</w:t>
      </w:r>
    </w:p>
    <w:p w14:paraId="00000EF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Tylka</w:t>
      </w:r>
      <w:proofErr w:type="spellEnd"/>
      <w:r w:rsidRPr="000E4FE6">
        <w:rPr>
          <w:rFonts w:ascii="Times New Roman" w:hAnsi="Times New Roman" w:cs="Times New Roman"/>
          <w:sz w:val="24"/>
          <w:szCs w:val="24"/>
        </w:rPr>
        <w:t xml:space="preserve">, T. L., and Kroon Van </w:t>
      </w:r>
      <w:proofErr w:type="spellStart"/>
      <w:r w:rsidRPr="000E4FE6">
        <w:rPr>
          <w:rFonts w:ascii="Times New Roman" w:hAnsi="Times New Roman" w:cs="Times New Roman"/>
          <w:sz w:val="24"/>
          <w:szCs w:val="24"/>
        </w:rPr>
        <w:t>Diest</w:t>
      </w:r>
      <w:proofErr w:type="spellEnd"/>
      <w:r w:rsidRPr="000E4FE6">
        <w:rPr>
          <w:rFonts w:ascii="Times New Roman" w:hAnsi="Times New Roman" w:cs="Times New Roman"/>
          <w:sz w:val="24"/>
          <w:szCs w:val="24"/>
        </w:rPr>
        <w:t>, A. M. (2013). The Intuitive Eating Scale-2: item refinement and psychometric evaluation with college women and men. </w:t>
      </w:r>
      <w:r w:rsidRPr="000E4FE6">
        <w:rPr>
          <w:rFonts w:ascii="Times New Roman" w:hAnsi="Times New Roman" w:cs="Times New Roman"/>
          <w:i/>
          <w:sz w:val="24"/>
          <w:szCs w:val="24"/>
        </w:rPr>
        <w:t xml:space="preserve">Journal of </w:t>
      </w:r>
      <w:proofErr w:type="spellStart"/>
      <w:r w:rsidRPr="000E4FE6">
        <w:rPr>
          <w:rFonts w:ascii="Times New Roman" w:hAnsi="Times New Roman" w:cs="Times New Roman"/>
          <w:i/>
          <w:sz w:val="24"/>
          <w:szCs w:val="24"/>
        </w:rPr>
        <w:t>Counseling</w:t>
      </w:r>
      <w:proofErr w:type="spellEnd"/>
      <w:r w:rsidRPr="000E4FE6">
        <w:rPr>
          <w:rFonts w:ascii="Times New Roman" w:hAnsi="Times New Roman" w:cs="Times New Roman"/>
          <w:i/>
          <w:sz w:val="24"/>
          <w:szCs w:val="24"/>
        </w:rPr>
        <w:t xml:space="preserve">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60</w:t>
      </w:r>
      <w:r w:rsidRPr="000E4FE6">
        <w:rPr>
          <w:rFonts w:ascii="Times New Roman" w:hAnsi="Times New Roman" w:cs="Times New Roman"/>
          <w:sz w:val="24"/>
          <w:szCs w:val="24"/>
        </w:rPr>
        <w:t>(1), 137–153. https://doi.org/10.1037/a0030893</w:t>
      </w:r>
    </w:p>
    <w:p w14:paraId="00000EF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Tylka</w:t>
      </w:r>
      <w:proofErr w:type="spellEnd"/>
      <w:r w:rsidRPr="000E4FE6">
        <w:rPr>
          <w:rFonts w:ascii="Times New Roman" w:hAnsi="Times New Roman" w:cs="Times New Roman"/>
          <w:sz w:val="24"/>
          <w:szCs w:val="24"/>
        </w:rPr>
        <w:t xml:space="preserve">, T. L., and </w:t>
      </w:r>
      <w:proofErr w:type="spellStart"/>
      <w:r w:rsidRPr="000E4FE6">
        <w:rPr>
          <w:rFonts w:ascii="Times New Roman" w:hAnsi="Times New Roman" w:cs="Times New Roman"/>
          <w:sz w:val="24"/>
          <w:szCs w:val="24"/>
        </w:rPr>
        <w:t>Subich</w:t>
      </w:r>
      <w:proofErr w:type="spellEnd"/>
      <w:r w:rsidRPr="000E4FE6">
        <w:rPr>
          <w:rFonts w:ascii="Times New Roman" w:hAnsi="Times New Roman" w:cs="Times New Roman"/>
          <w:sz w:val="24"/>
          <w:szCs w:val="24"/>
        </w:rPr>
        <w:t>, L. M. (2004). Examining a multidimensional model of eating disorder symptomatology among college women. </w:t>
      </w:r>
      <w:r w:rsidRPr="000E4FE6">
        <w:rPr>
          <w:rFonts w:ascii="Times New Roman" w:hAnsi="Times New Roman" w:cs="Times New Roman"/>
          <w:i/>
          <w:sz w:val="24"/>
          <w:szCs w:val="24"/>
        </w:rPr>
        <w:t xml:space="preserve">Journal of </w:t>
      </w:r>
      <w:proofErr w:type="spellStart"/>
      <w:r w:rsidRPr="000E4FE6">
        <w:rPr>
          <w:rFonts w:ascii="Times New Roman" w:hAnsi="Times New Roman" w:cs="Times New Roman"/>
          <w:i/>
          <w:sz w:val="24"/>
          <w:szCs w:val="24"/>
        </w:rPr>
        <w:t>Counseling</w:t>
      </w:r>
      <w:proofErr w:type="spellEnd"/>
      <w:r w:rsidRPr="000E4FE6">
        <w:rPr>
          <w:rFonts w:ascii="Times New Roman" w:hAnsi="Times New Roman" w:cs="Times New Roman"/>
          <w:i/>
          <w:sz w:val="24"/>
          <w:szCs w:val="24"/>
        </w:rPr>
        <w:t xml:space="preserve"> Psychology</w:t>
      </w:r>
      <w:r w:rsidRPr="000E4FE6">
        <w:rPr>
          <w:rFonts w:ascii="Times New Roman" w:hAnsi="Times New Roman" w:cs="Times New Roman"/>
          <w:sz w:val="24"/>
          <w:szCs w:val="24"/>
        </w:rPr>
        <w:t>, </w:t>
      </w:r>
      <w:r w:rsidRPr="000E4FE6">
        <w:rPr>
          <w:rFonts w:ascii="Times New Roman" w:hAnsi="Times New Roman" w:cs="Times New Roman"/>
          <w:i/>
          <w:sz w:val="24"/>
          <w:szCs w:val="24"/>
        </w:rPr>
        <w:t>51</w:t>
      </w:r>
      <w:r w:rsidRPr="000E4FE6">
        <w:rPr>
          <w:rFonts w:ascii="Times New Roman" w:hAnsi="Times New Roman" w:cs="Times New Roman"/>
          <w:sz w:val="24"/>
          <w:szCs w:val="24"/>
        </w:rPr>
        <w:t>(3), 314–328. https://doi.org/10.1037/0022-0167.51.3.314</w:t>
      </w:r>
    </w:p>
    <w:p w14:paraId="00000EF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Tyrrell, J., Wood, A. R., Ames, R. M., </w:t>
      </w:r>
      <w:proofErr w:type="spellStart"/>
      <w:r w:rsidRPr="000E4FE6">
        <w:rPr>
          <w:rFonts w:ascii="Times New Roman" w:hAnsi="Times New Roman" w:cs="Times New Roman"/>
          <w:sz w:val="24"/>
          <w:szCs w:val="24"/>
        </w:rPr>
        <w:t>Yaghootkar</w:t>
      </w:r>
      <w:proofErr w:type="spellEnd"/>
      <w:r w:rsidRPr="000E4FE6">
        <w:rPr>
          <w:rFonts w:ascii="Times New Roman" w:hAnsi="Times New Roman" w:cs="Times New Roman"/>
          <w:sz w:val="24"/>
          <w:szCs w:val="24"/>
        </w:rPr>
        <w:t xml:space="preserve">, H., Beaumont, R., Jones, S. E., … </w:t>
      </w:r>
      <w:proofErr w:type="spellStart"/>
      <w:r w:rsidRPr="000E4FE6">
        <w:rPr>
          <w:rFonts w:ascii="Times New Roman" w:hAnsi="Times New Roman" w:cs="Times New Roman"/>
          <w:sz w:val="24"/>
          <w:szCs w:val="24"/>
        </w:rPr>
        <w:t>Frayling</w:t>
      </w:r>
      <w:proofErr w:type="spellEnd"/>
      <w:r w:rsidRPr="000E4FE6">
        <w:rPr>
          <w:rFonts w:ascii="Times New Roman" w:hAnsi="Times New Roman" w:cs="Times New Roman"/>
          <w:sz w:val="24"/>
          <w:szCs w:val="24"/>
        </w:rPr>
        <w:t>, T. M. (2016). Evidence that low socioeconomic position accentuates genetic susceptibility to obesity. </w:t>
      </w:r>
      <w:proofErr w:type="spellStart"/>
      <w:r w:rsidRPr="000E4FE6">
        <w:rPr>
          <w:rFonts w:ascii="Times New Roman" w:hAnsi="Times New Roman" w:cs="Times New Roman"/>
          <w:i/>
          <w:sz w:val="24"/>
          <w:szCs w:val="24"/>
        </w:rPr>
        <w:t>BioRxiv</w:t>
      </w:r>
      <w:proofErr w:type="spellEnd"/>
      <w:r w:rsidRPr="000E4FE6">
        <w:rPr>
          <w:rFonts w:ascii="Times New Roman" w:hAnsi="Times New Roman" w:cs="Times New Roman"/>
          <w:sz w:val="24"/>
          <w:szCs w:val="24"/>
        </w:rPr>
        <w:t>. https://doi.org/10.1101/074054</w:t>
      </w:r>
    </w:p>
    <w:p w14:paraId="00000F0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Ulrich, M., </w:t>
      </w:r>
      <w:proofErr w:type="spellStart"/>
      <w:r w:rsidRPr="000E4FE6">
        <w:rPr>
          <w:rFonts w:ascii="Times New Roman" w:hAnsi="Times New Roman" w:cs="Times New Roman"/>
          <w:sz w:val="24"/>
          <w:szCs w:val="24"/>
        </w:rPr>
        <w:t>Steigleder</w:t>
      </w:r>
      <w:proofErr w:type="spellEnd"/>
      <w:r w:rsidRPr="000E4FE6">
        <w:rPr>
          <w:rFonts w:ascii="Times New Roman" w:hAnsi="Times New Roman" w:cs="Times New Roman"/>
          <w:sz w:val="24"/>
          <w:szCs w:val="24"/>
        </w:rPr>
        <w:t xml:space="preserve">, L., and </w:t>
      </w:r>
      <w:proofErr w:type="spellStart"/>
      <w:r w:rsidRPr="000E4FE6">
        <w:rPr>
          <w:rFonts w:ascii="Times New Roman" w:hAnsi="Times New Roman" w:cs="Times New Roman"/>
          <w:sz w:val="24"/>
          <w:szCs w:val="24"/>
        </w:rPr>
        <w:t>Grön</w:t>
      </w:r>
      <w:proofErr w:type="spellEnd"/>
      <w:r w:rsidRPr="000E4FE6">
        <w:rPr>
          <w:rFonts w:ascii="Times New Roman" w:hAnsi="Times New Roman" w:cs="Times New Roman"/>
          <w:sz w:val="24"/>
          <w:szCs w:val="24"/>
        </w:rPr>
        <w:t>, G. (2016). Neural signature of the Food Craving Questionnaire (FCQ)-Trait.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107</w:t>
      </w:r>
      <w:r w:rsidRPr="000E4FE6">
        <w:rPr>
          <w:rFonts w:ascii="Times New Roman" w:hAnsi="Times New Roman" w:cs="Times New Roman"/>
          <w:sz w:val="24"/>
          <w:szCs w:val="24"/>
        </w:rPr>
        <w:t>, 303–310. https://doi.org/10.1016/j.appet.2016.08.012</w:t>
      </w:r>
    </w:p>
    <w:p w14:paraId="00000F0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Urhonen</w:t>
      </w:r>
      <w:proofErr w:type="spellEnd"/>
      <w:r w:rsidRPr="000E4FE6">
        <w:rPr>
          <w:rFonts w:ascii="Times New Roman" w:hAnsi="Times New Roman" w:cs="Times New Roman"/>
          <w:sz w:val="24"/>
          <w:szCs w:val="24"/>
        </w:rPr>
        <w:t xml:space="preserve">, T., Lie, A., and </w:t>
      </w:r>
      <w:proofErr w:type="spellStart"/>
      <w:r w:rsidRPr="000E4FE6">
        <w:rPr>
          <w:rFonts w:ascii="Times New Roman" w:hAnsi="Times New Roman" w:cs="Times New Roman"/>
          <w:sz w:val="24"/>
          <w:szCs w:val="24"/>
        </w:rPr>
        <w:t>Aamodt</w:t>
      </w:r>
      <w:proofErr w:type="spellEnd"/>
      <w:r w:rsidRPr="000E4FE6">
        <w:rPr>
          <w:rFonts w:ascii="Times New Roman" w:hAnsi="Times New Roman" w:cs="Times New Roman"/>
          <w:sz w:val="24"/>
          <w:szCs w:val="24"/>
        </w:rPr>
        <w:t>, G. (2016). Associations between long commutes and subjective health complaints among railway workers in Norway. </w:t>
      </w:r>
      <w:r w:rsidRPr="000E4FE6">
        <w:rPr>
          <w:rFonts w:ascii="Times New Roman" w:hAnsi="Times New Roman" w:cs="Times New Roman"/>
          <w:i/>
          <w:sz w:val="24"/>
          <w:szCs w:val="24"/>
        </w:rPr>
        <w:t>Preventive Medicine Reports</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 490–495. https://doi.org/10.1016/j.pmedr.2016.09.001</w:t>
      </w:r>
    </w:p>
    <w:p w14:paraId="00000F0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Vainik</w:t>
      </w:r>
      <w:proofErr w:type="spellEnd"/>
      <w:r w:rsidRPr="000E4FE6">
        <w:rPr>
          <w:rFonts w:ascii="Times New Roman" w:hAnsi="Times New Roman" w:cs="Times New Roman"/>
          <w:sz w:val="24"/>
          <w:szCs w:val="24"/>
        </w:rPr>
        <w:t xml:space="preserve">, U., García-García, I., and </w:t>
      </w:r>
      <w:proofErr w:type="spellStart"/>
      <w:r w:rsidRPr="000E4FE6">
        <w:rPr>
          <w:rFonts w:ascii="Times New Roman" w:hAnsi="Times New Roman" w:cs="Times New Roman"/>
          <w:sz w:val="24"/>
          <w:szCs w:val="24"/>
        </w:rPr>
        <w:t>Dagher</w:t>
      </w:r>
      <w:proofErr w:type="spellEnd"/>
      <w:r w:rsidRPr="000E4FE6">
        <w:rPr>
          <w:rFonts w:ascii="Times New Roman" w:hAnsi="Times New Roman" w:cs="Times New Roman"/>
          <w:sz w:val="24"/>
          <w:szCs w:val="24"/>
        </w:rPr>
        <w:t>, A. (2019). Uncontrolled eating: a unifying heritable trait linked with obesity, overeating, personality and the brain. </w:t>
      </w:r>
      <w:r w:rsidRPr="000E4FE6">
        <w:rPr>
          <w:rFonts w:ascii="Times New Roman" w:hAnsi="Times New Roman" w:cs="Times New Roman"/>
          <w:i/>
          <w:sz w:val="24"/>
          <w:szCs w:val="24"/>
        </w:rPr>
        <w:t>The European Journal of Neuroscience</w:t>
      </w:r>
      <w:r w:rsidRPr="000E4FE6">
        <w:rPr>
          <w:rFonts w:ascii="Times New Roman" w:hAnsi="Times New Roman" w:cs="Times New Roman"/>
          <w:sz w:val="24"/>
          <w:szCs w:val="24"/>
        </w:rPr>
        <w:t>, </w:t>
      </w:r>
      <w:r w:rsidRPr="000E4FE6">
        <w:rPr>
          <w:rFonts w:ascii="Times New Roman" w:hAnsi="Times New Roman" w:cs="Times New Roman"/>
          <w:i/>
          <w:sz w:val="24"/>
          <w:szCs w:val="24"/>
        </w:rPr>
        <w:t>50</w:t>
      </w:r>
      <w:r w:rsidRPr="000E4FE6">
        <w:rPr>
          <w:rFonts w:ascii="Times New Roman" w:hAnsi="Times New Roman" w:cs="Times New Roman"/>
          <w:sz w:val="24"/>
          <w:szCs w:val="24"/>
        </w:rPr>
        <w:t>(3), 2430–2445. https://doi.org/10.1111/ejn.14352</w:t>
      </w:r>
    </w:p>
    <w:p w14:paraId="00000F0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Van </w:t>
      </w:r>
      <w:proofErr w:type="spellStart"/>
      <w:r w:rsidRPr="000E4FE6">
        <w:rPr>
          <w:rFonts w:ascii="Times New Roman" w:hAnsi="Times New Roman" w:cs="Times New Roman"/>
          <w:sz w:val="24"/>
          <w:szCs w:val="24"/>
        </w:rPr>
        <w:t>Cauter</w:t>
      </w:r>
      <w:proofErr w:type="spellEnd"/>
      <w:r w:rsidRPr="000E4FE6">
        <w:rPr>
          <w:rFonts w:ascii="Times New Roman" w:hAnsi="Times New Roman" w:cs="Times New Roman"/>
          <w:sz w:val="24"/>
          <w:szCs w:val="24"/>
        </w:rPr>
        <w:t xml:space="preserve">, E., Polonsky, K. S., and </w:t>
      </w:r>
      <w:proofErr w:type="spellStart"/>
      <w:r w:rsidRPr="000E4FE6">
        <w:rPr>
          <w:rFonts w:ascii="Times New Roman" w:hAnsi="Times New Roman" w:cs="Times New Roman"/>
          <w:sz w:val="24"/>
          <w:szCs w:val="24"/>
        </w:rPr>
        <w:t>Scheen</w:t>
      </w:r>
      <w:proofErr w:type="spellEnd"/>
      <w:r w:rsidRPr="000E4FE6">
        <w:rPr>
          <w:rFonts w:ascii="Times New Roman" w:hAnsi="Times New Roman" w:cs="Times New Roman"/>
          <w:sz w:val="24"/>
          <w:szCs w:val="24"/>
        </w:rPr>
        <w:t>, A. J. (1997). Roles of circadian rhythmicity and sleep in human glucose regulation. </w:t>
      </w:r>
      <w:r w:rsidRPr="000E4FE6">
        <w:rPr>
          <w:rFonts w:ascii="Times New Roman" w:hAnsi="Times New Roman" w:cs="Times New Roman"/>
          <w:i/>
          <w:sz w:val="24"/>
          <w:szCs w:val="24"/>
        </w:rPr>
        <w:t>Endocrine Reviews</w:t>
      </w:r>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(5), 716–738. https://doi.org/10.1210/edrv.18.5.0317</w:t>
      </w:r>
    </w:p>
    <w:p w14:paraId="00000F0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van den Akker, K., Jansen, A., </w:t>
      </w:r>
      <w:proofErr w:type="spellStart"/>
      <w:r w:rsidRPr="000E4FE6">
        <w:rPr>
          <w:rFonts w:ascii="Times New Roman" w:hAnsi="Times New Roman" w:cs="Times New Roman"/>
          <w:sz w:val="24"/>
          <w:szCs w:val="24"/>
        </w:rPr>
        <w:t>Frentz</w:t>
      </w:r>
      <w:proofErr w:type="spellEnd"/>
      <w:r w:rsidRPr="000E4FE6">
        <w:rPr>
          <w:rFonts w:ascii="Times New Roman" w:hAnsi="Times New Roman" w:cs="Times New Roman"/>
          <w:sz w:val="24"/>
          <w:szCs w:val="24"/>
        </w:rPr>
        <w:t xml:space="preserve">, F., and </w:t>
      </w:r>
      <w:proofErr w:type="spellStart"/>
      <w:r w:rsidRPr="000E4FE6">
        <w:rPr>
          <w:rFonts w:ascii="Times New Roman" w:hAnsi="Times New Roman" w:cs="Times New Roman"/>
          <w:sz w:val="24"/>
          <w:szCs w:val="24"/>
        </w:rPr>
        <w:t>Havermans</w:t>
      </w:r>
      <w:proofErr w:type="spellEnd"/>
      <w:r w:rsidRPr="000E4FE6">
        <w:rPr>
          <w:rFonts w:ascii="Times New Roman" w:hAnsi="Times New Roman" w:cs="Times New Roman"/>
          <w:sz w:val="24"/>
          <w:szCs w:val="24"/>
        </w:rPr>
        <w:t>, R. C. (2013). Impulsivity makes more susceptible to overeating after contextual appetitive conditioning.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70</w:t>
      </w:r>
      <w:r w:rsidRPr="000E4FE6">
        <w:rPr>
          <w:rFonts w:ascii="Times New Roman" w:hAnsi="Times New Roman" w:cs="Times New Roman"/>
          <w:sz w:val="24"/>
          <w:szCs w:val="24"/>
        </w:rPr>
        <w:t>, 73–80. https://doi.org/10.1016/j.appet.2013.06.092</w:t>
      </w:r>
    </w:p>
    <w:p w14:paraId="00000F0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van den Akker, K., Stewart, K., Antoniou, E. E., </w:t>
      </w:r>
      <w:proofErr w:type="spellStart"/>
      <w:r w:rsidRPr="000E4FE6">
        <w:rPr>
          <w:rFonts w:ascii="Times New Roman" w:hAnsi="Times New Roman" w:cs="Times New Roman"/>
          <w:sz w:val="24"/>
          <w:szCs w:val="24"/>
        </w:rPr>
        <w:t>Palmberg</w:t>
      </w:r>
      <w:proofErr w:type="spellEnd"/>
      <w:r w:rsidRPr="000E4FE6">
        <w:rPr>
          <w:rFonts w:ascii="Times New Roman" w:hAnsi="Times New Roman" w:cs="Times New Roman"/>
          <w:sz w:val="24"/>
          <w:szCs w:val="24"/>
        </w:rPr>
        <w:t>, A., and Jansen, A. (2014). Food cue reactivity, obesity, and impulsivity: are they associated? </w:t>
      </w:r>
      <w:r w:rsidRPr="000E4FE6">
        <w:rPr>
          <w:rFonts w:ascii="Times New Roman" w:hAnsi="Times New Roman" w:cs="Times New Roman"/>
          <w:i/>
          <w:sz w:val="24"/>
          <w:szCs w:val="24"/>
        </w:rPr>
        <w:t>Current Addiction Reports</w:t>
      </w:r>
      <w:r w:rsidRPr="000E4FE6">
        <w:rPr>
          <w:rFonts w:ascii="Times New Roman" w:hAnsi="Times New Roman" w:cs="Times New Roman"/>
          <w:sz w:val="24"/>
          <w:szCs w:val="24"/>
        </w:rPr>
        <w:t>, </w:t>
      </w:r>
      <w:r w:rsidRPr="000E4FE6">
        <w:rPr>
          <w:rFonts w:ascii="Times New Roman" w:hAnsi="Times New Roman" w:cs="Times New Roman"/>
          <w:i/>
          <w:sz w:val="24"/>
          <w:szCs w:val="24"/>
        </w:rPr>
        <w:t>1</w:t>
      </w:r>
      <w:r w:rsidRPr="000E4FE6">
        <w:rPr>
          <w:rFonts w:ascii="Times New Roman" w:hAnsi="Times New Roman" w:cs="Times New Roman"/>
          <w:sz w:val="24"/>
          <w:szCs w:val="24"/>
        </w:rPr>
        <w:t>(4), 301–308. https://doi.org/10.1007/s40429-014-0038-3</w:t>
      </w:r>
    </w:p>
    <w:p w14:paraId="00000F0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van der Heijden, A. A. W. A., Hu, F. B., </w:t>
      </w:r>
      <w:proofErr w:type="spellStart"/>
      <w:r w:rsidRPr="000E4FE6">
        <w:rPr>
          <w:rFonts w:ascii="Times New Roman" w:hAnsi="Times New Roman" w:cs="Times New Roman"/>
          <w:sz w:val="24"/>
          <w:szCs w:val="24"/>
        </w:rPr>
        <w:t>Rimm</w:t>
      </w:r>
      <w:proofErr w:type="spellEnd"/>
      <w:r w:rsidRPr="000E4FE6">
        <w:rPr>
          <w:rFonts w:ascii="Times New Roman" w:hAnsi="Times New Roman" w:cs="Times New Roman"/>
          <w:sz w:val="24"/>
          <w:szCs w:val="24"/>
        </w:rPr>
        <w:t>, E. B., and van Dam, R. M. (2007). A prospective study of breakfast consumption and weight gain among U.S. men.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(10), 2463–2469. https://doi.org/10.1038/oby.2007.292</w:t>
      </w:r>
    </w:p>
    <w:p w14:paraId="00000F07"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Van </w:t>
      </w:r>
      <w:proofErr w:type="spellStart"/>
      <w:r w:rsidRPr="000E4FE6">
        <w:rPr>
          <w:rFonts w:ascii="Times New Roman" w:hAnsi="Times New Roman" w:cs="Times New Roman"/>
          <w:sz w:val="24"/>
          <w:szCs w:val="24"/>
        </w:rPr>
        <w:t>Kleef</w:t>
      </w:r>
      <w:proofErr w:type="spellEnd"/>
      <w:r w:rsidRPr="000E4FE6">
        <w:rPr>
          <w:rFonts w:ascii="Times New Roman" w:hAnsi="Times New Roman" w:cs="Times New Roman"/>
          <w:sz w:val="24"/>
          <w:szCs w:val="24"/>
        </w:rPr>
        <w:t xml:space="preserve">, E., Van </w:t>
      </w:r>
      <w:proofErr w:type="spellStart"/>
      <w:r w:rsidRPr="000E4FE6">
        <w:rPr>
          <w:rFonts w:ascii="Times New Roman" w:hAnsi="Times New Roman" w:cs="Times New Roman"/>
          <w:sz w:val="24"/>
          <w:szCs w:val="24"/>
        </w:rPr>
        <w:t>Trijp</w:t>
      </w:r>
      <w:proofErr w:type="spellEnd"/>
      <w:r w:rsidRPr="000E4FE6">
        <w:rPr>
          <w:rFonts w:ascii="Times New Roman" w:hAnsi="Times New Roman" w:cs="Times New Roman"/>
          <w:sz w:val="24"/>
          <w:szCs w:val="24"/>
        </w:rPr>
        <w:t>, J. C. M., Van Den Borne, J. J. G. C., and Zondervan, C. (2012). Successful development of satiety enhancing food products: towards a multidisciplinary agenda of research challenges. </w:t>
      </w:r>
      <w:r w:rsidRPr="000E4FE6">
        <w:rPr>
          <w:rFonts w:ascii="Times New Roman" w:hAnsi="Times New Roman" w:cs="Times New Roman"/>
          <w:i/>
          <w:sz w:val="24"/>
          <w:szCs w:val="24"/>
        </w:rPr>
        <w:t>Critical Reviews in Food Science and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52</w:t>
      </w:r>
      <w:r w:rsidRPr="000E4FE6">
        <w:rPr>
          <w:rFonts w:ascii="Times New Roman" w:hAnsi="Times New Roman" w:cs="Times New Roman"/>
          <w:sz w:val="24"/>
          <w:szCs w:val="24"/>
        </w:rPr>
        <w:t>(7), 611–628. https://doi.org/10.1080/10408398.2010.504901</w:t>
      </w:r>
    </w:p>
    <w:p w14:paraId="00000F0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Van </w:t>
      </w:r>
      <w:proofErr w:type="spellStart"/>
      <w:r w:rsidRPr="000E4FE6">
        <w:rPr>
          <w:rFonts w:ascii="Times New Roman" w:hAnsi="Times New Roman" w:cs="Times New Roman"/>
          <w:sz w:val="24"/>
          <w:szCs w:val="24"/>
        </w:rPr>
        <w:t>Strien</w:t>
      </w:r>
      <w:proofErr w:type="spellEnd"/>
      <w:r w:rsidRPr="000E4FE6">
        <w:rPr>
          <w:rFonts w:ascii="Times New Roman" w:hAnsi="Times New Roman" w:cs="Times New Roman"/>
          <w:sz w:val="24"/>
          <w:szCs w:val="24"/>
        </w:rPr>
        <w:t xml:space="preserve">, T., </w:t>
      </w:r>
      <w:proofErr w:type="spellStart"/>
      <w:r w:rsidRPr="000E4FE6">
        <w:rPr>
          <w:rFonts w:ascii="Times New Roman" w:hAnsi="Times New Roman" w:cs="Times New Roman"/>
          <w:sz w:val="24"/>
          <w:szCs w:val="24"/>
        </w:rPr>
        <w:t>Cleven</w:t>
      </w:r>
      <w:proofErr w:type="spellEnd"/>
      <w:r w:rsidRPr="000E4FE6">
        <w:rPr>
          <w:rFonts w:ascii="Times New Roman" w:hAnsi="Times New Roman" w:cs="Times New Roman"/>
          <w:sz w:val="24"/>
          <w:szCs w:val="24"/>
        </w:rPr>
        <w:t>, A., and Schippers, G. (2000). Restraint, tendency toward overeating and ice cream consumption. </w:t>
      </w:r>
      <w:r w:rsidRPr="000E4FE6">
        <w:rPr>
          <w:rFonts w:ascii="Times New Roman" w:hAnsi="Times New Roman" w:cs="Times New Roman"/>
          <w:i/>
          <w:sz w:val="24"/>
          <w:szCs w:val="24"/>
        </w:rPr>
        <w:t>The International Journal of Eating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(3), 333–338. https://doi.org/10.1002/1098-108x(200011)28:3&lt;</w:t>
      </w:r>
      <w:proofErr w:type="gramStart"/>
      <w:r w:rsidRPr="000E4FE6">
        <w:rPr>
          <w:rFonts w:ascii="Times New Roman" w:hAnsi="Times New Roman" w:cs="Times New Roman"/>
          <w:sz w:val="24"/>
          <w:szCs w:val="24"/>
        </w:rPr>
        <w:t>333::</w:t>
      </w:r>
      <w:proofErr w:type="gramEnd"/>
      <w:r w:rsidRPr="000E4FE6">
        <w:rPr>
          <w:rFonts w:ascii="Times New Roman" w:hAnsi="Times New Roman" w:cs="Times New Roman"/>
          <w:sz w:val="24"/>
          <w:szCs w:val="24"/>
        </w:rPr>
        <w:t>aid-eat11&gt;3.0.co;2-#</w:t>
      </w:r>
    </w:p>
    <w:p w14:paraId="00000F0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van </w:t>
      </w:r>
      <w:proofErr w:type="spellStart"/>
      <w:r w:rsidRPr="000E4FE6">
        <w:rPr>
          <w:rFonts w:ascii="Times New Roman" w:hAnsi="Times New Roman" w:cs="Times New Roman"/>
          <w:sz w:val="24"/>
          <w:szCs w:val="24"/>
        </w:rPr>
        <w:t>Strien</w:t>
      </w:r>
      <w:proofErr w:type="spellEnd"/>
      <w:r w:rsidRPr="000E4FE6">
        <w:rPr>
          <w:rFonts w:ascii="Times New Roman" w:hAnsi="Times New Roman" w:cs="Times New Roman"/>
          <w:sz w:val="24"/>
          <w:szCs w:val="24"/>
        </w:rPr>
        <w:t xml:space="preserve">, T., Herman, C. P., and </w:t>
      </w:r>
      <w:proofErr w:type="spellStart"/>
      <w:r w:rsidRPr="000E4FE6">
        <w:rPr>
          <w:rFonts w:ascii="Times New Roman" w:hAnsi="Times New Roman" w:cs="Times New Roman"/>
          <w:sz w:val="24"/>
          <w:szCs w:val="24"/>
        </w:rPr>
        <w:t>Verheijden</w:t>
      </w:r>
      <w:proofErr w:type="spellEnd"/>
      <w:r w:rsidRPr="000E4FE6">
        <w:rPr>
          <w:rFonts w:ascii="Times New Roman" w:hAnsi="Times New Roman" w:cs="Times New Roman"/>
          <w:sz w:val="24"/>
          <w:szCs w:val="24"/>
        </w:rPr>
        <w:t>, M. W. (2009). Eating style, overeating, and overweight in a representative Dutch sample. Does external eating play a role?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52</w:t>
      </w:r>
      <w:r w:rsidRPr="000E4FE6">
        <w:rPr>
          <w:rFonts w:ascii="Times New Roman" w:hAnsi="Times New Roman" w:cs="Times New Roman"/>
          <w:sz w:val="24"/>
          <w:szCs w:val="24"/>
        </w:rPr>
        <w:t>(2), 380–387. https://doi.org/10.1016/j.appet.2008.11.010</w:t>
      </w:r>
    </w:p>
    <w:p w14:paraId="00000F0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van Vliet-</w:t>
      </w:r>
      <w:proofErr w:type="spellStart"/>
      <w:r w:rsidRPr="000E4FE6">
        <w:rPr>
          <w:rFonts w:ascii="Times New Roman" w:hAnsi="Times New Roman" w:cs="Times New Roman"/>
          <w:sz w:val="24"/>
          <w:szCs w:val="24"/>
        </w:rPr>
        <w:t>Ostaptchouk</w:t>
      </w:r>
      <w:proofErr w:type="spellEnd"/>
      <w:r w:rsidRPr="000E4FE6">
        <w:rPr>
          <w:rFonts w:ascii="Times New Roman" w:hAnsi="Times New Roman" w:cs="Times New Roman"/>
          <w:sz w:val="24"/>
          <w:szCs w:val="24"/>
        </w:rPr>
        <w:t xml:space="preserve">, J. V., </w:t>
      </w:r>
      <w:proofErr w:type="spellStart"/>
      <w:r w:rsidRPr="000E4FE6">
        <w:rPr>
          <w:rFonts w:ascii="Times New Roman" w:hAnsi="Times New Roman" w:cs="Times New Roman"/>
          <w:sz w:val="24"/>
          <w:szCs w:val="24"/>
        </w:rPr>
        <w:t>Hofker</w:t>
      </w:r>
      <w:proofErr w:type="spellEnd"/>
      <w:r w:rsidRPr="000E4FE6">
        <w:rPr>
          <w:rFonts w:ascii="Times New Roman" w:hAnsi="Times New Roman" w:cs="Times New Roman"/>
          <w:sz w:val="24"/>
          <w:szCs w:val="24"/>
        </w:rPr>
        <w:t xml:space="preserve">, M. H., van der Schouw, Y. T., </w:t>
      </w:r>
      <w:proofErr w:type="spellStart"/>
      <w:r w:rsidRPr="000E4FE6">
        <w:rPr>
          <w:rFonts w:ascii="Times New Roman" w:hAnsi="Times New Roman" w:cs="Times New Roman"/>
          <w:sz w:val="24"/>
          <w:szCs w:val="24"/>
        </w:rPr>
        <w:t>Wijmenga</w:t>
      </w:r>
      <w:proofErr w:type="spellEnd"/>
      <w:r w:rsidRPr="000E4FE6">
        <w:rPr>
          <w:rFonts w:ascii="Times New Roman" w:hAnsi="Times New Roman" w:cs="Times New Roman"/>
          <w:sz w:val="24"/>
          <w:szCs w:val="24"/>
        </w:rPr>
        <w:t xml:space="preserve">, C., and </w:t>
      </w:r>
      <w:proofErr w:type="spellStart"/>
      <w:r w:rsidRPr="000E4FE6">
        <w:rPr>
          <w:rFonts w:ascii="Times New Roman" w:hAnsi="Times New Roman" w:cs="Times New Roman"/>
          <w:sz w:val="24"/>
          <w:szCs w:val="24"/>
        </w:rPr>
        <w:t>Onland-Moret</w:t>
      </w:r>
      <w:proofErr w:type="spellEnd"/>
      <w:r w:rsidRPr="000E4FE6">
        <w:rPr>
          <w:rFonts w:ascii="Times New Roman" w:hAnsi="Times New Roman" w:cs="Times New Roman"/>
          <w:sz w:val="24"/>
          <w:szCs w:val="24"/>
        </w:rPr>
        <w:t>, N. C. (2009). Genetic variation in the hypothalamic pathways and its role on obesity.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10</w:t>
      </w:r>
      <w:r w:rsidRPr="000E4FE6">
        <w:rPr>
          <w:rFonts w:ascii="Times New Roman" w:hAnsi="Times New Roman" w:cs="Times New Roman"/>
          <w:sz w:val="24"/>
          <w:szCs w:val="24"/>
        </w:rPr>
        <w:t>(6), 593–609. https://doi.org/10.1111/j.1467-789X.2009.00597.x</w:t>
      </w:r>
    </w:p>
    <w:p w14:paraId="00000F0B"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Vandevijvere</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Lachat</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Kolsteren</w:t>
      </w:r>
      <w:proofErr w:type="spellEnd"/>
      <w:r w:rsidRPr="000E4FE6">
        <w:rPr>
          <w:rFonts w:ascii="Times New Roman" w:hAnsi="Times New Roman" w:cs="Times New Roman"/>
          <w:sz w:val="24"/>
          <w:szCs w:val="24"/>
        </w:rPr>
        <w:t>, P., and Van Oyen, H. (2009). Eating out of home in Belgium: current situation and policy implications.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102</w:t>
      </w:r>
      <w:r w:rsidRPr="000E4FE6">
        <w:rPr>
          <w:rFonts w:ascii="Times New Roman" w:hAnsi="Times New Roman" w:cs="Times New Roman"/>
          <w:sz w:val="24"/>
          <w:szCs w:val="24"/>
        </w:rPr>
        <w:t>(6), 921–928. https://doi.org/10.1017/S0007114509311745</w:t>
      </w:r>
    </w:p>
    <w:p w14:paraId="00000F0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Vanhelst</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Fardy</w:t>
      </w:r>
      <w:proofErr w:type="spellEnd"/>
      <w:r w:rsidRPr="000E4FE6">
        <w:rPr>
          <w:rFonts w:ascii="Times New Roman" w:hAnsi="Times New Roman" w:cs="Times New Roman"/>
          <w:sz w:val="24"/>
          <w:szCs w:val="24"/>
        </w:rPr>
        <w:t xml:space="preserve">, P. S., Duhamel, A., and </w:t>
      </w:r>
      <w:proofErr w:type="spellStart"/>
      <w:r w:rsidRPr="000E4FE6">
        <w:rPr>
          <w:rFonts w:ascii="Times New Roman" w:hAnsi="Times New Roman" w:cs="Times New Roman"/>
          <w:sz w:val="24"/>
          <w:szCs w:val="24"/>
        </w:rPr>
        <w:t>Béghin</w:t>
      </w:r>
      <w:proofErr w:type="spellEnd"/>
      <w:r w:rsidRPr="000E4FE6">
        <w:rPr>
          <w:rFonts w:ascii="Times New Roman" w:hAnsi="Times New Roman" w:cs="Times New Roman"/>
          <w:sz w:val="24"/>
          <w:szCs w:val="24"/>
        </w:rPr>
        <w:t>, L. (2014). How many days of accelerometer monitoring predict weekly physical activity behaviour in obese youth? </w:t>
      </w:r>
      <w:r w:rsidRPr="000E4FE6">
        <w:rPr>
          <w:rFonts w:ascii="Times New Roman" w:hAnsi="Times New Roman" w:cs="Times New Roman"/>
          <w:i/>
          <w:sz w:val="24"/>
          <w:szCs w:val="24"/>
        </w:rPr>
        <w:t>Clinical Physiology and Functional Imaging</w:t>
      </w:r>
      <w:r w:rsidRPr="000E4FE6">
        <w:rPr>
          <w:rFonts w:ascii="Times New Roman" w:hAnsi="Times New Roman" w:cs="Times New Roman"/>
          <w:sz w:val="24"/>
          <w:szCs w:val="24"/>
        </w:rPr>
        <w:t>, </w:t>
      </w:r>
      <w:r w:rsidRPr="000E4FE6">
        <w:rPr>
          <w:rFonts w:ascii="Times New Roman" w:hAnsi="Times New Roman" w:cs="Times New Roman"/>
          <w:i/>
          <w:sz w:val="24"/>
          <w:szCs w:val="24"/>
        </w:rPr>
        <w:t>34</w:t>
      </w:r>
      <w:r w:rsidRPr="000E4FE6">
        <w:rPr>
          <w:rFonts w:ascii="Times New Roman" w:hAnsi="Times New Roman" w:cs="Times New Roman"/>
          <w:sz w:val="24"/>
          <w:szCs w:val="24"/>
        </w:rPr>
        <w:t>(5), 384–388. https://doi.org/10.1111/cpf.12109</w:t>
      </w:r>
    </w:p>
    <w:p w14:paraId="00000F0D"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Vanhelst</w:t>
      </w:r>
      <w:proofErr w:type="spellEnd"/>
      <w:r w:rsidRPr="000E4FE6">
        <w:rPr>
          <w:rFonts w:ascii="Times New Roman" w:hAnsi="Times New Roman" w:cs="Times New Roman"/>
          <w:sz w:val="24"/>
          <w:szCs w:val="24"/>
        </w:rPr>
        <w:t xml:space="preserve">, J., </w:t>
      </w:r>
      <w:proofErr w:type="spellStart"/>
      <w:r w:rsidRPr="000E4FE6">
        <w:rPr>
          <w:rFonts w:ascii="Times New Roman" w:hAnsi="Times New Roman" w:cs="Times New Roman"/>
          <w:sz w:val="24"/>
          <w:szCs w:val="24"/>
        </w:rPr>
        <w:t>Mikulovic</w:t>
      </w:r>
      <w:proofErr w:type="spellEnd"/>
      <w:r w:rsidRPr="000E4FE6">
        <w:rPr>
          <w:rFonts w:ascii="Times New Roman" w:hAnsi="Times New Roman" w:cs="Times New Roman"/>
          <w:sz w:val="24"/>
          <w:szCs w:val="24"/>
        </w:rPr>
        <w:t xml:space="preserve">, J., Bui-Xuan, G., Dieu, O., </w:t>
      </w:r>
      <w:proofErr w:type="spellStart"/>
      <w:r w:rsidRPr="000E4FE6">
        <w:rPr>
          <w:rFonts w:ascii="Times New Roman" w:hAnsi="Times New Roman" w:cs="Times New Roman"/>
          <w:sz w:val="24"/>
          <w:szCs w:val="24"/>
        </w:rPr>
        <w:t>Blondeau</w:t>
      </w:r>
      <w:proofErr w:type="spellEnd"/>
      <w:r w:rsidRPr="000E4FE6">
        <w:rPr>
          <w:rFonts w:ascii="Times New Roman" w:hAnsi="Times New Roman" w:cs="Times New Roman"/>
          <w:sz w:val="24"/>
          <w:szCs w:val="24"/>
        </w:rPr>
        <w:t xml:space="preserve">, T., </w:t>
      </w:r>
      <w:proofErr w:type="spellStart"/>
      <w:r w:rsidRPr="000E4FE6">
        <w:rPr>
          <w:rFonts w:ascii="Times New Roman" w:hAnsi="Times New Roman" w:cs="Times New Roman"/>
          <w:sz w:val="24"/>
          <w:szCs w:val="24"/>
        </w:rPr>
        <w:t>Fardy</w:t>
      </w:r>
      <w:proofErr w:type="spellEnd"/>
      <w:r w:rsidRPr="000E4FE6">
        <w:rPr>
          <w:rFonts w:ascii="Times New Roman" w:hAnsi="Times New Roman" w:cs="Times New Roman"/>
          <w:sz w:val="24"/>
          <w:szCs w:val="24"/>
        </w:rPr>
        <w:t xml:space="preserve">, P., and </w:t>
      </w:r>
      <w:proofErr w:type="spellStart"/>
      <w:r w:rsidRPr="000E4FE6">
        <w:rPr>
          <w:rFonts w:ascii="Times New Roman" w:hAnsi="Times New Roman" w:cs="Times New Roman"/>
          <w:sz w:val="24"/>
          <w:szCs w:val="24"/>
        </w:rPr>
        <w:t>Béghin</w:t>
      </w:r>
      <w:proofErr w:type="spellEnd"/>
      <w:r w:rsidRPr="000E4FE6">
        <w:rPr>
          <w:rFonts w:ascii="Times New Roman" w:hAnsi="Times New Roman" w:cs="Times New Roman"/>
          <w:sz w:val="24"/>
          <w:szCs w:val="24"/>
        </w:rPr>
        <w:t xml:space="preserve">, L. (2012). Comparison of two </w:t>
      </w:r>
      <w:proofErr w:type="spellStart"/>
      <w:r w:rsidRPr="000E4FE6">
        <w:rPr>
          <w:rFonts w:ascii="Times New Roman" w:hAnsi="Times New Roman" w:cs="Times New Roman"/>
          <w:sz w:val="24"/>
          <w:szCs w:val="24"/>
        </w:rPr>
        <w:t>ActiGraph</w:t>
      </w:r>
      <w:proofErr w:type="spellEnd"/>
      <w:r w:rsidRPr="000E4FE6">
        <w:rPr>
          <w:rFonts w:ascii="Times New Roman" w:hAnsi="Times New Roman" w:cs="Times New Roman"/>
          <w:sz w:val="24"/>
          <w:szCs w:val="24"/>
        </w:rPr>
        <w:t xml:space="preserve"> accelerometer generations in the assessment of physical activity in free living conditions. </w:t>
      </w:r>
      <w:r w:rsidRPr="000E4FE6">
        <w:rPr>
          <w:rFonts w:ascii="Times New Roman" w:hAnsi="Times New Roman" w:cs="Times New Roman"/>
          <w:i/>
          <w:sz w:val="24"/>
          <w:szCs w:val="24"/>
        </w:rPr>
        <w:t>BMC Research Notes</w:t>
      </w:r>
      <w:r w:rsidRPr="000E4FE6">
        <w:rPr>
          <w:rFonts w:ascii="Times New Roman" w:hAnsi="Times New Roman" w:cs="Times New Roman"/>
          <w:sz w:val="24"/>
          <w:szCs w:val="24"/>
        </w:rPr>
        <w:t>, </w:t>
      </w:r>
      <w:r w:rsidRPr="000E4FE6">
        <w:rPr>
          <w:rFonts w:ascii="Times New Roman" w:hAnsi="Times New Roman" w:cs="Times New Roman"/>
          <w:i/>
          <w:sz w:val="24"/>
          <w:szCs w:val="24"/>
        </w:rPr>
        <w:t>5</w:t>
      </w:r>
      <w:r w:rsidRPr="000E4FE6">
        <w:rPr>
          <w:rFonts w:ascii="Times New Roman" w:hAnsi="Times New Roman" w:cs="Times New Roman"/>
          <w:sz w:val="24"/>
          <w:szCs w:val="24"/>
        </w:rPr>
        <w:t>(1), 187. https://doi.org/10.1186/1756-0500-5-187</w:t>
      </w:r>
    </w:p>
    <w:p w14:paraId="00000F0E"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Varady</w:t>
      </w:r>
      <w:proofErr w:type="spellEnd"/>
      <w:r w:rsidRPr="000E4FE6">
        <w:rPr>
          <w:rFonts w:ascii="Times New Roman" w:hAnsi="Times New Roman" w:cs="Times New Roman"/>
          <w:sz w:val="24"/>
          <w:szCs w:val="24"/>
        </w:rPr>
        <w:t>, K. A. (2016). Meal frequency and timing: impact on metabolic disease risk. </w:t>
      </w:r>
      <w:r w:rsidRPr="000E4FE6">
        <w:rPr>
          <w:rFonts w:ascii="Times New Roman" w:hAnsi="Times New Roman" w:cs="Times New Roman"/>
          <w:i/>
          <w:sz w:val="24"/>
          <w:szCs w:val="24"/>
        </w:rPr>
        <w:t>Current Opinion in Endocrinology, Diabetes, and Obesity</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(5), 379–383. https://doi.org/10.1097/MED.0000000000000280</w:t>
      </w:r>
    </w:p>
    <w:p w14:paraId="00000F0F"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lang w:val="es-ES_tradnl"/>
        </w:rPr>
        <w:t xml:space="preserve">Vera, B., </w:t>
      </w:r>
      <w:proofErr w:type="spellStart"/>
      <w:r w:rsidRPr="000E4FE6">
        <w:rPr>
          <w:rFonts w:ascii="Times New Roman" w:hAnsi="Times New Roman" w:cs="Times New Roman"/>
          <w:sz w:val="24"/>
          <w:szCs w:val="24"/>
          <w:lang w:val="es-ES_tradnl"/>
        </w:rPr>
        <w:t>Dashti</w:t>
      </w:r>
      <w:proofErr w:type="spellEnd"/>
      <w:r w:rsidRPr="000E4FE6">
        <w:rPr>
          <w:rFonts w:ascii="Times New Roman" w:hAnsi="Times New Roman" w:cs="Times New Roman"/>
          <w:sz w:val="24"/>
          <w:szCs w:val="24"/>
          <w:lang w:val="es-ES_tradnl"/>
        </w:rPr>
        <w:t xml:space="preserve">, H. S., Gómez-Abellán, P., Hernández-Martínez, A. M., Esteban, A., Scheer, F. A. J. L., … </w:t>
      </w:r>
      <w:proofErr w:type="spellStart"/>
      <w:r w:rsidRPr="000E4FE6">
        <w:rPr>
          <w:rFonts w:ascii="Times New Roman" w:hAnsi="Times New Roman" w:cs="Times New Roman"/>
          <w:sz w:val="24"/>
          <w:szCs w:val="24"/>
        </w:rPr>
        <w:t>Garaulet</w:t>
      </w:r>
      <w:proofErr w:type="spellEnd"/>
      <w:r w:rsidRPr="000E4FE6">
        <w:rPr>
          <w:rFonts w:ascii="Times New Roman" w:hAnsi="Times New Roman" w:cs="Times New Roman"/>
          <w:sz w:val="24"/>
          <w:szCs w:val="24"/>
        </w:rPr>
        <w:t xml:space="preserve">, M. (2018). Modifiable lifestyle </w:t>
      </w:r>
      <w:proofErr w:type="spellStart"/>
      <w:r w:rsidRPr="000E4FE6">
        <w:rPr>
          <w:rFonts w:ascii="Times New Roman" w:hAnsi="Times New Roman" w:cs="Times New Roman"/>
          <w:sz w:val="24"/>
          <w:szCs w:val="24"/>
        </w:rPr>
        <w:t>behaviors</w:t>
      </w:r>
      <w:proofErr w:type="spellEnd"/>
      <w:r w:rsidRPr="000E4FE6">
        <w:rPr>
          <w:rFonts w:ascii="Times New Roman" w:hAnsi="Times New Roman" w:cs="Times New Roman"/>
          <w:sz w:val="24"/>
          <w:szCs w:val="24"/>
        </w:rPr>
        <w:t>, but not a genetic risk score, associate with metabolic syndrome in evening chronotypes. </w:t>
      </w:r>
      <w:r w:rsidRPr="000E4FE6">
        <w:rPr>
          <w:rFonts w:ascii="Times New Roman" w:hAnsi="Times New Roman" w:cs="Times New Roman"/>
          <w:i/>
          <w:sz w:val="24"/>
          <w:szCs w:val="24"/>
        </w:rPr>
        <w:t>Scientific Reports</w:t>
      </w:r>
      <w:r w:rsidRPr="000E4FE6">
        <w:rPr>
          <w:rFonts w:ascii="Times New Roman" w:hAnsi="Times New Roman" w:cs="Times New Roman"/>
          <w:sz w:val="24"/>
          <w:szCs w:val="24"/>
        </w:rPr>
        <w:t>, </w:t>
      </w:r>
      <w:r w:rsidRPr="000E4FE6">
        <w:rPr>
          <w:rFonts w:ascii="Times New Roman" w:hAnsi="Times New Roman" w:cs="Times New Roman"/>
          <w:i/>
          <w:sz w:val="24"/>
          <w:szCs w:val="24"/>
        </w:rPr>
        <w:t>8</w:t>
      </w:r>
      <w:r w:rsidRPr="000E4FE6">
        <w:rPr>
          <w:rFonts w:ascii="Times New Roman" w:hAnsi="Times New Roman" w:cs="Times New Roman"/>
          <w:sz w:val="24"/>
          <w:szCs w:val="24"/>
        </w:rPr>
        <w:t>(1), 945. https://doi.org/10.1038/s41598-017-18268-z</w:t>
      </w:r>
    </w:p>
    <w:p w14:paraId="00000F1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Verhoef, M. J., and </w:t>
      </w:r>
      <w:proofErr w:type="spellStart"/>
      <w:r w:rsidRPr="000E4FE6">
        <w:rPr>
          <w:rFonts w:ascii="Times New Roman" w:hAnsi="Times New Roman" w:cs="Times New Roman"/>
          <w:sz w:val="24"/>
          <w:szCs w:val="24"/>
        </w:rPr>
        <w:t>Casebeer</w:t>
      </w:r>
      <w:proofErr w:type="spellEnd"/>
      <w:r w:rsidRPr="000E4FE6">
        <w:rPr>
          <w:rFonts w:ascii="Times New Roman" w:hAnsi="Times New Roman" w:cs="Times New Roman"/>
          <w:sz w:val="24"/>
          <w:szCs w:val="24"/>
        </w:rPr>
        <w:t>, A. L. (1997). Broadening horizons: Integrating quantitative and qualitative research. </w:t>
      </w:r>
      <w:r w:rsidRPr="000E4FE6">
        <w:rPr>
          <w:rFonts w:ascii="Times New Roman" w:hAnsi="Times New Roman" w:cs="Times New Roman"/>
          <w:i/>
          <w:sz w:val="24"/>
          <w:szCs w:val="24"/>
        </w:rPr>
        <w:t xml:space="preserve">The Canadian Journal of Infectious Diseases = Journal </w:t>
      </w:r>
      <w:proofErr w:type="spellStart"/>
      <w:r w:rsidRPr="000E4FE6">
        <w:rPr>
          <w:rFonts w:ascii="Times New Roman" w:hAnsi="Times New Roman" w:cs="Times New Roman"/>
          <w:i/>
          <w:sz w:val="24"/>
          <w:szCs w:val="24"/>
        </w:rPr>
        <w:t>Canadien</w:t>
      </w:r>
      <w:proofErr w:type="spellEnd"/>
      <w:r w:rsidRPr="000E4FE6">
        <w:rPr>
          <w:rFonts w:ascii="Times New Roman" w:hAnsi="Times New Roman" w:cs="Times New Roman"/>
          <w:i/>
          <w:sz w:val="24"/>
          <w:szCs w:val="24"/>
        </w:rPr>
        <w:t xml:space="preserve"> </w:t>
      </w:r>
      <w:proofErr w:type="gramStart"/>
      <w:r w:rsidRPr="000E4FE6">
        <w:rPr>
          <w:rFonts w:ascii="Times New Roman" w:hAnsi="Times New Roman" w:cs="Times New Roman"/>
          <w:i/>
          <w:sz w:val="24"/>
          <w:szCs w:val="24"/>
        </w:rPr>
        <w:t>Des</w:t>
      </w:r>
      <w:proofErr w:type="gramEnd"/>
      <w:r w:rsidRPr="000E4FE6">
        <w:rPr>
          <w:rFonts w:ascii="Times New Roman" w:hAnsi="Times New Roman" w:cs="Times New Roman"/>
          <w:i/>
          <w:sz w:val="24"/>
          <w:szCs w:val="24"/>
        </w:rPr>
        <w:t xml:space="preserve"> Maladies </w:t>
      </w:r>
      <w:proofErr w:type="spellStart"/>
      <w:r w:rsidRPr="000E4FE6">
        <w:rPr>
          <w:rFonts w:ascii="Times New Roman" w:hAnsi="Times New Roman" w:cs="Times New Roman"/>
          <w:i/>
          <w:sz w:val="24"/>
          <w:szCs w:val="24"/>
        </w:rPr>
        <w:t>Infectieuses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8</w:t>
      </w:r>
      <w:r w:rsidRPr="000E4FE6">
        <w:rPr>
          <w:rFonts w:ascii="Times New Roman" w:hAnsi="Times New Roman" w:cs="Times New Roman"/>
          <w:sz w:val="24"/>
          <w:szCs w:val="24"/>
        </w:rPr>
        <w:t>(2), 65–66. https://doi.org/10.1155/1997/349145</w:t>
      </w:r>
    </w:p>
    <w:p w14:paraId="00000F1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Verzijl</w:t>
      </w:r>
      <w:proofErr w:type="spellEnd"/>
      <w:r w:rsidRPr="000E4FE6">
        <w:rPr>
          <w:rFonts w:ascii="Times New Roman" w:hAnsi="Times New Roman" w:cs="Times New Roman"/>
          <w:sz w:val="24"/>
          <w:szCs w:val="24"/>
        </w:rPr>
        <w:t xml:space="preserve">, C. L., </w:t>
      </w:r>
      <w:proofErr w:type="spellStart"/>
      <w:r w:rsidRPr="000E4FE6">
        <w:rPr>
          <w:rFonts w:ascii="Times New Roman" w:hAnsi="Times New Roman" w:cs="Times New Roman"/>
          <w:sz w:val="24"/>
          <w:szCs w:val="24"/>
        </w:rPr>
        <w:t>Ahlich</w:t>
      </w:r>
      <w:proofErr w:type="spellEnd"/>
      <w:r w:rsidRPr="000E4FE6">
        <w:rPr>
          <w:rFonts w:ascii="Times New Roman" w:hAnsi="Times New Roman" w:cs="Times New Roman"/>
          <w:sz w:val="24"/>
          <w:szCs w:val="24"/>
        </w:rPr>
        <w:t xml:space="preserve">, E., </w:t>
      </w:r>
      <w:proofErr w:type="spellStart"/>
      <w:r w:rsidRPr="000E4FE6">
        <w:rPr>
          <w:rFonts w:ascii="Times New Roman" w:hAnsi="Times New Roman" w:cs="Times New Roman"/>
          <w:sz w:val="24"/>
          <w:szCs w:val="24"/>
        </w:rPr>
        <w:t>Schlauch</w:t>
      </w:r>
      <w:proofErr w:type="spellEnd"/>
      <w:r w:rsidRPr="000E4FE6">
        <w:rPr>
          <w:rFonts w:ascii="Times New Roman" w:hAnsi="Times New Roman" w:cs="Times New Roman"/>
          <w:sz w:val="24"/>
          <w:szCs w:val="24"/>
        </w:rPr>
        <w:t xml:space="preserve">, R. C., and </w:t>
      </w:r>
      <w:proofErr w:type="spellStart"/>
      <w:r w:rsidRPr="000E4FE6">
        <w:rPr>
          <w:rFonts w:ascii="Times New Roman" w:hAnsi="Times New Roman" w:cs="Times New Roman"/>
          <w:sz w:val="24"/>
          <w:szCs w:val="24"/>
        </w:rPr>
        <w:t>Rancourt</w:t>
      </w:r>
      <w:proofErr w:type="spellEnd"/>
      <w:r w:rsidRPr="000E4FE6">
        <w:rPr>
          <w:rFonts w:ascii="Times New Roman" w:hAnsi="Times New Roman" w:cs="Times New Roman"/>
          <w:sz w:val="24"/>
          <w:szCs w:val="24"/>
        </w:rPr>
        <w:t>, D. (2018). The role of craving in emotional and uncontrolled eating.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123</w:t>
      </w:r>
      <w:r w:rsidRPr="000E4FE6">
        <w:rPr>
          <w:rFonts w:ascii="Times New Roman" w:hAnsi="Times New Roman" w:cs="Times New Roman"/>
          <w:sz w:val="24"/>
          <w:szCs w:val="24"/>
        </w:rPr>
        <w:t>, 146–151. https://doi.org/10.1016/j.appet.2017.12.014</w:t>
      </w:r>
    </w:p>
    <w:p w14:paraId="00000F1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Vetter, Céline, Devore, E. E., </w:t>
      </w:r>
      <w:proofErr w:type="spellStart"/>
      <w:r w:rsidRPr="000E4FE6">
        <w:rPr>
          <w:rFonts w:ascii="Times New Roman" w:hAnsi="Times New Roman" w:cs="Times New Roman"/>
          <w:sz w:val="24"/>
          <w:szCs w:val="24"/>
        </w:rPr>
        <w:t>Wegrzyn</w:t>
      </w:r>
      <w:proofErr w:type="spellEnd"/>
      <w:r w:rsidRPr="000E4FE6">
        <w:rPr>
          <w:rFonts w:ascii="Times New Roman" w:hAnsi="Times New Roman" w:cs="Times New Roman"/>
          <w:sz w:val="24"/>
          <w:szCs w:val="24"/>
        </w:rPr>
        <w:t xml:space="preserve">, L. R., Massa, J., </w:t>
      </w:r>
      <w:proofErr w:type="spellStart"/>
      <w:r w:rsidRPr="000E4FE6">
        <w:rPr>
          <w:rFonts w:ascii="Times New Roman" w:hAnsi="Times New Roman" w:cs="Times New Roman"/>
          <w:sz w:val="24"/>
          <w:szCs w:val="24"/>
        </w:rPr>
        <w:t>Speizer</w:t>
      </w:r>
      <w:proofErr w:type="spellEnd"/>
      <w:r w:rsidRPr="000E4FE6">
        <w:rPr>
          <w:rFonts w:ascii="Times New Roman" w:hAnsi="Times New Roman" w:cs="Times New Roman"/>
          <w:sz w:val="24"/>
          <w:szCs w:val="24"/>
        </w:rPr>
        <w:t xml:space="preserve">, F. E., </w:t>
      </w:r>
      <w:proofErr w:type="spellStart"/>
      <w:r w:rsidRPr="000E4FE6">
        <w:rPr>
          <w:rFonts w:ascii="Times New Roman" w:hAnsi="Times New Roman" w:cs="Times New Roman"/>
          <w:sz w:val="24"/>
          <w:szCs w:val="24"/>
        </w:rPr>
        <w:t>Kawachi</w:t>
      </w:r>
      <w:proofErr w:type="spellEnd"/>
      <w:r w:rsidRPr="000E4FE6">
        <w:rPr>
          <w:rFonts w:ascii="Times New Roman" w:hAnsi="Times New Roman" w:cs="Times New Roman"/>
          <w:sz w:val="24"/>
          <w:szCs w:val="24"/>
        </w:rPr>
        <w:t xml:space="preserve">, I., … </w:t>
      </w:r>
      <w:proofErr w:type="spellStart"/>
      <w:r w:rsidRPr="000E4FE6">
        <w:rPr>
          <w:rFonts w:ascii="Times New Roman" w:hAnsi="Times New Roman" w:cs="Times New Roman"/>
          <w:sz w:val="24"/>
          <w:szCs w:val="24"/>
        </w:rPr>
        <w:t>Schernhammer</w:t>
      </w:r>
      <w:proofErr w:type="spellEnd"/>
      <w:r w:rsidRPr="000E4FE6">
        <w:rPr>
          <w:rFonts w:ascii="Times New Roman" w:hAnsi="Times New Roman" w:cs="Times New Roman"/>
          <w:sz w:val="24"/>
          <w:szCs w:val="24"/>
        </w:rPr>
        <w:t>, E. S. (2016). Association between rotating night shift work and risk of coronary heart disease among women. </w:t>
      </w:r>
      <w:r w:rsidRPr="000E4FE6">
        <w:rPr>
          <w:rFonts w:ascii="Times New Roman" w:hAnsi="Times New Roman" w:cs="Times New Roman"/>
          <w:i/>
          <w:sz w:val="24"/>
          <w:szCs w:val="24"/>
        </w:rPr>
        <w:t>The Journal of the American Medical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315</w:t>
      </w:r>
      <w:r w:rsidRPr="000E4FE6">
        <w:rPr>
          <w:rFonts w:ascii="Times New Roman" w:hAnsi="Times New Roman" w:cs="Times New Roman"/>
          <w:sz w:val="24"/>
          <w:szCs w:val="24"/>
        </w:rPr>
        <w:t>(16), 1726–1734. https://doi.org/10.1001/jama.2016.4454</w:t>
      </w:r>
    </w:p>
    <w:p w14:paraId="00000F1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Vetter, Celine, and Scheer, F. A. J. L. (2017). Circadian Biology: Uncoupling Human Body Clocks by Food Timing. </w:t>
      </w:r>
      <w:r w:rsidRPr="000E4FE6">
        <w:rPr>
          <w:rFonts w:ascii="Times New Roman" w:hAnsi="Times New Roman" w:cs="Times New Roman"/>
          <w:i/>
          <w:sz w:val="24"/>
          <w:szCs w:val="24"/>
        </w:rPr>
        <w:t>Current Biology</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(13), R656–R658. https://doi.org/10.1016/j.cub.2017.05.057</w:t>
      </w:r>
    </w:p>
    <w:p w14:paraId="00000F1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Virudachalam</w:t>
      </w:r>
      <w:proofErr w:type="spellEnd"/>
      <w:r w:rsidRPr="000E4FE6">
        <w:rPr>
          <w:rFonts w:ascii="Times New Roman" w:hAnsi="Times New Roman" w:cs="Times New Roman"/>
          <w:sz w:val="24"/>
          <w:szCs w:val="24"/>
        </w:rPr>
        <w:t xml:space="preserve">, S., Chung, P. J., </w:t>
      </w:r>
      <w:proofErr w:type="spellStart"/>
      <w:r w:rsidRPr="000E4FE6">
        <w:rPr>
          <w:rFonts w:ascii="Times New Roman" w:hAnsi="Times New Roman" w:cs="Times New Roman"/>
          <w:sz w:val="24"/>
          <w:szCs w:val="24"/>
        </w:rPr>
        <w:t>Faerber</w:t>
      </w:r>
      <w:proofErr w:type="spellEnd"/>
      <w:r w:rsidRPr="000E4FE6">
        <w:rPr>
          <w:rFonts w:ascii="Times New Roman" w:hAnsi="Times New Roman" w:cs="Times New Roman"/>
          <w:sz w:val="24"/>
          <w:szCs w:val="24"/>
        </w:rPr>
        <w:t xml:space="preserve">, J. A., Pian, T. M., Thomas, K., and </w:t>
      </w:r>
      <w:proofErr w:type="spellStart"/>
      <w:r w:rsidRPr="000E4FE6">
        <w:rPr>
          <w:rFonts w:ascii="Times New Roman" w:hAnsi="Times New Roman" w:cs="Times New Roman"/>
          <w:sz w:val="24"/>
          <w:szCs w:val="24"/>
        </w:rPr>
        <w:t>Feudtner</w:t>
      </w:r>
      <w:proofErr w:type="spellEnd"/>
      <w:r w:rsidRPr="000E4FE6">
        <w:rPr>
          <w:rFonts w:ascii="Times New Roman" w:hAnsi="Times New Roman" w:cs="Times New Roman"/>
          <w:sz w:val="24"/>
          <w:szCs w:val="24"/>
        </w:rPr>
        <w:t>, C. (2016). Quantifying parental preferences for interventions designed to improve home food preparation and home food environments during early childhood.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98</w:t>
      </w:r>
      <w:r w:rsidRPr="000E4FE6">
        <w:rPr>
          <w:rFonts w:ascii="Times New Roman" w:hAnsi="Times New Roman" w:cs="Times New Roman"/>
          <w:sz w:val="24"/>
          <w:szCs w:val="24"/>
        </w:rPr>
        <w:t>, 115–124. https://doi.org/10.1016/j.appet.2015.11.007</w:t>
      </w:r>
    </w:p>
    <w:p w14:paraId="00000F1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Volkow, N. D., Wang, G.-J., Fowler, J. S., </w:t>
      </w:r>
      <w:proofErr w:type="spellStart"/>
      <w:r w:rsidRPr="000E4FE6">
        <w:rPr>
          <w:rFonts w:ascii="Times New Roman" w:hAnsi="Times New Roman" w:cs="Times New Roman"/>
          <w:sz w:val="24"/>
          <w:szCs w:val="24"/>
        </w:rPr>
        <w:t>Tomasi</w:t>
      </w:r>
      <w:proofErr w:type="spellEnd"/>
      <w:r w:rsidRPr="000E4FE6">
        <w:rPr>
          <w:rFonts w:ascii="Times New Roman" w:hAnsi="Times New Roman" w:cs="Times New Roman"/>
          <w:sz w:val="24"/>
          <w:szCs w:val="24"/>
        </w:rPr>
        <w:t xml:space="preserve">, D., and </w:t>
      </w:r>
      <w:proofErr w:type="spellStart"/>
      <w:r w:rsidRPr="000E4FE6">
        <w:rPr>
          <w:rFonts w:ascii="Times New Roman" w:hAnsi="Times New Roman" w:cs="Times New Roman"/>
          <w:sz w:val="24"/>
          <w:szCs w:val="24"/>
        </w:rPr>
        <w:t>Telang</w:t>
      </w:r>
      <w:proofErr w:type="spellEnd"/>
      <w:r w:rsidRPr="000E4FE6">
        <w:rPr>
          <w:rFonts w:ascii="Times New Roman" w:hAnsi="Times New Roman" w:cs="Times New Roman"/>
          <w:sz w:val="24"/>
          <w:szCs w:val="24"/>
        </w:rPr>
        <w:t>, F. (2011). Addiction: beyond dopamine reward circuitry. </w:t>
      </w:r>
      <w:r w:rsidRPr="000E4FE6">
        <w:rPr>
          <w:rFonts w:ascii="Times New Roman" w:hAnsi="Times New Roman" w:cs="Times New Roman"/>
          <w:i/>
          <w:sz w:val="24"/>
          <w:szCs w:val="24"/>
        </w:rPr>
        <w:t>Proceedings of the National Academy of Sciences of the United States of America</w:t>
      </w:r>
      <w:r w:rsidRPr="000E4FE6">
        <w:rPr>
          <w:rFonts w:ascii="Times New Roman" w:hAnsi="Times New Roman" w:cs="Times New Roman"/>
          <w:sz w:val="24"/>
          <w:szCs w:val="24"/>
        </w:rPr>
        <w:t>, </w:t>
      </w:r>
      <w:r w:rsidRPr="000E4FE6">
        <w:rPr>
          <w:rFonts w:ascii="Times New Roman" w:hAnsi="Times New Roman" w:cs="Times New Roman"/>
          <w:i/>
          <w:sz w:val="24"/>
          <w:szCs w:val="24"/>
        </w:rPr>
        <w:t>108</w:t>
      </w:r>
      <w:r w:rsidRPr="000E4FE6">
        <w:rPr>
          <w:rFonts w:ascii="Times New Roman" w:hAnsi="Times New Roman" w:cs="Times New Roman"/>
          <w:sz w:val="24"/>
          <w:szCs w:val="24"/>
        </w:rPr>
        <w:t>(37), 15037–15042. https://doi.org/10.1073/pnas.1010654108</w:t>
      </w:r>
    </w:p>
    <w:p w14:paraId="00000F1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Vujović</w:t>
      </w:r>
      <w:proofErr w:type="spellEnd"/>
      <w:r w:rsidRPr="000E4FE6">
        <w:rPr>
          <w:rFonts w:ascii="Times New Roman" w:hAnsi="Times New Roman" w:cs="Times New Roman"/>
          <w:sz w:val="24"/>
          <w:szCs w:val="24"/>
        </w:rPr>
        <w:t xml:space="preserve">, N., </w:t>
      </w:r>
      <w:proofErr w:type="spellStart"/>
      <w:r w:rsidRPr="000E4FE6">
        <w:rPr>
          <w:rFonts w:ascii="Times New Roman" w:hAnsi="Times New Roman" w:cs="Times New Roman"/>
          <w:sz w:val="24"/>
          <w:szCs w:val="24"/>
        </w:rPr>
        <w:t>Piron</w:t>
      </w:r>
      <w:proofErr w:type="spellEnd"/>
      <w:r w:rsidRPr="000E4FE6">
        <w:rPr>
          <w:rFonts w:ascii="Times New Roman" w:hAnsi="Times New Roman" w:cs="Times New Roman"/>
          <w:sz w:val="24"/>
          <w:szCs w:val="24"/>
        </w:rPr>
        <w:t xml:space="preserve">, M. J., Qian, J., </w:t>
      </w:r>
      <w:proofErr w:type="spellStart"/>
      <w:r w:rsidRPr="000E4FE6">
        <w:rPr>
          <w:rFonts w:ascii="Times New Roman" w:hAnsi="Times New Roman" w:cs="Times New Roman"/>
          <w:sz w:val="24"/>
          <w:szCs w:val="24"/>
        </w:rPr>
        <w:t>Chellappa</w:t>
      </w:r>
      <w:proofErr w:type="spellEnd"/>
      <w:r w:rsidRPr="000E4FE6">
        <w:rPr>
          <w:rFonts w:ascii="Times New Roman" w:hAnsi="Times New Roman" w:cs="Times New Roman"/>
          <w:sz w:val="24"/>
          <w:szCs w:val="24"/>
        </w:rPr>
        <w:t xml:space="preserve">, S. L., </w:t>
      </w:r>
      <w:proofErr w:type="spellStart"/>
      <w:r w:rsidRPr="000E4FE6">
        <w:rPr>
          <w:rFonts w:ascii="Times New Roman" w:hAnsi="Times New Roman" w:cs="Times New Roman"/>
          <w:sz w:val="24"/>
          <w:szCs w:val="24"/>
        </w:rPr>
        <w:t>Nedeltcheva</w:t>
      </w:r>
      <w:proofErr w:type="spellEnd"/>
      <w:r w:rsidRPr="000E4FE6">
        <w:rPr>
          <w:rFonts w:ascii="Times New Roman" w:hAnsi="Times New Roman" w:cs="Times New Roman"/>
          <w:sz w:val="24"/>
          <w:szCs w:val="24"/>
        </w:rPr>
        <w:t>, A., Barr, D., … Scheer, F. A. J. L. (2022). Late isocaloric eating increases hunger, decreases energy expenditure, and modifies metabolic pathways in adults with overweight and obesity. </w:t>
      </w:r>
      <w:r w:rsidRPr="000E4FE6">
        <w:rPr>
          <w:rFonts w:ascii="Times New Roman" w:hAnsi="Times New Roman" w:cs="Times New Roman"/>
          <w:i/>
          <w:sz w:val="24"/>
          <w:szCs w:val="24"/>
        </w:rPr>
        <w:t>Cell Metabolism</w:t>
      </w:r>
      <w:r w:rsidRPr="000E4FE6">
        <w:rPr>
          <w:rFonts w:ascii="Times New Roman" w:hAnsi="Times New Roman" w:cs="Times New Roman"/>
          <w:sz w:val="24"/>
          <w:szCs w:val="24"/>
        </w:rPr>
        <w:t>, </w:t>
      </w:r>
      <w:r w:rsidRPr="000E4FE6">
        <w:rPr>
          <w:rFonts w:ascii="Times New Roman" w:hAnsi="Times New Roman" w:cs="Times New Roman"/>
          <w:i/>
          <w:sz w:val="24"/>
          <w:szCs w:val="24"/>
        </w:rPr>
        <w:t>34</w:t>
      </w:r>
      <w:r w:rsidRPr="000E4FE6">
        <w:rPr>
          <w:rFonts w:ascii="Times New Roman" w:hAnsi="Times New Roman" w:cs="Times New Roman"/>
          <w:sz w:val="24"/>
          <w:szCs w:val="24"/>
        </w:rPr>
        <w:t>(10), 1486-1498.e7. https://doi.org/10.1016/j.cmet.2022.09.007</w:t>
      </w:r>
    </w:p>
    <w:p w14:paraId="00000F1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Wagenmakers</w:t>
      </w:r>
      <w:proofErr w:type="spellEnd"/>
      <w:r w:rsidRPr="000E4FE6">
        <w:rPr>
          <w:rFonts w:ascii="Times New Roman" w:hAnsi="Times New Roman" w:cs="Times New Roman"/>
          <w:sz w:val="24"/>
          <w:szCs w:val="24"/>
        </w:rPr>
        <w:t xml:space="preserve">, E.-J., </w:t>
      </w:r>
      <w:proofErr w:type="spellStart"/>
      <w:r w:rsidRPr="000E4FE6">
        <w:rPr>
          <w:rFonts w:ascii="Times New Roman" w:hAnsi="Times New Roman" w:cs="Times New Roman"/>
          <w:sz w:val="24"/>
          <w:szCs w:val="24"/>
        </w:rPr>
        <w:t>Wetzels</w:t>
      </w:r>
      <w:proofErr w:type="spellEnd"/>
      <w:r w:rsidRPr="000E4FE6">
        <w:rPr>
          <w:rFonts w:ascii="Times New Roman" w:hAnsi="Times New Roman" w:cs="Times New Roman"/>
          <w:sz w:val="24"/>
          <w:szCs w:val="24"/>
        </w:rPr>
        <w:t xml:space="preserve">, R., </w:t>
      </w:r>
      <w:proofErr w:type="spellStart"/>
      <w:r w:rsidRPr="000E4FE6">
        <w:rPr>
          <w:rFonts w:ascii="Times New Roman" w:hAnsi="Times New Roman" w:cs="Times New Roman"/>
          <w:sz w:val="24"/>
          <w:szCs w:val="24"/>
        </w:rPr>
        <w:t>Borsboom</w:t>
      </w:r>
      <w:proofErr w:type="spellEnd"/>
      <w:r w:rsidRPr="000E4FE6">
        <w:rPr>
          <w:rFonts w:ascii="Times New Roman" w:hAnsi="Times New Roman" w:cs="Times New Roman"/>
          <w:sz w:val="24"/>
          <w:szCs w:val="24"/>
        </w:rPr>
        <w:t xml:space="preserve">, D., van der Maas, H. L. J., and </w:t>
      </w:r>
      <w:proofErr w:type="spellStart"/>
      <w:r w:rsidRPr="000E4FE6">
        <w:rPr>
          <w:rFonts w:ascii="Times New Roman" w:hAnsi="Times New Roman" w:cs="Times New Roman"/>
          <w:sz w:val="24"/>
          <w:szCs w:val="24"/>
        </w:rPr>
        <w:t>Kievit</w:t>
      </w:r>
      <w:proofErr w:type="spellEnd"/>
      <w:r w:rsidRPr="000E4FE6">
        <w:rPr>
          <w:rFonts w:ascii="Times New Roman" w:hAnsi="Times New Roman" w:cs="Times New Roman"/>
          <w:sz w:val="24"/>
          <w:szCs w:val="24"/>
        </w:rPr>
        <w:t>, R. A. (2012). An Agenda for Purely Confirmatory Research. </w:t>
      </w:r>
      <w:r w:rsidRPr="000E4FE6">
        <w:rPr>
          <w:rFonts w:ascii="Times New Roman" w:hAnsi="Times New Roman" w:cs="Times New Roman"/>
          <w:i/>
          <w:sz w:val="24"/>
          <w:szCs w:val="24"/>
        </w:rPr>
        <w:t>Perspectives on Psychological Science</w:t>
      </w:r>
      <w:r w:rsidRPr="000E4FE6">
        <w:rPr>
          <w:rFonts w:ascii="Times New Roman" w:hAnsi="Times New Roman" w:cs="Times New Roman"/>
          <w:sz w:val="24"/>
          <w:szCs w:val="24"/>
        </w:rPr>
        <w:t>, </w:t>
      </w:r>
      <w:r w:rsidRPr="000E4FE6">
        <w:rPr>
          <w:rFonts w:ascii="Times New Roman" w:hAnsi="Times New Roman" w:cs="Times New Roman"/>
          <w:i/>
          <w:sz w:val="24"/>
          <w:szCs w:val="24"/>
        </w:rPr>
        <w:t>7</w:t>
      </w:r>
      <w:r w:rsidRPr="000E4FE6">
        <w:rPr>
          <w:rFonts w:ascii="Times New Roman" w:hAnsi="Times New Roman" w:cs="Times New Roman"/>
          <w:sz w:val="24"/>
          <w:szCs w:val="24"/>
        </w:rPr>
        <w:t>(6), 632–638. https://doi.org/10.1177/1745691612463078</w:t>
      </w:r>
    </w:p>
    <w:p w14:paraId="00000F1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Walker, R. J., Christopher, A. N., </w:t>
      </w:r>
      <w:proofErr w:type="spellStart"/>
      <w:r w:rsidRPr="000E4FE6">
        <w:rPr>
          <w:rFonts w:ascii="Times New Roman" w:hAnsi="Times New Roman" w:cs="Times New Roman"/>
          <w:sz w:val="24"/>
          <w:szCs w:val="24"/>
        </w:rPr>
        <w:t>Wieth</w:t>
      </w:r>
      <w:proofErr w:type="spellEnd"/>
      <w:r w:rsidRPr="000E4FE6">
        <w:rPr>
          <w:rFonts w:ascii="Times New Roman" w:hAnsi="Times New Roman" w:cs="Times New Roman"/>
          <w:sz w:val="24"/>
          <w:szCs w:val="24"/>
        </w:rPr>
        <w:t xml:space="preserve">, M. B., and Buchanan, J. (2015). Personality, time-of-day preference, and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The mediational role of morning-</w:t>
      </w:r>
      <w:proofErr w:type="spellStart"/>
      <w:r w:rsidRPr="000E4FE6">
        <w:rPr>
          <w:rFonts w:ascii="Times New Roman" w:hAnsi="Times New Roman" w:cs="Times New Roman"/>
          <w:sz w:val="24"/>
          <w:szCs w:val="24"/>
        </w:rPr>
        <w:lastRenderedPageBreak/>
        <w:t>eveningness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Personality and Individual Differences</w:t>
      </w:r>
      <w:r w:rsidRPr="000E4FE6">
        <w:rPr>
          <w:rFonts w:ascii="Times New Roman" w:hAnsi="Times New Roman" w:cs="Times New Roman"/>
          <w:sz w:val="24"/>
          <w:szCs w:val="24"/>
        </w:rPr>
        <w:t>, </w:t>
      </w:r>
      <w:r w:rsidRPr="000E4FE6">
        <w:rPr>
          <w:rFonts w:ascii="Times New Roman" w:hAnsi="Times New Roman" w:cs="Times New Roman"/>
          <w:i/>
          <w:sz w:val="24"/>
          <w:szCs w:val="24"/>
        </w:rPr>
        <w:t>77</w:t>
      </w:r>
      <w:r w:rsidRPr="000E4FE6">
        <w:rPr>
          <w:rFonts w:ascii="Times New Roman" w:hAnsi="Times New Roman" w:cs="Times New Roman"/>
          <w:sz w:val="24"/>
          <w:szCs w:val="24"/>
        </w:rPr>
        <w:t>, 13–17. https://doi.org/10.1016/j.paid.2014.12.026</w:t>
      </w:r>
    </w:p>
    <w:p w14:paraId="00000F1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Waller, S. M., Vander Wal, J. S., </w:t>
      </w:r>
      <w:proofErr w:type="spellStart"/>
      <w:r w:rsidRPr="000E4FE6">
        <w:rPr>
          <w:rFonts w:ascii="Times New Roman" w:hAnsi="Times New Roman" w:cs="Times New Roman"/>
          <w:sz w:val="24"/>
          <w:szCs w:val="24"/>
        </w:rPr>
        <w:t>Klurfeld</w:t>
      </w:r>
      <w:proofErr w:type="spellEnd"/>
      <w:r w:rsidRPr="000E4FE6">
        <w:rPr>
          <w:rFonts w:ascii="Times New Roman" w:hAnsi="Times New Roman" w:cs="Times New Roman"/>
          <w:sz w:val="24"/>
          <w:szCs w:val="24"/>
        </w:rPr>
        <w:t xml:space="preserve">, D. M., McBurney, M. I., Cho, S., </w:t>
      </w:r>
      <w:proofErr w:type="spellStart"/>
      <w:r w:rsidRPr="000E4FE6">
        <w:rPr>
          <w:rFonts w:ascii="Times New Roman" w:hAnsi="Times New Roman" w:cs="Times New Roman"/>
          <w:sz w:val="24"/>
          <w:szCs w:val="24"/>
        </w:rPr>
        <w:t>Bijlani</w:t>
      </w:r>
      <w:proofErr w:type="spellEnd"/>
      <w:r w:rsidRPr="000E4FE6">
        <w:rPr>
          <w:rFonts w:ascii="Times New Roman" w:hAnsi="Times New Roman" w:cs="Times New Roman"/>
          <w:sz w:val="24"/>
          <w:szCs w:val="24"/>
        </w:rPr>
        <w:t xml:space="preserve">, S., and </w:t>
      </w:r>
      <w:proofErr w:type="spellStart"/>
      <w:r w:rsidRPr="000E4FE6">
        <w:rPr>
          <w:rFonts w:ascii="Times New Roman" w:hAnsi="Times New Roman" w:cs="Times New Roman"/>
          <w:sz w:val="24"/>
          <w:szCs w:val="24"/>
        </w:rPr>
        <w:t>Dhurandhar</w:t>
      </w:r>
      <w:proofErr w:type="spellEnd"/>
      <w:r w:rsidRPr="000E4FE6">
        <w:rPr>
          <w:rFonts w:ascii="Times New Roman" w:hAnsi="Times New Roman" w:cs="Times New Roman"/>
          <w:sz w:val="24"/>
          <w:szCs w:val="24"/>
        </w:rPr>
        <w:t>, N. V. (2004). Evening ready-to-eat cereal consumption contributes to weight management. </w:t>
      </w:r>
      <w:r w:rsidRPr="000E4FE6">
        <w:rPr>
          <w:rFonts w:ascii="Times New Roman" w:hAnsi="Times New Roman" w:cs="Times New Roman"/>
          <w:i/>
          <w:sz w:val="24"/>
          <w:szCs w:val="24"/>
        </w:rPr>
        <w:t>Journal of the American College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(4), 316–321.</w:t>
      </w:r>
    </w:p>
    <w:p w14:paraId="00000F1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Wang, J. B., Patterson, R. E., Ang, A., Emond, J. A., Shetty, N., and Arab, L. (2014). Timing of energy intake during the day is associated with the risk of obesity in adults. </w:t>
      </w:r>
      <w:r w:rsidRPr="000E4FE6">
        <w:rPr>
          <w:rFonts w:ascii="Times New Roman" w:hAnsi="Times New Roman" w:cs="Times New Roman"/>
          <w:i/>
          <w:sz w:val="24"/>
          <w:szCs w:val="24"/>
        </w:rPr>
        <w:t xml:space="preserve">Journal of Human Nutrition and </w:t>
      </w:r>
      <w:proofErr w:type="gramStart"/>
      <w:r w:rsidRPr="000E4FE6">
        <w:rPr>
          <w:rFonts w:ascii="Times New Roman" w:hAnsi="Times New Roman" w:cs="Times New Roman"/>
          <w:i/>
          <w:sz w:val="24"/>
          <w:szCs w:val="24"/>
        </w:rPr>
        <w:t>Dietetics :</w:t>
      </w:r>
      <w:proofErr w:type="gramEnd"/>
      <w:r w:rsidRPr="000E4FE6">
        <w:rPr>
          <w:rFonts w:ascii="Times New Roman" w:hAnsi="Times New Roman" w:cs="Times New Roman"/>
          <w:i/>
          <w:sz w:val="24"/>
          <w:szCs w:val="24"/>
        </w:rPr>
        <w:t xml:space="preserve"> The Official Journal of the British Dietetic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27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2</w:t>
      </w:r>
      <w:r w:rsidRPr="000E4FE6">
        <w:rPr>
          <w:rFonts w:ascii="Times New Roman" w:hAnsi="Times New Roman" w:cs="Times New Roman"/>
          <w:sz w:val="24"/>
          <w:szCs w:val="24"/>
        </w:rPr>
        <w:t>, 255–262. https://doi.org/10.1111/jhn.12141</w:t>
      </w:r>
    </w:p>
    <w:p w14:paraId="00000F1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Ward, H. A., McLellan, H., </w:t>
      </w:r>
      <w:proofErr w:type="spellStart"/>
      <w:r w:rsidRPr="000E4FE6">
        <w:rPr>
          <w:rFonts w:ascii="Times New Roman" w:hAnsi="Times New Roman" w:cs="Times New Roman"/>
          <w:sz w:val="24"/>
          <w:szCs w:val="24"/>
        </w:rPr>
        <w:t>Udeh</w:t>
      </w:r>
      <w:proofErr w:type="spellEnd"/>
      <w:r w:rsidRPr="000E4FE6">
        <w:rPr>
          <w:rFonts w:ascii="Times New Roman" w:hAnsi="Times New Roman" w:cs="Times New Roman"/>
          <w:sz w:val="24"/>
          <w:szCs w:val="24"/>
        </w:rPr>
        <w:t xml:space="preserve">-Momoh, C., </w:t>
      </w:r>
      <w:proofErr w:type="spellStart"/>
      <w:r w:rsidRPr="000E4FE6">
        <w:rPr>
          <w:rFonts w:ascii="Times New Roman" w:hAnsi="Times New Roman" w:cs="Times New Roman"/>
          <w:sz w:val="24"/>
          <w:szCs w:val="24"/>
        </w:rPr>
        <w:t>Giannakopoulou</w:t>
      </w:r>
      <w:proofErr w:type="spellEnd"/>
      <w:r w:rsidRPr="000E4FE6">
        <w:rPr>
          <w:rFonts w:ascii="Times New Roman" w:hAnsi="Times New Roman" w:cs="Times New Roman"/>
          <w:sz w:val="24"/>
          <w:szCs w:val="24"/>
        </w:rPr>
        <w:t>, P., Robb, C., Wark, P. A., and Middleton, L. (2019). Use of Online Dietary Recalls among Older UK Adults: A Feasibility Study of an Online Dietary Assessment Tool. </w:t>
      </w:r>
      <w:r w:rsidRPr="000E4FE6">
        <w:rPr>
          <w:rFonts w:ascii="Times New Roman" w:hAnsi="Times New Roman" w:cs="Times New Roman"/>
          <w:i/>
          <w:sz w:val="24"/>
          <w:szCs w:val="24"/>
        </w:rPr>
        <w:t>Nutrients</w:t>
      </w:r>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(7). https://doi.org/10.3390/nu11071451</w:t>
      </w:r>
    </w:p>
    <w:p w14:paraId="00000F1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Ward, J. H. (1963). Hierarchical Grouping to Optimize an Objective Function. </w:t>
      </w:r>
      <w:r w:rsidRPr="000E4FE6">
        <w:rPr>
          <w:rFonts w:ascii="Times New Roman" w:hAnsi="Times New Roman" w:cs="Times New Roman"/>
          <w:i/>
          <w:sz w:val="24"/>
          <w:szCs w:val="24"/>
        </w:rPr>
        <w:t>Journal of the American Statistical Association</w:t>
      </w:r>
      <w:r w:rsidRPr="000E4FE6">
        <w:rPr>
          <w:rFonts w:ascii="Times New Roman" w:hAnsi="Times New Roman" w:cs="Times New Roman"/>
          <w:sz w:val="24"/>
          <w:szCs w:val="24"/>
        </w:rPr>
        <w:t>, </w:t>
      </w:r>
      <w:r w:rsidRPr="000E4FE6">
        <w:rPr>
          <w:rFonts w:ascii="Times New Roman" w:hAnsi="Times New Roman" w:cs="Times New Roman"/>
          <w:i/>
          <w:sz w:val="24"/>
          <w:szCs w:val="24"/>
        </w:rPr>
        <w:t>58</w:t>
      </w:r>
      <w:r w:rsidRPr="000E4FE6">
        <w:rPr>
          <w:rFonts w:ascii="Times New Roman" w:hAnsi="Times New Roman" w:cs="Times New Roman"/>
          <w:sz w:val="24"/>
          <w:szCs w:val="24"/>
        </w:rPr>
        <w:t>(301), 236. https://doi.org/10.2307/2282967</w:t>
      </w:r>
    </w:p>
    <w:p w14:paraId="00000F1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Wardle, J., Guthrie, C. A., Sanderson, S., and Rapoport, L. (2001). Development of the children’s eating behaviour questionnaire. </w:t>
      </w:r>
      <w:r w:rsidRPr="000E4FE6">
        <w:rPr>
          <w:rFonts w:ascii="Times New Roman" w:hAnsi="Times New Roman" w:cs="Times New Roman"/>
          <w:i/>
          <w:sz w:val="24"/>
          <w:szCs w:val="24"/>
        </w:rPr>
        <w:t>Journal of Child Psychology and Psychiatry, and Allied Disciplines</w:t>
      </w:r>
      <w:r w:rsidRPr="000E4FE6">
        <w:rPr>
          <w:rFonts w:ascii="Times New Roman" w:hAnsi="Times New Roman" w:cs="Times New Roman"/>
          <w:sz w:val="24"/>
          <w:szCs w:val="24"/>
        </w:rPr>
        <w:t>, </w:t>
      </w:r>
      <w:r w:rsidRPr="000E4FE6">
        <w:rPr>
          <w:rFonts w:ascii="Times New Roman" w:hAnsi="Times New Roman" w:cs="Times New Roman"/>
          <w:i/>
          <w:sz w:val="24"/>
          <w:szCs w:val="24"/>
        </w:rPr>
        <w:t>42</w:t>
      </w:r>
      <w:r w:rsidRPr="000E4FE6">
        <w:rPr>
          <w:rFonts w:ascii="Times New Roman" w:hAnsi="Times New Roman" w:cs="Times New Roman"/>
          <w:sz w:val="24"/>
          <w:szCs w:val="24"/>
        </w:rPr>
        <w:t>(7), 963–970.</w:t>
      </w:r>
    </w:p>
    <w:p w14:paraId="00000F1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Wark, P. A., Hardie, L. J., Frost, G. S., </w:t>
      </w:r>
      <w:proofErr w:type="spellStart"/>
      <w:r w:rsidRPr="000E4FE6">
        <w:rPr>
          <w:rFonts w:ascii="Times New Roman" w:hAnsi="Times New Roman" w:cs="Times New Roman"/>
          <w:sz w:val="24"/>
          <w:szCs w:val="24"/>
        </w:rPr>
        <w:t>Alwan</w:t>
      </w:r>
      <w:proofErr w:type="spellEnd"/>
      <w:r w:rsidRPr="000E4FE6">
        <w:rPr>
          <w:rFonts w:ascii="Times New Roman" w:hAnsi="Times New Roman" w:cs="Times New Roman"/>
          <w:sz w:val="24"/>
          <w:szCs w:val="24"/>
        </w:rPr>
        <w:t>, N. A., Carter, M., Elliott, P., … Cade, J. E. (2018). Validity of an online 24-h recall tool (myfood24) for dietary assessment in population studies: comparison with biomarkers and standard interviews. </w:t>
      </w:r>
      <w:r w:rsidRPr="000E4FE6">
        <w:rPr>
          <w:rFonts w:ascii="Times New Roman" w:hAnsi="Times New Roman" w:cs="Times New Roman"/>
          <w:i/>
          <w:sz w:val="24"/>
          <w:szCs w:val="24"/>
        </w:rPr>
        <w:t>BMC Medicine</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(1), 136. https://doi.org/10.1186/s12916-018-1113-8</w:t>
      </w:r>
    </w:p>
    <w:p w14:paraId="00000F1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Wehrens</w:t>
      </w:r>
      <w:proofErr w:type="spellEnd"/>
      <w:r w:rsidRPr="000E4FE6">
        <w:rPr>
          <w:rFonts w:ascii="Times New Roman" w:hAnsi="Times New Roman" w:cs="Times New Roman"/>
          <w:sz w:val="24"/>
          <w:szCs w:val="24"/>
        </w:rPr>
        <w:t>, S. M. T., Christou, S., Isherwood, C., Middleton, B., Gibbs, M. A., Archer, S. N., … Johnston, J. D. (2017). Meal timing regulates the human circadian system. </w:t>
      </w:r>
      <w:r w:rsidRPr="000E4FE6">
        <w:rPr>
          <w:rFonts w:ascii="Times New Roman" w:hAnsi="Times New Roman" w:cs="Times New Roman"/>
          <w:i/>
          <w:sz w:val="24"/>
          <w:szCs w:val="24"/>
        </w:rPr>
        <w:t>Current Biology</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(12), 1768-1775.e3. https://doi.org/10.1016/j.cub.2017.04.059</w:t>
      </w:r>
    </w:p>
    <w:p w14:paraId="00000F2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Weingarten, H. P., and </w:t>
      </w:r>
      <w:proofErr w:type="spellStart"/>
      <w:r w:rsidRPr="000E4FE6">
        <w:rPr>
          <w:rFonts w:ascii="Times New Roman" w:hAnsi="Times New Roman" w:cs="Times New Roman"/>
          <w:sz w:val="24"/>
          <w:szCs w:val="24"/>
        </w:rPr>
        <w:t>Elston</w:t>
      </w:r>
      <w:proofErr w:type="spellEnd"/>
      <w:r w:rsidRPr="000E4FE6">
        <w:rPr>
          <w:rFonts w:ascii="Times New Roman" w:hAnsi="Times New Roman" w:cs="Times New Roman"/>
          <w:sz w:val="24"/>
          <w:szCs w:val="24"/>
        </w:rPr>
        <w:t>, D. (1990). The phenomenology of food cravings.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(3), 231–246. https://doi.org/10.1016/0195-6663(90)90023-2</w:t>
      </w:r>
    </w:p>
    <w:p w14:paraId="00000F2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Welk, G. (n.d.). </w:t>
      </w:r>
      <w:r w:rsidRPr="000E4FE6">
        <w:rPr>
          <w:rFonts w:ascii="Times New Roman" w:hAnsi="Times New Roman" w:cs="Times New Roman"/>
          <w:i/>
          <w:sz w:val="24"/>
          <w:szCs w:val="24"/>
        </w:rPr>
        <w:t>New frontiers in physical activity assessment with pattern recognition technology</w:t>
      </w:r>
      <w:r w:rsidRPr="000E4FE6">
        <w:rPr>
          <w:rFonts w:ascii="Times New Roman" w:hAnsi="Times New Roman" w:cs="Times New Roman"/>
          <w:sz w:val="24"/>
          <w:szCs w:val="24"/>
        </w:rPr>
        <w:t>.</w:t>
      </w:r>
    </w:p>
    <w:p w14:paraId="00000F2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Welton, S., Minty, R., O’Driscoll, T., </w:t>
      </w:r>
      <w:proofErr w:type="spellStart"/>
      <w:r w:rsidRPr="000E4FE6">
        <w:rPr>
          <w:rFonts w:ascii="Times New Roman" w:hAnsi="Times New Roman" w:cs="Times New Roman"/>
          <w:sz w:val="24"/>
          <w:szCs w:val="24"/>
        </w:rPr>
        <w:t>Willms</w:t>
      </w:r>
      <w:proofErr w:type="spellEnd"/>
      <w:r w:rsidRPr="000E4FE6">
        <w:rPr>
          <w:rFonts w:ascii="Times New Roman" w:hAnsi="Times New Roman" w:cs="Times New Roman"/>
          <w:sz w:val="24"/>
          <w:szCs w:val="24"/>
        </w:rPr>
        <w:t>, H., Poirier, D., Madden, S., and Kelly, L. (2020). Intermittent fasting and weight loss: Systematic review. </w:t>
      </w:r>
      <w:r w:rsidRPr="000E4FE6">
        <w:rPr>
          <w:rFonts w:ascii="Times New Roman" w:hAnsi="Times New Roman" w:cs="Times New Roman"/>
          <w:i/>
          <w:sz w:val="24"/>
          <w:szCs w:val="24"/>
        </w:rPr>
        <w:t>Canadian Family Physician</w:t>
      </w:r>
      <w:r w:rsidRPr="000E4FE6">
        <w:rPr>
          <w:rFonts w:ascii="Times New Roman" w:hAnsi="Times New Roman" w:cs="Times New Roman"/>
          <w:sz w:val="24"/>
          <w:szCs w:val="24"/>
        </w:rPr>
        <w:t>, </w:t>
      </w:r>
      <w:r w:rsidRPr="000E4FE6">
        <w:rPr>
          <w:rFonts w:ascii="Times New Roman" w:hAnsi="Times New Roman" w:cs="Times New Roman"/>
          <w:i/>
          <w:sz w:val="24"/>
          <w:szCs w:val="24"/>
        </w:rPr>
        <w:t>66</w:t>
      </w:r>
      <w:r w:rsidRPr="000E4FE6">
        <w:rPr>
          <w:rFonts w:ascii="Times New Roman" w:hAnsi="Times New Roman" w:cs="Times New Roman"/>
          <w:sz w:val="24"/>
          <w:szCs w:val="24"/>
        </w:rPr>
        <w:t>(2), 117–125.</w:t>
      </w:r>
    </w:p>
    <w:p w14:paraId="00000F23"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Westenhoefer</w:t>
      </w:r>
      <w:proofErr w:type="spellEnd"/>
      <w:r w:rsidRPr="000E4FE6">
        <w:rPr>
          <w:rFonts w:ascii="Times New Roman" w:hAnsi="Times New Roman" w:cs="Times New Roman"/>
          <w:sz w:val="24"/>
          <w:szCs w:val="24"/>
        </w:rPr>
        <w:t xml:space="preserve">, J. (1991). Dietary restraint and disinhibition: </w:t>
      </w:r>
      <w:proofErr w:type="gramStart"/>
      <w:r w:rsidRPr="000E4FE6">
        <w:rPr>
          <w:rFonts w:ascii="Times New Roman" w:hAnsi="Times New Roman" w:cs="Times New Roman"/>
          <w:sz w:val="24"/>
          <w:szCs w:val="24"/>
        </w:rPr>
        <w:t>is</w:t>
      </w:r>
      <w:proofErr w:type="gramEnd"/>
      <w:r w:rsidRPr="000E4FE6">
        <w:rPr>
          <w:rFonts w:ascii="Times New Roman" w:hAnsi="Times New Roman" w:cs="Times New Roman"/>
          <w:sz w:val="24"/>
          <w:szCs w:val="24"/>
        </w:rPr>
        <w:t xml:space="preserve"> restraint a homogeneous construct?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16</w:t>
      </w:r>
      <w:r w:rsidRPr="000E4FE6">
        <w:rPr>
          <w:rFonts w:ascii="Times New Roman" w:hAnsi="Times New Roman" w:cs="Times New Roman"/>
          <w:sz w:val="24"/>
          <w:szCs w:val="24"/>
        </w:rPr>
        <w:t>(1), 45–55. https://doi.org/10.1016/0195-6663(91)90110-e</w:t>
      </w:r>
    </w:p>
    <w:p w14:paraId="00000F2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Westenhoefer</w:t>
      </w:r>
      <w:proofErr w:type="spellEnd"/>
      <w:r w:rsidRPr="000E4FE6">
        <w:rPr>
          <w:rFonts w:ascii="Times New Roman" w:hAnsi="Times New Roman" w:cs="Times New Roman"/>
          <w:sz w:val="24"/>
          <w:szCs w:val="24"/>
        </w:rPr>
        <w:t xml:space="preserve">, Joachim, </w:t>
      </w:r>
      <w:proofErr w:type="spellStart"/>
      <w:r w:rsidRPr="000E4FE6">
        <w:rPr>
          <w:rFonts w:ascii="Times New Roman" w:hAnsi="Times New Roman" w:cs="Times New Roman"/>
          <w:sz w:val="24"/>
          <w:szCs w:val="24"/>
        </w:rPr>
        <w:t>Broeckmann</w:t>
      </w:r>
      <w:proofErr w:type="spellEnd"/>
      <w:r w:rsidRPr="000E4FE6">
        <w:rPr>
          <w:rFonts w:ascii="Times New Roman" w:hAnsi="Times New Roman" w:cs="Times New Roman"/>
          <w:sz w:val="24"/>
          <w:szCs w:val="24"/>
        </w:rPr>
        <w:t xml:space="preserve">, P., </w:t>
      </w:r>
      <w:proofErr w:type="spellStart"/>
      <w:r w:rsidRPr="000E4FE6">
        <w:rPr>
          <w:rFonts w:ascii="Times New Roman" w:hAnsi="Times New Roman" w:cs="Times New Roman"/>
          <w:sz w:val="24"/>
          <w:szCs w:val="24"/>
        </w:rPr>
        <w:t>Münch</w:t>
      </w:r>
      <w:proofErr w:type="spellEnd"/>
      <w:r w:rsidRPr="000E4FE6">
        <w:rPr>
          <w:rFonts w:ascii="Times New Roman" w:hAnsi="Times New Roman" w:cs="Times New Roman"/>
          <w:sz w:val="24"/>
          <w:szCs w:val="24"/>
        </w:rPr>
        <w:t xml:space="preserve">, A.-K., and </w:t>
      </w:r>
      <w:proofErr w:type="spellStart"/>
      <w:r w:rsidRPr="000E4FE6">
        <w:rPr>
          <w:rFonts w:ascii="Times New Roman" w:hAnsi="Times New Roman" w:cs="Times New Roman"/>
          <w:sz w:val="24"/>
          <w:szCs w:val="24"/>
        </w:rPr>
        <w:t>Pudel</w:t>
      </w:r>
      <w:proofErr w:type="spellEnd"/>
      <w:r w:rsidRPr="000E4FE6">
        <w:rPr>
          <w:rFonts w:ascii="Times New Roman" w:hAnsi="Times New Roman" w:cs="Times New Roman"/>
          <w:sz w:val="24"/>
          <w:szCs w:val="24"/>
        </w:rPr>
        <w:t xml:space="preserve">, V. (1994). Cognitive control of eating </w:t>
      </w:r>
      <w:proofErr w:type="spellStart"/>
      <w:r w:rsidRPr="000E4FE6">
        <w:rPr>
          <w:rFonts w:ascii="Times New Roman" w:hAnsi="Times New Roman" w:cs="Times New Roman"/>
          <w:sz w:val="24"/>
          <w:szCs w:val="24"/>
        </w:rPr>
        <w:t>behavior</w:t>
      </w:r>
      <w:proofErr w:type="spellEnd"/>
      <w:r w:rsidRPr="000E4FE6">
        <w:rPr>
          <w:rFonts w:ascii="Times New Roman" w:hAnsi="Times New Roman" w:cs="Times New Roman"/>
          <w:sz w:val="24"/>
          <w:szCs w:val="24"/>
        </w:rPr>
        <w:t xml:space="preserve"> and the disinhibition effect.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23</w:t>
      </w:r>
      <w:r w:rsidRPr="000E4FE6">
        <w:rPr>
          <w:rFonts w:ascii="Times New Roman" w:hAnsi="Times New Roman" w:cs="Times New Roman"/>
          <w:sz w:val="24"/>
          <w:szCs w:val="24"/>
        </w:rPr>
        <w:t>(1), 27–41. https://doi.org/10.1006/appe.1994.1032</w:t>
      </w:r>
    </w:p>
    <w:p w14:paraId="00000F2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Westerterp-Plantenga</w:t>
      </w:r>
      <w:proofErr w:type="spellEnd"/>
      <w:r w:rsidRPr="000E4FE6">
        <w:rPr>
          <w:rFonts w:ascii="Times New Roman" w:hAnsi="Times New Roman" w:cs="Times New Roman"/>
          <w:sz w:val="24"/>
          <w:szCs w:val="24"/>
        </w:rPr>
        <w:t xml:space="preserve">, M S, Luscombe-Marsh, N., </w:t>
      </w:r>
      <w:proofErr w:type="spellStart"/>
      <w:r w:rsidRPr="000E4FE6">
        <w:rPr>
          <w:rFonts w:ascii="Times New Roman" w:hAnsi="Times New Roman" w:cs="Times New Roman"/>
          <w:sz w:val="24"/>
          <w:szCs w:val="24"/>
        </w:rPr>
        <w:t>Lejeune</w:t>
      </w:r>
      <w:proofErr w:type="spellEnd"/>
      <w:r w:rsidRPr="000E4FE6">
        <w:rPr>
          <w:rFonts w:ascii="Times New Roman" w:hAnsi="Times New Roman" w:cs="Times New Roman"/>
          <w:sz w:val="24"/>
          <w:szCs w:val="24"/>
        </w:rPr>
        <w:t xml:space="preserve">, M. P. G. M., </w:t>
      </w:r>
      <w:proofErr w:type="spellStart"/>
      <w:r w:rsidRPr="000E4FE6">
        <w:rPr>
          <w:rFonts w:ascii="Times New Roman" w:hAnsi="Times New Roman" w:cs="Times New Roman"/>
          <w:sz w:val="24"/>
          <w:szCs w:val="24"/>
        </w:rPr>
        <w:t>Diepvens</w:t>
      </w:r>
      <w:proofErr w:type="spellEnd"/>
      <w:r w:rsidRPr="000E4FE6">
        <w:rPr>
          <w:rFonts w:ascii="Times New Roman" w:hAnsi="Times New Roman" w:cs="Times New Roman"/>
          <w:sz w:val="24"/>
          <w:szCs w:val="24"/>
        </w:rPr>
        <w:t xml:space="preserve">, K., </w:t>
      </w:r>
      <w:proofErr w:type="spellStart"/>
      <w:r w:rsidRPr="000E4FE6">
        <w:rPr>
          <w:rFonts w:ascii="Times New Roman" w:hAnsi="Times New Roman" w:cs="Times New Roman"/>
          <w:sz w:val="24"/>
          <w:szCs w:val="24"/>
        </w:rPr>
        <w:t>Nieuwenhuizen</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Engelen</w:t>
      </w:r>
      <w:proofErr w:type="spellEnd"/>
      <w:r w:rsidRPr="000E4FE6">
        <w:rPr>
          <w:rFonts w:ascii="Times New Roman" w:hAnsi="Times New Roman" w:cs="Times New Roman"/>
          <w:sz w:val="24"/>
          <w:szCs w:val="24"/>
        </w:rPr>
        <w:t xml:space="preserve">, M. P. K. J., … </w:t>
      </w:r>
      <w:proofErr w:type="spellStart"/>
      <w:r w:rsidRPr="000E4FE6">
        <w:rPr>
          <w:rFonts w:ascii="Times New Roman" w:hAnsi="Times New Roman" w:cs="Times New Roman"/>
          <w:sz w:val="24"/>
          <w:szCs w:val="24"/>
        </w:rPr>
        <w:t>Westerterp</w:t>
      </w:r>
      <w:proofErr w:type="spellEnd"/>
      <w:r w:rsidRPr="000E4FE6">
        <w:rPr>
          <w:rFonts w:ascii="Times New Roman" w:hAnsi="Times New Roman" w:cs="Times New Roman"/>
          <w:sz w:val="24"/>
          <w:szCs w:val="24"/>
        </w:rPr>
        <w:t>, K. R. (2006). Dietary protein, metabolism, and body-weight regulation: dose–response effects.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30</w:t>
      </w:r>
      <w:r w:rsidRPr="000E4FE6">
        <w:rPr>
          <w:rFonts w:ascii="Times New Roman" w:hAnsi="Times New Roman" w:cs="Times New Roman"/>
          <w:sz w:val="24"/>
          <w:szCs w:val="24"/>
        </w:rPr>
        <w:t>(S3), S16–S23. https://doi.org/10.1038/sj.ijo.0803487</w:t>
      </w:r>
    </w:p>
    <w:p w14:paraId="00000F26"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Westerterp-Plantenga</w:t>
      </w:r>
      <w:proofErr w:type="spellEnd"/>
      <w:r w:rsidRPr="000E4FE6">
        <w:rPr>
          <w:rFonts w:ascii="Times New Roman" w:hAnsi="Times New Roman" w:cs="Times New Roman"/>
          <w:sz w:val="24"/>
          <w:szCs w:val="24"/>
        </w:rPr>
        <w:t xml:space="preserve">, </w:t>
      </w:r>
      <w:proofErr w:type="spellStart"/>
      <w:r w:rsidRPr="000E4FE6">
        <w:rPr>
          <w:rFonts w:ascii="Times New Roman" w:hAnsi="Times New Roman" w:cs="Times New Roman"/>
          <w:sz w:val="24"/>
          <w:szCs w:val="24"/>
        </w:rPr>
        <w:t>Margriet</w:t>
      </w:r>
      <w:proofErr w:type="spellEnd"/>
      <w:r w:rsidRPr="000E4FE6">
        <w:rPr>
          <w:rFonts w:ascii="Times New Roman" w:hAnsi="Times New Roman" w:cs="Times New Roman"/>
          <w:sz w:val="24"/>
          <w:szCs w:val="24"/>
        </w:rPr>
        <w:t xml:space="preserve"> S, </w:t>
      </w:r>
      <w:proofErr w:type="spellStart"/>
      <w:r w:rsidRPr="000E4FE6">
        <w:rPr>
          <w:rFonts w:ascii="Times New Roman" w:hAnsi="Times New Roman" w:cs="Times New Roman"/>
          <w:sz w:val="24"/>
          <w:szCs w:val="24"/>
        </w:rPr>
        <w:t>Lemmens</w:t>
      </w:r>
      <w:proofErr w:type="spellEnd"/>
      <w:r w:rsidRPr="000E4FE6">
        <w:rPr>
          <w:rFonts w:ascii="Times New Roman" w:hAnsi="Times New Roman" w:cs="Times New Roman"/>
          <w:sz w:val="24"/>
          <w:szCs w:val="24"/>
        </w:rPr>
        <w:t xml:space="preserve">, S. G., and </w:t>
      </w:r>
      <w:proofErr w:type="spellStart"/>
      <w:r w:rsidRPr="000E4FE6">
        <w:rPr>
          <w:rFonts w:ascii="Times New Roman" w:hAnsi="Times New Roman" w:cs="Times New Roman"/>
          <w:sz w:val="24"/>
          <w:szCs w:val="24"/>
        </w:rPr>
        <w:t>Westerterp</w:t>
      </w:r>
      <w:proofErr w:type="spellEnd"/>
      <w:r w:rsidRPr="000E4FE6">
        <w:rPr>
          <w:rFonts w:ascii="Times New Roman" w:hAnsi="Times New Roman" w:cs="Times New Roman"/>
          <w:sz w:val="24"/>
          <w:szCs w:val="24"/>
        </w:rPr>
        <w:t>, K. R. (2012). Dietary protein - its role in satiety, energetics, weight loss and health. </w:t>
      </w:r>
      <w:r w:rsidRPr="000E4FE6">
        <w:rPr>
          <w:rFonts w:ascii="Times New Roman" w:hAnsi="Times New Roman" w:cs="Times New Roman"/>
          <w:i/>
          <w:sz w:val="24"/>
          <w:szCs w:val="24"/>
        </w:rPr>
        <w:t>The British Journal of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 xml:space="preserve">108 </w:t>
      </w:r>
      <w:proofErr w:type="spellStart"/>
      <w:r w:rsidRPr="000E4FE6">
        <w:rPr>
          <w:rFonts w:ascii="Times New Roman" w:hAnsi="Times New Roman" w:cs="Times New Roman"/>
          <w:i/>
          <w:sz w:val="24"/>
          <w:szCs w:val="24"/>
        </w:rPr>
        <w:t>Suppl</w:t>
      </w:r>
      <w:proofErr w:type="spellEnd"/>
      <w:r w:rsidRPr="000E4FE6">
        <w:rPr>
          <w:rFonts w:ascii="Times New Roman" w:hAnsi="Times New Roman" w:cs="Times New Roman"/>
          <w:i/>
          <w:sz w:val="24"/>
          <w:szCs w:val="24"/>
        </w:rPr>
        <w:t xml:space="preserve"> 2</w:t>
      </w:r>
      <w:r w:rsidRPr="000E4FE6">
        <w:rPr>
          <w:rFonts w:ascii="Times New Roman" w:hAnsi="Times New Roman" w:cs="Times New Roman"/>
          <w:sz w:val="24"/>
          <w:szCs w:val="24"/>
        </w:rPr>
        <w:t>, S105-12. https://doi.org/10.1017/S0007114512002589</w:t>
      </w:r>
    </w:p>
    <w:p w14:paraId="00000F2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Weyer</w:t>
      </w:r>
      <w:proofErr w:type="spellEnd"/>
      <w:r w:rsidRPr="000E4FE6">
        <w:rPr>
          <w:rFonts w:ascii="Times New Roman" w:hAnsi="Times New Roman" w:cs="Times New Roman"/>
          <w:sz w:val="24"/>
          <w:szCs w:val="24"/>
        </w:rPr>
        <w:t xml:space="preserve">, C., </w:t>
      </w:r>
      <w:proofErr w:type="spellStart"/>
      <w:r w:rsidRPr="000E4FE6">
        <w:rPr>
          <w:rFonts w:ascii="Times New Roman" w:hAnsi="Times New Roman" w:cs="Times New Roman"/>
          <w:sz w:val="24"/>
          <w:szCs w:val="24"/>
        </w:rPr>
        <w:t>Vozarova</w:t>
      </w:r>
      <w:proofErr w:type="spellEnd"/>
      <w:r w:rsidRPr="000E4FE6">
        <w:rPr>
          <w:rFonts w:ascii="Times New Roman" w:hAnsi="Times New Roman" w:cs="Times New Roman"/>
          <w:sz w:val="24"/>
          <w:szCs w:val="24"/>
        </w:rPr>
        <w:t xml:space="preserve">, B., </w:t>
      </w:r>
      <w:proofErr w:type="spellStart"/>
      <w:r w:rsidRPr="000E4FE6">
        <w:rPr>
          <w:rFonts w:ascii="Times New Roman" w:hAnsi="Times New Roman" w:cs="Times New Roman"/>
          <w:sz w:val="24"/>
          <w:szCs w:val="24"/>
        </w:rPr>
        <w:t>Ravussin</w:t>
      </w:r>
      <w:proofErr w:type="spellEnd"/>
      <w:r w:rsidRPr="000E4FE6">
        <w:rPr>
          <w:rFonts w:ascii="Times New Roman" w:hAnsi="Times New Roman" w:cs="Times New Roman"/>
          <w:sz w:val="24"/>
          <w:szCs w:val="24"/>
        </w:rPr>
        <w:t xml:space="preserve">, E., and </w:t>
      </w:r>
      <w:proofErr w:type="spellStart"/>
      <w:r w:rsidRPr="000E4FE6">
        <w:rPr>
          <w:rFonts w:ascii="Times New Roman" w:hAnsi="Times New Roman" w:cs="Times New Roman"/>
          <w:sz w:val="24"/>
          <w:szCs w:val="24"/>
        </w:rPr>
        <w:t>Tataranni</w:t>
      </w:r>
      <w:proofErr w:type="spellEnd"/>
      <w:r w:rsidRPr="000E4FE6">
        <w:rPr>
          <w:rFonts w:ascii="Times New Roman" w:hAnsi="Times New Roman" w:cs="Times New Roman"/>
          <w:sz w:val="24"/>
          <w:szCs w:val="24"/>
        </w:rPr>
        <w:t>, P. A. (2001). Changes in energy metabolism in response to 48 h of overfeeding and fasting in Caucasians and Pima Indians. </w:t>
      </w:r>
      <w:r w:rsidRPr="000E4FE6">
        <w:rPr>
          <w:rFonts w:ascii="Times New Roman" w:hAnsi="Times New Roman" w:cs="Times New Roman"/>
          <w:i/>
          <w:sz w:val="24"/>
          <w:szCs w:val="24"/>
        </w:rPr>
        <w:t>International Journal of Obesity and Related Metabolic Disorders</w:t>
      </w:r>
      <w:r w:rsidRPr="000E4FE6">
        <w:rPr>
          <w:rFonts w:ascii="Times New Roman" w:hAnsi="Times New Roman" w:cs="Times New Roman"/>
          <w:sz w:val="24"/>
          <w:szCs w:val="24"/>
        </w:rPr>
        <w:t>, </w:t>
      </w:r>
      <w:r w:rsidRPr="000E4FE6">
        <w:rPr>
          <w:rFonts w:ascii="Times New Roman" w:hAnsi="Times New Roman" w:cs="Times New Roman"/>
          <w:i/>
          <w:sz w:val="24"/>
          <w:szCs w:val="24"/>
        </w:rPr>
        <w:t>25</w:t>
      </w:r>
      <w:r w:rsidRPr="000E4FE6">
        <w:rPr>
          <w:rFonts w:ascii="Times New Roman" w:hAnsi="Times New Roman" w:cs="Times New Roman"/>
          <w:sz w:val="24"/>
          <w:szCs w:val="24"/>
        </w:rPr>
        <w:t>(5), 593–600. https://doi.org/10.1038/sj.ijo.0801610</w:t>
      </w:r>
    </w:p>
    <w:p w14:paraId="00000F28"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Whitehead, A. L., Sully, B. G. O., and Campbell, M. J. (2014). Pilot and feasibility studies: is there a difference from each other and from a randomised controlled </w:t>
      </w:r>
      <w:r w:rsidRPr="000E4FE6">
        <w:rPr>
          <w:rFonts w:ascii="Times New Roman" w:hAnsi="Times New Roman" w:cs="Times New Roman"/>
          <w:sz w:val="24"/>
          <w:szCs w:val="24"/>
        </w:rPr>
        <w:lastRenderedPageBreak/>
        <w:t>trial? </w:t>
      </w:r>
      <w:r w:rsidRPr="000E4FE6">
        <w:rPr>
          <w:rFonts w:ascii="Times New Roman" w:hAnsi="Times New Roman" w:cs="Times New Roman"/>
          <w:i/>
          <w:sz w:val="24"/>
          <w:szCs w:val="24"/>
        </w:rPr>
        <w:t>Contemporary Clinical Trials</w:t>
      </w:r>
      <w:r w:rsidRPr="000E4FE6">
        <w:rPr>
          <w:rFonts w:ascii="Times New Roman" w:hAnsi="Times New Roman" w:cs="Times New Roman"/>
          <w:sz w:val="24"/>
          <w:szCs w:val="24"/>
        </w:rPr>
        <w:t>, </w:t>
      </w:r>
      <w:r w:rsidRPr="000E4FE6">
        <w:rPr>
          <w:rFonts w:ascii="Times New Roman" w:hAnsi="Times New Roman" w:cs="Times New Roman"/>
          <w:i/>
          <w:sz w:val="24"/>
          <w:szCs w:val="24"/>
        </w:rPr>
        <w:t>38</w:t>
      </w:r>
      <w:r w:rsidRPr="000E4FE6">
        <w:rPr>
          <w:rFonts w:ascii="Times New Roman" w:hAnsi="Times New Roman" w:cs="Times New Roman"/>
          <w:sz w:val="24"/>
          <w:szCs w:val="24"/>
        </w:rPr>
        <w:t>(1), 130–133. https://doi.org/10.1016/j.cct.2014.04.001</w:t>
      </w:r>
    </w:p>
    <w:p w14:paraId="00000F2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Who, J., and Consultation, F. E. (2003</w:t>
      </w:r>
      <w:proofErr w:type="gramStart"/>
      <w:r w:rsidRPr="000E4FE6">
        <w:rPr>
          <w:rFonts w:ascii="Times New Roman" w:hAnsi="Times New Roman" w:cs="Times New Roman"/>
          <w:sz w:val="24"/>
          <w:szCs w:val="24"/>
        </w:rPr>
        <w:t>).</w:t>
      </w:r>
      <w:proofErr w:type="gramEnd"/>
      <w:r w:rsidRPr="000E4FE6">
        <w:rPr>
          <w:rFonts w:ascii="Times New Roman" w:hAnsi="Times New Roman" w:cs="Times New Roman"/>
          <w:sz w:val="24"/>
          <w:szCs w:val="24"/>
        </w:rPr>
        <w:t xml:space="preserve"> Diet, nutrition and the prevention of chronic diseases. </w:t>
      </w:r>
      <w:r w:rsidRPr="000E4FE6">
        <w:rPr>
          <w:rFonts w:ascii="Times New Roman" w:hAnsi="Times New Roman" w:cs="Times New Roman"/>
          <w:i/>
          <w:sz w:val="24"/>
          <w:szCs w:val="24"/>
        </w:rPr>
        <w:t>World Health Organ Tech Rep Ser</w:t>
      </w:r>
      <w:r w:rsidRPr="000E4FE6">
        <w:rPr>
          <w:rFonts w:ascii="Times New Roman" w:hAnsi="Times New Roman" w:cs="Times New Roman"/>
          <w:sz w:val="24"/>
          <w:szCs w:val="24"/>
        </w:rPr>
        <w:t>, </w:t>
      </w:r>
      <w:r w:rsidRPr="000E4FE6">
        <w:rPr>
          <w:rFonts w:ascii="Times New Roman" w:hAnsi="Times New Roman" w:cs="Times New Roman"/>
          <w:i/>
          <w:sz w:val="24"/>
          <w:szCs w:val="24"/>
        </w:rPr>
        <w:t>916</w:t>
      </w:r>
      <w:r w:rsidRPr="000E4FE6">
        <w:rPr>
          <w:rFonts w:ascii="Times New Roman" w:hAnsi="Times New Roman" w:cs="Times New Roman"/>
          <w:sz w:val="24"/>
          <w:szCs w:val="24"/>
        </w:rPr>
        <w:t>, 1–149.</w:t>
      </w:r>
    </w:p>
    <w:p w14:paraId="00000F2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Wilding, J. (2012). Are the causes of obesity primarily environmental? Yes. </w:t>
      </w:r>
      <w:r w:rsidRPr="000E4FE6">
        <w:rPr>
          <w:rFonts w:ascii="Times New Roman" w:hAnsi="Times New Roman" w:cs="Times New Roman"/>
          <w:i/>
          <w:sz w:val="24"/>
          <w:szCs w:val="24"/>
        </w:rPr>
        <w:t>BMJ (Clinical Research Ed.)</w:t>
      </w:r>
      <w:r w:rsidRPr="000E4FE6">
        <w:rPr>
          <w:rFonts w:ascii="Times New Roman" w:hAnsi="Times New Roman" w:cs="Times New Roman"/>
          <w:sz w:val="24"/>
          <w:szCs w:val="24"/>
        </w:rPr>
        <w:t>, </w:t>
      </w:r>
      <w:r w:rsidRPr="000E4FE6">
        <w:rPr>
          <w:rFonts w:ascii="Times New Roman" w:hAnsi="Times New Roman" w:cs="Times New Roman"/>
          <w:i/>
          <w:sz w:val="24"/>
          <w:szCs w:val="24"/>
        </w:rPr>
        <w:t>345</w:t>
      </w:r>
      <w:r w:rsidRPr="000E4FE6">
        <w:rPr>
          <w:rFonts w:ascii="Times New Roman" w:hAnsi="Times New Roman" w:cs="Times New Roman"/>
          <w:sz w:val="24"/>
          <w:szCs w:val="24"/>
        </w:rPr>
        <w:t>, e5843. https://doi.org/10.1136/bmj.e5843</w:t>
      </w:r>
    </w:p>
    <w:p w14:paraId="00000F2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Wilkinson, L. L., Hinton, E. C., Fay, S. H., Ferriday, D., Rogers, P. J., and </w:t>
      </w: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J. M. (2012). Computer-based assessments of expected satiety predict behavioural measures of portion-size selection and food intake.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59</w:t>
      </w:r>
      <w:r w:rsidRPr="000E4FE6">
        <w:rPr>
          <w:rFonts w:ascii="Times New Roman" w:hAnsi="Times New Roman" w:cs="Times New Roman"/>
          <w:sz w:val="24"/>
          <w:szCs w:val="24"/>
        </w:rPr>
        <w:t>(3), 933–938. https://doi.org/10.1016/j.appet.2012.09.007</w:t>
      </w:r>
    </w:p>
    <w:p w14:paraId="00000F2C"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Williams, E. P., </w:t>
      </w:r>
      <w:proofErr w:type="spellStart"/>
      <w:r w:rsidRPr="000E4FE6">
        <w:rPr>
          <w:rFonts w:ascii="Times New Roman" w:hAnsi="Times New Roman" w:cs="Times New Roman"/>
          <w:sz w:val="24"/>
          <w:szCs w:val="24"/>
        </w:rPr>
        <w:t>Mesidor</w:t>
      </w:r>
      <w:proofErr w:type="spellEnd"/>
      <w:r w:rsidRPr="000E4FE6">
        <w:rPr>
          <w:rFonts w:ascii="Times New Roman" w:hAnsi="Times New Roman" w:cs="Times New Roman"/>
          <w:sz w:val="24"/>
          <w:szCs w:val="24"/>
        </w:rPr>
        <w:t>, M., Winters, K., Dubbert, P. M., and Wyatt, S. B. (2015). Overweight and obesity: prevalence, consequences, and causes of a growing public health problem. </w:t>
      </w:r>
      <w:r w:rsidRPr="000E4FE6">
        <w:rPr>
          <w:rFonts w:ascii="Times New Roman" w:hAnsi="Times New Roman" w:cs="Times New Roman"/>
          <w:i/>
          <w:sz w:val="24"/>
          <w:szCs w:val="24"/>
        </w:rPr>
        <w:t>Current Obesity Reports</w:t>
      </w:r>
      <w:r w:rsidRPr="000E4FE6">
        <w:rPr>
          <w:rFonts w:ascii="Times New Roman" w:hAnsi="Times New Roman" w:cs="Times New Roman"/>
          <w:sz w:val="24"/>
          <w:szCs w:val="24"/>
        </w:rPr>
        <w:t>, </w:t>
      </w:r>
      <w:r w:rsidRPr="000E4FE6">
        <w:rPr>
          <w:rFonts w:ascii="Times New Roman" w:hAnsi="Times New Roman" w:cs="Times New Roman"/>
          <w:i/>
          <w:sz w:val="24"/>
          <w:szCs w:val="24"/>
        </w:rPr>
        <w:t>4</w:t>
      </w:r>
      <w:r w:rsidRPr="000E4FE6">
        <w:rPr>
          <w:rFonts w:ascii="Times New Roman" w:hAnsi="Times New Roman" w:cs="Times New Roman"/>
          <w:sz w:val="24"/>
          <w:szCs w:val="24"/>
        </w:rPr>
        <w:t>(3), 363–370. https://doi.org/10.1007/s13679-015-0169-4</w:t>
      </w:r>
    </w:p>
    <w:p w14:paraId="00000F2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Williams, P. (2007). Breakfast and the diets of Australian children and adolescents: an analysis of data from the 1995 National Nutrition Survey. </w:t>
      </w:r>
      <w:r w:rsidRPr="000E4FE6">
        <w:rPr>
          <w:rFonts w:ascii="Times New Roman" w:hAnsi="Times New Roman" w:cs="Times New Roman"/>
          <w:i/>
          <w:sz w:val="24"/>
          <w:szCs w:val="24"/>
        </w:rPr>
        <w:t>International Journal of Food Sciences and Nutrition</w:t>
      </w:r>
      <w:r w:rsidRPr="000E4FE6">
        <w:rPr>
          <w:rFonts w:ascii="Times New Roman" w:hAnsi="Times New Roman" w:cs="Times New Roman"/>
          <w:sz w:val="24"/>
          <w:szCs w:val="24"/>
        </w:rPr>
        <w:t>, </w:t>
      </w:r>
      <w:r w:rsidRPr="000E4FE6">
        <w:rPr>
          <w:rFonts w:ascii="Times New Roman" w:hAnsi="Times New Roman" w:cs="Times New Roman"/>
          <w:i/>
          <w:sz w:val="24"/>
          <w:szCs w:val="24"/>
        </w:rPr>
        <w:t>58</w:t>
      </w:r>
      <w:r w:rsidRPr="000E4FE6">
        <w:rPr>
          <w:rFonts w:ascii="Times New Roman" w:hAnsi="Times New Roman" w:cs="Times New Roman"/>
          <w:sz w:val="24"/>
          <w:szCs w:val="24"/>
        </w:rPr>
        <w:t>(3), 201–216. https://doi.org/10.1080/09637480701198075</w:t>
      </w:r>
    </w:p>
    <w:p w14:paraId="00000F2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Williamson, D. A., Lawson, O. J., Brooks, E. R., Wozniak, P. J., Ryan, D. H., Bray, G. A., and </w:t>
      </w:r>
      <w:proofErr w:type="spellStart"/>
      <w:r w:rsidRPr="000E4FE6">
        <w:rPr>
          <w:rFonts w:ascii="Times New Roman" w:hAnsi="Times New Roman" w:cs="Times New Roman"/>
          <w:sz w:val="24"/>
          <w:szCs w:val="24"/>
        </w:rPr>
        <w:t>Duchmann</w:t>
      </w:r>
      <w:proofErr w:type="spellEnd"/>
      <w:r w:rsidRPr="000E4FE6">
        <w:rPr>
          <w:rFonts w:ascii="Times New Roman" w:hAnsi="Times New Roman" w:cs="Times New Roman"/>
          <w:sz w:val="24"/>
          <w:szCs w:val="24"/>
        </w:rPr>
        <w:t>, E. G. (1995). Association of body mass with dietary restraint and disinhibition.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25</w:t>
      </w:r>
      <w:r w:rsidRPr="000E4FE6">
        <w:rPr>
          <w:rFonts w:ascii="Times New Roman" w:hAnsi="Times New Roman" w:cs="Times New Roman"/>
          <w:sz w:val="24"/>
          <w:szCs w:val="24"/>
        </w:rPr>
        <w:t>(1), 31–41. https://doi.org/10.1006/appe.1995.0039</w:t>
      </w:r>
    </w:p>
    <w:p w14:paraId="00000F2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Winik</w:t>
      </w:r>
      <w:proofErr w:type="spellEnd"/>
      <w:r w:rsidRPr="000E4FE6">
        <w:rPr>
          <w:rFonts w:ascii="Times New Roman" w:hAnsi="Times New Roman" w:cs="Times New Roman"/>
          <w:sz w:val="24"/>
          <w:szCs w:val="24"/>
        </w:rPr>
        <w:t>, C. L., and Bonham, C. E. (2018). Implementation of a screening and management of overweight and obesity clinical practice guideline in an ambulatory care setting. </w:t>
      </w:r>
      <w:r w:rsidRPr="000E4FE6">
        <w:rPr>
          <w:rFonts w:ascii="Times New Roman" w:hAnsi="Times New Roman" w:cs="Times New Roman"/>
          <w:i/>
          <w:sz w:val="24"/>
          <w:szCs w:val="24"/>
        </w:rPr>
        <w:t>Military Medicine</w:t>
      </w:r>
      <w:r w:rsidRPr="000E4FE6">
        <w:rPr>
          <w:rFonts w:ascii="Times New Roman" w:hAnsi="Times New Roman" w:cs="Times New Roman"/>
          <w:sz w:val="24"/>
          <w:szCs w:val="24"/>
        </w:rPr>
        <w:t>, </w:t>
      </w:r>
      <w:r w:rsidRPr="000E4FE6">
        <w:rPr>
          <w:rFonts w:ascii="Times New Roman" w:hAnsi="Times New Roman" w:cs="Times New Roman"/>
          <w:i/>
          <w:sz w:val="24"/>
          <w:szCs w:val="24"/>
        </w:rPr>
        <w:t>183</w:t>
      </w:r>
      <w:r w:rsidRPr="000E4FE6">
        <w:rPr>
          <w:rFonts w:ascii="Times New Roman" w:hAnsi="Times New Roman" w:cs="Times New Roman"/>
          <w:sz w:val="24"/>
          <w:szCs w:val="24"/>
        </w:rPr>
        <w:t>(1–2), e32–e39. https://doi.org/10.1093/milmed/usx022</w:t>
      </w:r>
    </w:p>
    <w:p w14:paraId="00000F3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 xml:space="preserve">Winkler, G., </w:t>
      </w:r>
      <w:proofErr w:type="spellStart"/>
      <w:r w:rsidRPr="000E4FE6">
        <w:rPr>
          <w:rFonts w:ascii="Times New Roman" w:hAnsi="Times New Roman" w:cs="Times New Roman"/>
          <w:sz w:val="24"/>
          <w:szCs w:val="24"/>
        </w:rPr>
        <w:t>Döring</w:t>
      </w:r>
      <w:proofErr w:type="spellEnd"/>
      <w:r w:rsidRPr="000E4FE6">
        <w:rPr>
          <w:rFonts w:ascii="Times New Roman" w:hAnsi="Times New Roman" w:cs="Times New Roman"/>
          <w:sz w:val="24"/>
          <w:szCs w:val="24"/>
        </w:rPr>
        <w:t>, A., and Keil, U. (1999). Meal patterns in middle-aged men in Southern Germany: results from the MONICA Augsburg dietary survey 1984/85. </w:t>
      </w:r>
      <w:r w:rsidRPr="000E4FE6">
        <w:rPr>
          <w:rFonts w:ascii="Times New Roman" w:hAnsi="Times New Roman" w:cs="Times New Roman"/>
          <w:i/>
          <w:sz w:val="24"/>
          <w:szCs w:val="24"/>
        </w:rPr>
        <w:t>Appetite</w:t>
      </w:r>
      <w:r w:rsidRPr="000E4FE6">
        <w:rPr>
          <w:rFonts w:ascii="Times New Roman" w:hAnsi="Times New Roman" w:cs="Times New Roman"/>
          <w:sz w:val="24"/>
          <w:szCs w:val="24"/>
        </w:rPr>
        <w:t>, </w:t>
      </w:r>
      <w:r w:rsidRPr="000E4FE6">
        <w:rPr>
          <w:rFonts w:ascii="Times New Roman" w:hAnsi="Times New Roman" w:cs="Times New Roman"/>
          <w:i/>
          <w:sz w:val="24"/>
          <w:szCs w:val="24"/>
        </w:rPr>
        <w:t>32</w:t>
      </w:r>
      <w:r w:rsidRPr="000E4FE6">
        <w:rPr>
          <w:rFonts w:ascii="Times New Roman" w:hAnsi="Times New Roman" w:cs="Times New Roman"/>
          <w:sz w:val="24"/>
          <w:szCs w:val="24"/>
        </w:rPr>
        <w:t>(1), 33–37. https://doi.org/10.1006/appe.1998.0193</w:t>
      </w:r>
    </w:p>
    <w:p w14:paraId="00000F31"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Wise, R. A. (2006). Role of brain dopamine in food reward and reinforcement. </w:t>
      </w:r>
      <w:r w:rsidRPr="000E4FE6">
        <w:rPr>
          <w:rFonts w:ascii="Times New Roman" w:hAnsi="Times New Roman" w:cs="Times New Roman"/>
          <w:i/>
          <w:sz w:val="24"/>
          <w:szCs w:val="24"/>
        </w:rPr>
        <w:t>Philosophical Transactions of the Royal Society of London. Series B, Biological Sciences</w:t>
      </w:r>
      <w:r w:rsidRPr="000E4FE6">
        <w:rPr>
          <w:rFonts w:ascii="Times New Roman" w:hAnsi="Times New Roman" w:cs="Times New Roman"/>
          <w:sz w:val="24"/>
          <w:szCs w:val="24"/>
        </w:rPr>
        <w:t>, </w:t>
      </w:r>
      <w:r w:rsidRPr="000E4FE6">
        <w:rPr>
          <w:rFonts w:ascii="Times New Roman" w:hAnsi="Times New Roman" w:cs="Times New Roman"/>
          <w:i/>
          <w:sz w:val="24"/>
          <w:szCs w:val="24"/>
        </w:rPr>
        <w:t>361</w:t>
      </w:r>
      <w:r w:rsidRPr="000E4FE6">
        <w:rPr>
          <w:rFonts w:ascii="Times New Roman" w:hAnsi="Times New Roman" w:cs="Times New Roman"/>
          <w:sz w:val="24"/>
          <w:szCs w:val="24"/>
        </w:rPr>
        <w:t>(1471), 1149–1158. https://doi.org/10.1098/rstb.2006.1854</w:t>
      </w:r>
    </w:p>
    <w:p w14:paraId="00000F32"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Wolz</w:t>
      </w:r>
      <w:proofErr w:type="spellEnd"/>
      <w:r w:rsidRPr="000E4FE6">
        <w:rPr>
          <w:rFonts w:ascii="Times New Roman" w:hAnsi="Times New Roman" w:cs="Times New Roman"/>
          <w:sz w:val="24"/>
          <w:szCs w:val="24"/>
        </w:rPr>
        <w:t xml:space="preserve">, I., </w:t>
      </w:r>
      <w:proofErr w:type="spellStart"/>
      <w:r w:rsidRPr="000E4FE6">
        <w:rPr>
          <w:rFonts w:ascii="Times New Roman" w:hAnsi="Times New Roman" w:cs="Times New Roman"/>
          <w:sz w:val="24"/>
          <w:szCs w:val="24"/>
        </w:rPr>
        <w:t>Nannt</w:t>
      </w:r>
      <w:proofErr w:type="spellEnd"/>
      <w:r w:rsidRPr="000E4FE6">
        <w:rPr>
          <w:rFonts w:ascii="Times New Roman" w:hAnsi="Times New Roman" w:cs="Times New Roman"/>
          <w:sz w:val="24"/>
          <w:szCs w:val="24"/>
        </w:rPr>
        <w:t xml:space="preserve">, J., and </w:t>
      </w:r>
      <w:proofErr w:type="spellStart"/>
      <w:r w:rsidRPr="000E4FE6">
        <w:rPr>
          <w:rFonts w:ascii="Times New Roman" w:hAnsi="Times New Roman" w:cs="Times New Roman"/>
          <w:sz w:val="24"/>
          <w:szCs w:val="24"/>
        </w:rPr>
        <w:t>Svaldi</w:t>
      </w:r>
      <w:proofErr w:type="spellEnd"/>
      <w:r w:rsidRPr="000E4FE6">
        <w:rPr>
          <w:rFonts w:ascii="Times New Roman" w:hAnsi="Times New Roman" w:cs="Times New Roman"/>
          <w:sz w:val="24"/>
          <w:szCs w:val="24"/>
        </w:rPr>
        <w:t>, J. (2020). Laboratory-based interventions targeting food craving: A systematic review and meta-analysis. </w:t>
      </w:r>
      <w:r w:rsidRPr="000E4FE6">
        <w:rPr>
          <w:rFonts w:ascii="Times New Roman" w:hAnsi="Times New Roman" w:cs="Times New Roman"/>
          <w:i/>
          <w:sz w:val="24"/>
          <w:szCs w:val="24"/>
        </w:rPr>
        <w:t>Obesity Reviews</w:t>
      </w:r>
      <w:r w:rsidRPr="000E4FE6">
        <w:rPr>
          <w:rFonts w:ascii="Times New Roman" w:hAnsi="Times New Roman" w:cs="Times New Roman"/>
          <w:sz w:val="24"/>
          <w:szCs w:val="24"/>
        </w:rPr>
        <w:t>, </w:t>
      </w:r>
      <w:r w:rsidRPr="000E4FE6">
        <w:rPr>
          <w:rFonts w:ascii="Times New Roman" w:hAnsi="Times New Roman" w:cs="Times New Roman"/>
          <w:i/>
          <w:sz w:val="24"/>
          <w:szCs w:val="24"/>
        </w:rPr>
        <w:t>21</w:t>
      </w:r>
      <w:r w:rsidRPr="000E4FE6">
        <w:rPr>
          <w:rFonts w:ascii="Times New Roman" w:hAnsi="Times New Roman" w:cs="Times New Roman"/>
          <w:sz w:val="24"/>
          <w:szCs w:val="24"/>
        </w:rPr>
        <w:t>(5), e12996. https://doi.org/10.1111/obr.12996</w:t>
      </w:r>
    </w:p>
    <w:p w14:paraId="00000F3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Woods, A. M., Racine, S. E., and </w:t>
      </w:r>
      <w:proofErr w:type="spellStart"/>
      <w:r w:rsidRPr="000E4FE6">
        <w:rPr>
          <w:rFonts w:ascii="Times New Roman" w:hAnsi="Times New Roman" w:cs="Times New Roman"/>
          <w:sz w:val="24"/>
          <w:szCs w:val="24"/>
        </w:rPr>
        <w:t>Klump</w:t>
      </w:r>
      <w:proofErr w:type="spellEnd"/>
      <w:r w:rsidRPr="000E4FE6">
        <w:rPr>
          <w:rFonts w:ascii="Times New Roman" w:hAnsi="Times New Roman" w:cs="Times New Roman"/>
          <w:sz w:val="24"/>
          <w:szCs w:val="24"/>
        </w:rPr>
        <w:t xml:space="preserve">, K. L. (2010). Examining the relationship between dietary restraint and binge </w:t>
      </w:r>
      <w:proofErr w:type="gramStart"/>
      <w:r w:rsidRPr="000E4FE6">
        <w:rPr>
          <w:rFonts w:ascii="Times New Roman" w:hAnsi="Times New Roman" w:cs="Times New Roman"/>
          <w:sz w:val="24"/>
          <w:szCs w:val="24"/>
        </w:rPr>
        <w:t>eating:</w:t>
      </w:r>
      <w:proofErr w:type="gramEnd"/>
      <w:r w:rsidRPr="000E4FE6">
        <w:rPr>
          <w:rFonts w:ascii="Times New Roman" w:hAnsi="Times New Roman" w:cs="Times New Roman"/>
          <w:sz w:val="24"/>
          <w:szCs w:val="24"/>
        </w:rPr>
        <w:t xml:space="preserve"> differential effects of major and minor stressors. </w:t>
      </w:r>
      <w:r w:rsidRPr="000E4FE6">
        <w:rPr>
          <w:rFonts w:ascii="Times New Roman" w:hAnsi="Times New Roman" w:cs="Times New Roman"/>
          <w:i/>
          <w:sz w:val="24"/>
          <w:szCs w:val="24"/>
        </w:rPr>
        <w:t xml:space="preserve">Eating </w:t>
      </w:r>
      <w:proofErr w:type="spellStart"/>
      <w:r w:rsidRPr="000E4FE6">
        <w:rPr>
          <w:rFonts w:ascii="Times New Roman" w:hAnsi="Times New Roman" w:cs="Times New Roman"/>
          <w:i/>
          <w:sz w:val="24"/>
          <w:szCs w:val="24"/>
        </w:rPr>
        <w:t>Behaviors</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11</w:t>
      </w:r>
      <w:r w:rsidRPr="000E4FE6">
        <w:rPr>
          <w:rFonts w:ascii="Times New Roman" w:hAnsi="Times New Roman" w:cs="Times New Roman"/>
          <w:sz w:val="24"/>
          <w:szCs w:val="24"/>
        </w:rPr>
        <w:t>(4), 276–280. https://doi.org/10.1016/j.eatbeh.2010.08.001</w:t>
      </w:r>
    </w:p>
    <w:p w14:paraId="00000F34"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Wu, G. D., Chen, J., Hoffmann, C., </w:t>
      </w:r>
      <w:proofErr w:type="spellStart"/>
      <w:r w:rsidRPr="000E4FE6">
        <w:rPr>
          <w:rFonts w:ascii="Times New Roman" w:hAnsi="Times New Roman" w:cs="Times New Roman"/>
          <w:sz w:val="24"/>
          <w:szCs w:val="24"/>
        </w:rPr>
        <w:t>Bittinger</w:t>
      </w:r>
      <w:proofErr w:type="spellEnd"/>
      <w:r w:rsidRPr="000E4FE6">
        <w:rPr>
          <w:rFonts w:ascii="Times New Roman" w:hAnsi="Times New Roman" w:cs="Times New Roman"/>
          <w:sz w:val="24"/>
          <w:szCs w:val="24"/>
        </w:rPr>
        <w:t xml:space="preserve">, K., Chen, Y.-Y., </w:t>
      </w:r>
      <w:proofErr w:type="spellStart"/>
      <w:r w:rsidRPr="000E4FE6">
        <w:rPr>
          <w:rFonts w:ascii="Times New Roman" w:hAnsi="Times New Roman" w:cs="Times New Roman"/>
          <w:sz w:val="24"/>
          <w:szCs w:val="24"/>
        </w:rPr>
        <w:t>Keilbaugh</w:t>
      </w:r>
      <w:proofErr w:type="spellEnd"/>
      <w:r w:rsidRPr="000E4FE6">
        <w:rPr>
          <w:rFonts w:ascii="Times New Roman" w:hAnsi="Times New Roman" w:cs="Times New Roman"/>
          <w:sz w:val="24"/>
          <w:szCs w:val="24"/>
        </w:rPr>
        <w:t>, S. A., … Lewis, J. D. (2011). Linking long-term dietary patterns with gut microbial enterotypes. </w:t>
      </w:r>
      <w:r w:rsidRPr="000E4FE6">
        <w:rPr>
          <w:rFonts w:ascii="Times New Roman" w:hAnsi="Times New Roman" w:cs="Times New Roman"/>
          <w:i/>
          <w:sz w:val="24"/>
          <w:szCs w:val="24"/>
        </w:rPr>
        <w:t>Science</w:t>
      </w:r>
      <w:r w:rsidRPr="000E4FE6">
        <w:rPr>
          <w:rFonts w:ascii="Times New Roman" w:hAnsi="Times New Roman" w:cs="Times New Roman"/>
          <w:sz w:val="24"/>
          <w:szCs w:val="24"/>
        </w:rPr>
        <w:t>, </w:t>
      </w:r>
      <w:r w:rsidRPr="000E4FE6">
        <w:rPr>
          <w:rFonts w:ascii="Times New Roman" w:hAnsi="Times New Roman" w:cs="Times New Roman"/>
          <w:i/>
          <w:sz w:val="24"/>
          <w:szCs w:val="24"/>
        </w:rPr>
        <w:t>334</w:t>
      </w:r>
      <w:r w:rsidRPr="000E4FE6">
        <w:rPr>
          <w:rFonts w:ascii="Times New Roman" w:hAnsi="Times New Roman" w:cs="Times New Roman"/>
          <w:sz w:val="24"/>
          <w:szCs w:val="24"/>
        </w:rPr>
        <w:t>(6052), 105–108. https://doi.org/10.1126/science.1208344</w:t>
      </w:r>
    </w:p>
    <w:p w14:paraId="00000F35"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Xiao, Q., </w:t>
      </w:r>
      <w:proofErr w:type="spellStart"/>
      <w:r w:rsidRPr="000E4FE6">
        <w:rPr>
          <w:rFonts w:ascii="Times New Roman" w:hAnsi="Times New Roman" w:cs="Times New Roman"/>
          <w:sz w:val="24"/>
          <w:szCs w:val="24"/>
        </w:rPr>
        <w:t>Garaulet</w:t>
      </w:r>
      <w:proofErr w:type="spellEnd"/>
      <w:r w:rsidRPr="000E4FE6">
        <w:rPr>
          <w:rFonts w:ascii="Times New Roman" w:hAnsi="Times New Roman" w:cs="Times New Roman"/>
          <w:sz w:val="24"/>
          <w:szCs w:val="24"/>
        </w:rPr>
        <w:t>, M., and Scheer, F. A. J. L. (2019). Meal timing and obesity: interactions with macronutrient intake and chronotype. </w:t>
      </w:r>
      <w:r w:rsidRPr="000E4FE6">
        <w:rPr>
          <w:rFonts w:ascii="Times New Roman" w:hAnsi="Times New Roman" w:cs="Times New Roman"/>
          <w:i/>
          <w:sz w:val="24"/>
          <w:szCs w:val="24"/>
        </w:rPr>
        <w:t>International Journal of Obesity</w:t>
      </w:r>
      <w:r w:rsidRPr="000E4FE6">
        <w:rPr>
          <w:rFonts w:ascii="Times New Roman" w:hAnsi="Times New Roman" w:cs="Times New Roman"/>
          <w:sz w:val="24"/>
          <w:szCs w:val="24"/>
        </w:rPr>
        <w:t>, </w:t>
      </w:r>
      <w:r w:rsidRPr="000E4FE6">
        <w:rPr>
          <w:rFonts w:ascii="Times New Roman" w:hAnsi="Times New Roman" w:cs="Times New Roman"/>
          <w:i/>
          <w:sz w:val="24"/>
          <w:szCs w:val="24"/>
        </w:rPr>
        <w:t>43</w:t>
      </w:r>
      <w:r w:rsidRPr="000E4FE6">
        <w:rPr>
          <w:rFonts w:ascii="Times New Roman" w:hAnsi="Times New Roman" w:cs="Times New Roman"/>
          <w:sz w:val="24"/>
          <w:szCs w:val="24"/>
        </w:rPr>
        <w:t>(9), 1701–1711. https://doi.org/10.1038/s41366-018-0284-x</w:t>
      </w:r>
    </w:p>
    <w:p w14:paraId="00000F36"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Yang, R.-J., Wang, E. K., Hsieh, Y.-S., and Chen, M.-Y. (2006). Irregular breakfast eating and health status among adolescents in Taiwan. </w:t>
      </w:r>
      <w:r w:rsidRPr="000E4FE6">
        <w:rPr>
          <w:rFonts w:ascii="Times New Roman" w:hAnsi="Times New Roman" w:cs="Times New Roman"/>
          <w:i/>
          <w:sz w:val="24"/>
          <w:szCs w:val="24"/>
        </w:rPr>
        <w:t>BMC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6</w:t>
      </w:r>
      <w:r w:rsidRPr="000E4FE6">
        <w:rPr>
          <w:rFonts w:ascii="Times New Roman" w:hAnsi="Times New Roman" w:cs="Times New Roman"/>
          <w:sz w:val="24"/>
          <w:szCs w:val="24"/>
        </w:rPr>
        <w:t>, 295. https://doi.org/10.1186/1471-2458-6-295</w:t>
      </w:r>
    </w:p>
    <w:p w14:paraId="00000F37"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Yannakoulia</w:t>
      </w:r>
      <w:proofErr w:type="spellEnd"/>
      <w:r w:rsidRPr="000E4FE6">
        <w:rPr>
          <w:rFonts w:ascii="Times New Roman" w:hAnsi="Times New Roman" w:cs="Times New Roman"/>
          <w:sz w:val="24"/>
          <w:szCs w:val="24"/>
        </w:rPr>
        <w:t xml:space="preserve">, M., </w:t>
      </w:r>
      <w:proofErr w:type="spellStart"/>
      <w:r w:rsidRPr="000E4FE6">
        <w:rPr>
          <w:rFonts w:ascii="Times New Roman" w:hAnsi="Times New Roman" w:cs="Times New Roman"/>
          <w:sz w:val="24"/>
          <w:szCs w:val="24"/>
        </w:rPr>
        <w:t>Melistas</w:t>
      </w:r>
      <w:proofErr w:type="spellEnd"/>
      <w:r w:rsidRPr="000E4FE6">
        <w:rPr>
          <w:rFonts w:ascii="Times New Roman" w:hAnsi="Times New Roman" w:cs="Times New Roman"/>
          <w:sz w:val="24"/>
          <w:szCs w:val="24"/>
        </w:rPr>
        <w:t xml:space="preserve">, L., </w:t>
      </w:r>
      <w:proofErr w:type="spellStart"/>
      <w:r w:rsidRPr="000E4FE6">
        <w:rPr>
          <w:rFonts w:ascii="Times New Roman" w:hAnsi="Times New Roman" w:cs="Times New Roman"/>
          <w:sz w:val="24"/>
          <w:szCs w:val="24"/>
        </w:rPr>
        <w:t>Solomou</w:t>
      </w:r>
      <w:proofErr w:type="spellEnd"/>
      <w:r w:rsidRPr="000E4FE6">
        <w:rPr>
          <w:rFonts w:ascii="Times New Roman" w:hAnsi="Times New Roman" w:cs="Times New Roman"/>
          <w:sz w:val="24"/>
          <w:szCs w:val="24"/>
        </w:rPr>
        <w:t xml:space="preserve">, E., and </w:t>
      </w:r>
      <w:proofErr w:type="spellStart"/>
      <w:r w:rsidRPr="000E4FE6">
        <w:rPr>
          <w:rFonts w:ascii="Times New Roman" w:hAnsi="Times New Roman" w:cs="Times New Roman"/>
          <w:sz w:val="24"/>
          <w:szCs w:val="24"/>
        </w:rPr>
        <w:t>Yiannakouris</w:t>
      </w:r>
      <w:proofErr w:type="spellEnd"/>
      <w:r w:rsidRPr="000E4FE6">
        <w:rPr>
          <w:rFonts w:ascii="Times New Roman" w:hAnsi="Times New Roman" w:cs="Times New Roman"/>
          <w:sz w:val="24"/>
          <w:szCs w:val="24"/>
        </w:rPr>
        <w:t>, N. (2007). Association of eating frequency with body fatness in pre- and postmenopausal women. </w:t>
      </w:r>
      <w:r w:rsidRPr="000E4FE6">
        <w:rPr>
          <w:rFonts w:ascii="Times New Roman" w:hAnsi="Times New Roman" w:cs="Times New Roman"/>
          <w:i/>
          <w:sz w:val="24"/>
          <w:szCs w:val="24"/>
        </w:rPr>
        <w:t>Obesity</w:t>
      </w:r>
      <w:r w:rsidRPr="000E4FE6">
        <w:rPr>
          <w:rFonts w:ascii="Times New Roman" w:hAnsi="Times New Roman" w:cs="Times New Roman"/>
          <w:sz w:val="24"/>
          <w:szCs w:val="24"/>
        </w:rPr>
        <w:t>, </w:t>
      </w:r>
      <w:r w:rsidRPr="000E4FE6">
        <w:rPr>
          <w:rFonts w:ascii="Times New Roman" w:hAnsi="Times New Roman" w:cs="Times New Roman"/>
          <w:i/>
          <w:sz w:val="24"/>
          <w:szCs w:val="24"/>
        </w:rPr>
        <w:t>15</w:t>
      </w:r>
      <w:r w:rsidRPr="000E4FE6">
        <w:rPr>
          <w:rFonts w:ascii="Times New Roman" w:hAnsi="Times New Roman" w:cs="Times New Roman"/>
          <w:sz w:val="24"/>
          <w:szCs w:val="24"/>
        </w:rPr>
        <w:t>(1), 100–106. https://doi.org/10.1038/oby.2007.503</w:t>
      </w:r>
    </w:p>
    <w:p w14:paraId="00000F38" w14:textId="50909957" w:rsidR="00CB4215"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lastRenderedPageBreak/>
        <w:t>Yeomans, M. R. (2010). Alcohol, appetite and energy balance: is alcohol intake a risk factor for obesity?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100</w:t>
      </w:r>
      <w:r w:rsidRPr="000E4FE6">
        <w:rPr>
          <w:rFonts w:ascii="Times New Roman" w:hAnsi="Times New Roman" w:cs="Times New Roman"/>
          <w:sz w:val="24"/>
          <w:szCs w:val="24"/>
        </w:rPr>
        <w:t xml:space="preserve">(1), 82–89. </w:t>
      </w:r>
      <w:hyperlink r:id="rId833" w:history="1">
        <w:r w:rsidR="00FB6D74" w:rsidRPr="00CB0261">
          <w:rPr>
            <w:rStyle w:val="Hyperlink"/>
            <w:rFonts w:ascii="Times New Roman" w:hAnsi="Times New Roman" w:cs="Times New Roman"/>
            <w:sz w:val="24"/>
            <w:szCs w:val="24"/>
          </w:rPr>
          <w:t>https://doi.org/10.1016/j.physbeh.2010.01.012</w:t>
        </w:r>
      </w:hyperlink>
    </w:p>
    <w:p w14:paraId="6E1EC0D1" w14:textId="2D40751D" w:rsidR="00FB6D74" w:rsidRPr="000E4FE6" w:rsidRDefault="00FB6D74">
      <w:pPr>
        <w:spacing w:line="480" w:lineRule="auto"/>
        <w:ind w:left="737" w:hanging="720"/>
        <w:jc w:val="both"/>
        <w:rPr>
          <w:rFonts w:ascii="Times New Roman" w:hAnsi="Times New Roman" w:cs="Times New Roman"/>
          <w:sz w:val="24"/>
          <w:szCs w:val="24"/>
        </w:rPr>
      </w:pPr>
      <w:proofErr w:type="spellStart"/>
      <w:r w:rsidRPr="00FB6D74">
        <w:rPr>
          <w:rFonts w:ascii="Times New Roman" w:hAnsi="Times New Roman" w:cs="Times New Roman"/>
          <w:sz w:val="24"/>
          <w:szCs w:val="24"/>
        </w:rPr>
        <w:t>Yim</w:t>
      </w:r>
      <w:proofErr w:type="spellEnd"/>
      <w:r w:rsidRPr="00FB6D74">
        <w:rPr>
          <w:rFonts w:ascii="Times New Roman" w:hAnsi="Times New Roman" w:cs="Times New Roman"/>
          <w:sz w:val="24"/>
          <w:szCs w:val="24"/>
        </w:rPr>
        <w:t xml:space="preserve">, O., and </w:t>
      </w:r>
      <w:proofErr w:type="spellStart"/>
      <w:r w:rsidRPr="00FB6D74">
        <w:rPr>
          <w:rFonts w:ascii="Times New Roman" w:hAnsi="Times New Roman" w:cs="Times New Roman"/>
          <w:sz w:val="24"/>
          <w:szCs w:val="24"/>
        </w:rPr>
        <w:t>Ramdeen</w:t>
      </w:r>
      <w:proofErr w:type="spellEnd"/>
      <w:r w:rsidRPr="00FB6D74">
        <w:rPr>
          <w:rFonts w:ascii="Times New Roman" w:hAnsi="Times New Roman" w:cs="Times New Roman"/>
          <w:sz w:val="24"/>
          <w:szCs w:val="24"/>
        </w:rPr>
        <w:t>, K. T. (2015). Hierarchical cluster analysis: comparison of three linkage measures and application to psychological data. The Quantitative Methods for Psychology, 11(1), 8–21. https://doi.org/10.20982/tqmp.11.1.p008</w:t>
      </w:r>
    </w:p>
    <w:p w14:paraId="00000F39"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Yoshida, J., </w:t>
      </w:r>
      <w:proofErr w:type="spellStart"/>
      <w:r w:rsidRPr="000E4FE6">
        <w:rPr>
          <w:rFonts w:ascii="Times New Roman" w:hAnsi="Times New Roman" w:cs="Times New Roman"/>
          <w:sz w:val="24"/>
          <w:szCs w:val="24"/>
        </w:rPr>
        <w:t>Eguchi</w:t>
      </w:r>
      <w:proofErr w:type="spellEnd"/>
      <w:r w:rsidRPr="000E4FE6">
        <w:rPr>
          <w:rFonts w:ascii="Times New Roman" w:hAnsi="Times New Roman" w:cs="Times New Roman"/>
          <w:sz w:val="24"/>
          <w:szCs w:val="24"/>
        </w:rPr>
        <w:t>, E., Nagaoka, K., Ito, T., and Ogino, K. (2018). Association of night eating habits with metabolic syndrome and its components: a longitudinal study. </w:t>
      </w:r>
      <w:r w:rsidRPr="000E4FE6">
        <w:rPr>
          <w:rFonts w:ascii="Times New Roman" w:hAnsi="Times New Roman" w:cs="Times New Roman"/>
          <w:i/>
          <w:sz w:val="24"/>
          <w:szCs w:val="24"/>
        </w:rPr>
        <w:t>BMC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18</w:t>
      </w:r>
      <w:r w:rsidRPr="000E4FE6">
        <w:rPr>
          <w:rFonts w:ascii="Times New Roman" w:hAnsi="Times New Roman" w:cs="Times New Roman"/>
          <w:sz w:val="24"/>
          <w:szCs w:val="24"/>
        </w:rPr>
        <w:t>(1), 1366. https://doi.org/10.1186/s12889-018-6262-3</w:t>
      </w:r>
    </w:p>
    <w:p w14:paraId="00000F3A"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Young, L. R., and Nestle, M. (2002). The contribution of expanding portion sizes to the US obesity epidemic. </w:t>
      </w:r>
      <w:r w:rsidRPr="000E4FE6">
        <w:rPr>
          <w:rFonts w:ascii="Times New Roman" w:hAnsi="Times New Roman" w:cs="Times New Roman"/>
          <w:i/>
          <w:sz w:val="24"/>
          <w:szCs w:val="24"/>
        </w:rPr>
        <w:t>American Journal of Public Health</w:t>
      </w:r>
      <w:r w:rsidRPr="000E4FE6">
        <w:rPr>
          <w:rFonts w:ascii="Times New Roman" w:hAnsi="Times New Roman" w:cs="Times New Roman"/>
          <w:sz w:val="24"/>
          <w:szCs w:val="24"/>
        </w:rPr>
        <w:t>, </w:t>
      </w:r>
      <w:r w:rsidRPr="000E4FE6">
        <w:rPr>
          <w:rFonts w:ascii="Times New Roman" w:hAnsi="Times New Roman" w:cs="Times New Roman"/>
          <w:i/>
          <w:sz w:val="24"/>
          <w:szCs w:val="24"/>
        </w:rPr>
        <w:t>92</w:t>
      </w:r>
      <w:r w:rsidRPr="000E4FE6">
        <w:rPr>
          <w:rFonts w:ascii="Times New Roman" w:hAnsi="Times New Roman" w:cs="Times New Roman"/>
          <w:sz w:val="24"/>
          <w:szCs w:val="24"/>
        </w:rPr>
        <w:t>(2), 246–249. https://doi.org/10.2105/ajph.92.2.246</w:t>
      </w:r>
    </w:p>
    <w:p w14:paraId="00000F3B"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Young, L. R., and Nestle, M. (2012). Reducing portion sizes to prevent obesity: a call to action. </w:t>
      </w:r>
      <w:r w:rsidRPr="000E4FE6">
        <w:rPr>
          <w:rFonts w:ascii="Times New Roman" w:hAnsi="Times New Roman" w:cs="Times New Roman"/>
          <w:i/>
          <w:sz w:val="24"/>
          <w:szCs w:val="24"/>
        </w:rPr>
        <w:t>American Journal of Preventive Medicine</w:t>
      </w:r>
      <w:r w:rsidRPr="000E4FE6">
        <w:rPr>
          <w:rFonts w:ascii="Times New Roman" w:hAnsi="Times New Roman" w:cs="Times New Roman"/>
          <w:sz w:val="24"/>
          <w:szCs w:val="24"/>
        </w:rPr>
        <w:t>, </w:t>
      </w:r>
      <w:r w:rsidRPr="000E4FE6">
        <w:rPr>
          <w:rFonts w:ascii="Times New Roman" w:hAnsi="Times New Roman" w:cs="Times New Roman"/>
          <w:i/>
          <w:sz w:val="24"/>
          <w:szCs w:val="24"/>
        </w:rPr>
        <w:t>43</w:t>
      </w:r>
      <w:r w:rsidRPr="000E4FE6">
        <w:rPr>
          <w:rFonts w:ascii="Times New Roman" w:hAnsi="Times New Roman" w:cs="Times New Roman"/>
          <w:sz w:val="24"/>
          <w:szCs w:val="24"/>
        </w:rPr>
        <w:t>(5), 565–568. https://doi.org/10.1016/j.amepre.2012.07.024</w:t>
      </w:r>
    </w:p>
    <w:p w14:paraId="00000F3C"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Zaghi</w:t>
      </w:r>
      <w:proofErr w:type="spellEnd"/>
      <w:r w:rsidRPr="000E4FE6">
        <w:rPr>
          <w:rFonts w:ascii="Times New Roman" w:hAnsi="Times New Roman" w:cs="Times New Roman"/>
          <w:sz w:val="24"/>
          <w:szCs w:val="24"/>
        </w:rPr>
        <w:t xml:space="preserve">, A. N., </w:t>
      </w:r>
      <w:proofErr w:type="spellStart"/>
      <w:r w:rsidRPr="000E4FE6">
        <w:rPr>
          <w:rFonts w:ascii="Times New Roman" w:hAnsi="Times New Roman" w:cs="Times New Roman"/>
          <w:sz w:val="24"/>
          <w:szCs w:val="24"/>
        </w:rPr>
        <w:t>Barbalho</w:t>
      </w:r>
      <w:proofErr w:type="spellEnd"/>
      <w:r w:rsidRPr="000E4FE6">
        <w:rPr>
          <w:rFonts w:ascii="Times New Roman" w:hAnsi="Times New Roman" w:cs="Times New Roman"/>
          <w:sz w:val="24"/>
          <w:szCs w:val="24"/>
        </w:rPr>
        <w:t xml:space="preserve">, S. M., </w:t>
      </w:r>
      <w:proofErr w:type="spellStart"/>
      <w:r w:rsidRPr="000E4FE6">
        <w:rPr>
          <w:rFonts w:ascii="Times New Roman" w:hAnsi="Times New Roman" w:cs="Times New Roman"/>
          <w:sz w:val="24"/>
          <w:szCs w:val="24"/>
        </w:rPr>
        <w:t>Guiguer</w:t>
      </w:r>
      <w:proofErr w:type="spellEnd"/>
      <w:r w:rsidRPr="000E4FE6">
        <w:rPr>
          <w:rFonts w:ascii="Times New Roman" w:hAnsi="Times New Roman" w:cs="Times New Roman"/>
          <w:sz w:val="24"/>
          <w:szCs w:val="24"/>
        </w:rPr>
        <w:t xml:space="preserve">, E. L., and </w:t>
      </w:r>
      <w:proofErr w:type="spellStart"/>
      <w:r w:rsidRPr="000E4FE6">
        <w:rPr>
          <w:rFonts w:ascii="Times New Roman" w:hAnsi="Times New Roman" w:cs="Times New Roman"/>
          <w:sz w:val="24"/>
          <w:szCs w:val="24"/>
        </w:rPr>
        <w:t>Otoboni</w:t>
      </w:r>
      <w:proofErr w:type="spellEnd"/>
      <w:r w:rsidRPr="000E4FE6">
        <w:rPr>
          <w:rFonts w:ascii="Times New Roman" w:hAnsi="Times New Roman" w:cs="Times New Roman"/>
          <w:sz w:val="24"/>
          <w:szCs w:val="24"/>
        </w:rPr>
        <w:t>, A. M. (2019). Frying process: from conventional to air frying technology. </w:t>
      </w:r>
      <w:r w:rsidRPr="000E4FE6">
        <w:rPr>
          <w:rFonts w:ascii="Times New Roman" w:hAnsi="Times New Roman" w:cs="Times New Roman"/>
          <w:i/>
          <w:sz w:val="24"/>
          <w:szCs w:val="24"/>
        </w:rPr>
        <w:t>Food Reviews International</w:t>
      </w:r>
      <w:r w:rsidRPr="000E4FE6">
        <w:rPr>
          <w:rFonts w:ascii="Times New Roman" w:hAnsi="Times New Roman" w:cs="Times New Roman"/>
          <w:sz w:val="24"/>
          <w:szCs w:val="24"/>
        </w:rPr>
        <w:t>, 1–15. https://doi.org/10.1080/87559129.2019.1600541</w:t>
      </w:r>
    </w:p>
    <w:p w14:paraId="00000F3D"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Zahra, J., Ford, T., and Jodrell, D. (2014). Cross‐sectional survey of daily junk food consumption, irregular eating, mental and physical health and parenting style of B </w:t>
      </w:r>
      <w:proofErr w:type="spellStart"/>
      <w:r w:rsidRPr="000E4FE6">
        <w:rPr>
          <w:rFonts w:ascii="Times New Roman" w:hAnsi="Times New Roman" w:cs="Times New Roman"/>
          <w:sz w:val="24"/>
          <w:szCs w:val="24"/>
        </w:rPr>
        <w:t>ritish</w:t>
      </w:r>
      <w:proofErr w:type="spellEnd"/>
      <w:r w:rsidRPr="000E4FE6">
        <w:rPr>
          <w:rFonts w:ascii="Times New Roman" w:hAnsi="Times New Roman" w:cs="Times New Roman"/>
          <w:sz w:val="24"/>
          <w:szCs w:val="24"/>
        </w:rPr>
        <w:t xml:space="preserve"> secondary school children. </w:t>
      </w:r>
      <w:r w:rsidRPr="000E4FE6">
        <w:rPr>
          <w:rFonts w:ascii="Times New Roman" w:hAnsi="Times New Roman" w:cs="Times New Roman"/>
          <w:i/>
          <w:sz w:val="24"/>
          <w:szCs w:val="24"/>
        </w:rPr>
        <w:t>Child: Care, Health and Development</w:t>
      </w:r>
      <w:r w:rsidRPr="000E4FE6">
        <w:rPr>
          <w:rFonts w:ascii="Times New Roman" w:hAnsi="Times New Roman" w:cs="Times New Roman"/>
          <w:sz w:val="24"/>
          <w:szCs w:val="24"/>
        </w:rPr>
        <w:t>, </w:t>
      </w:r>
      <w:r w:rsidRPr="000E4FE6">
        <w:rPr>
          <w:rFonts w:ascii="Times New Roman" w:hAnsi="Times New Roman" w:cs="Times New Roman"/>
          <w:i/>
          <w:sz w:val="24"/>
          <w:szCs w:val="24"/>
        </w:rPr>
        <w:t>40</w:t>
      </w:r>
      <w:r w:rsidRPr="000E4FE6">
        <w:rPr>
          <w:rFonts w:ascii="Times New Roman" w:hAnsi="Times New Roman" w:cs="Times New Roman"/>
          <w:sz w:val="24"/>
          <w:szCs w:val="24"/>
        </w:rPr>
        <w:t>(4), 481–491.</w:t>
      </w:r>
    </w:p>
    <w:p w14:paraId="00000F3E"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Zaman, A., </w:t>
      </w:r>
      <w:proofErr w:type="spellStart"/>
      <w:r w:rsidRPr="000E4FE6">
        <w:rPr>
          <w:rFonts w:ascii="Times New Roman" w:hAnsi="Times New Roman" w:cs="Times New Roman"/>
          <w:sz w:val="24"/>
          <w:szCs w:val="24"/>
        </w:rPr>
        <w:t>Rynders</w:t>
      </w:r>
      <w:proofErr w:type="spellEnd"/>
      <w:r w:rsidRPr="000E4FE6">
        <w:rPr>
          <w:rFonts w:ascii="Times New Roman" w:hAnsi="Times New Roman" w:cs="Times New Roman"/>
          <w:sz w:val="24"/>
          <w:szCs w:val="24"/>
        </w:rPr>
        <w:t>, C., Steinke, S., Tussey, E., Kealey, E., and Thomas, E. (2019). SAT-096 Later Timing of Energy Intake Associates with Higher Fat Mass in Adults with Overweight and Obesity. </w:t>
      </w:r>
      <w:r w:rsidRPr="000E4FE6">
        <w:rPr>
          <w:rFonts w:ascii="Times New Roman" w:hAnsi="Times New Roman" w:cs="Times New Roman"/>
          <w:i/>
          <w:sz w:val="24"/>
          <w:szCs w:val="24"/>
        </w:rPr>
        <w:t>Journal of the Endocrine Society</w:t>
      </w:r>
      <w:r w:rsidRPr="000E4FE6">
        <w:rPr>
          <w:rFonts w:ascii="Times New Roman" w:hAnsi="Times New Roman" w:cs="Times New Roman"/>
          <w:sz w:val="24"/>
          <w:szCs w:val="24"/>
        </w:rPr>
        <w:t>, </w:t>
      </w:r>
      <w:r w:rsidRPr="000E4FE6">
        <w:rPr>
          <w:rFonts w:ascii="Times New Roman" w:hAnsi="Times New Roman" w:cs="Times New Roman"/>
          <w:i/>
          <w:sz w:val="24"/>
          <w:szCs w:val="24"/>
        </w:rPr>
        <w:t>3</w:t>
      </w:r>
      <w:r w:rsidRPr="000E4FE6">
        <w:rPr>
          <w:rFonts w:ascii="Times New Roman" w:hAnsi="Times New Roman" w:cs="Times New Roman"/>
          <w:sz w:val="24"/>
          <w:szCs w:val="24"/>
        </w:rPr>
        <w:t>(Supplement_1). https://doi.org/10.1210/js.2019-SAT-096</w:t>
      </w:r>
    </w:p>
    <w:p w14:paraId="00000F3F"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Zarrinpar</w:t>
      </w:r>
      <w:proofErr w:type="spellEnd"/>
      <w:r w:rsidRPr="000E4FE6">
        <w:rPr>
          <w:rFonts w:ascii="Times New Roman" w:hAnsi="Times New Roman" w:cs="Times New Roman"/>
          <w:sz w:val="24"/>
          <w:szCs w:val="24"/>
        </w:rPr>
        <w:t xml:space="preserve">, A., </w:t>
      </w:r>
      <w:proofErr w:type="spellStart"/>
      <w:r w:rsidRPr="000E4FE6">
        <w:rPr>
          <w:rFonts w:ascii="Times New Roman" w:hAnsi="Times New Roman" w:cs="Times New Roman"/>
          <w:sz w:val="24"/>
          <w:szCs w:val="24"/>
        </w:rPr>
        <w:t>Chaix</w:t>
      </w:r>
      <w:proofErr w:type="spellEnd"/>
      <w:r w:rsidRPr="000E4FE6">
        <w:rPr>
          <w:rFonts w:ascii="Times New Roman" w:hAnsi="Times New Roman" w:cs="Times New Roman"/>
          <w:sz w:val="24"/>
          <w:szCs w:val="24"/>
        </w:rPr>
        <w:t>, A., and Panda, S. (2016). Daily eating patterns and their impact on health and disease. </w:t>
      </w:r>
      <w:r w:rsidRPr="000E4FE6">
        <w:rPr>
          <w:rFonts w:ascii="Times New Roman" w:hAnsi="Times New Roman" w:cs="Times New Roman"/>
          <w:i/>
          <w:sz w:val="24"/>
          <w:szCs w:val="24"/>
        </w:rPr>
        <w:t>Trends in Endocrinology and Metabolism</w:t>
      </w:r>
      <w:r w:rsidRPr="000E4FE6">
        <w:rPr>
          <w:rFonts w:ascii="Times New Roman" w:hAnsi="Times New Roman" w:cs="Times New Roman"/>
          <w:sz w:val="24"/>
          <w:szCs w:val="24"/>
        </w:rPr>
        <w:t>, </w:t>
      </w:r>
      <w:r w:rsidRPr="000E4FE6">
        <w:rPr>
          <w:rFonts w:ascii="Times New Roman" w:hAnsi="Times New Roman" w:cs="Times New Roman"/>
          <w:i/>
          <w:sz w:val="24"/>
          <w:szCs w:val="24"/>
        </w:rPr>
        <w:t>27</w:t>
      </w:r>
      <w:r w:rsidRPr="000E4FE6">
        <w:rPr>
          <w:rFonts w:ascii="Times New Roman" w:hAnsi="Times New Roman" w:cs="Times New Roman"/>
          <w:sz w:val="24"/>
          <w:szCs w:val="24"/>
        </w:rPr>
        <w:t>(2), 69–83. https://doi.org/10.1016/j.tem.2015.11.007</w:t>
      </w:r>
    </w:p>
    <w:p w14:paraId="00000F40"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Zhao, Y., Zhang, Y., Zhou, M., Wang, S., Hua, Z., and Zhang, J. (2012). Loss of mPer2 increases plasma insulin levels by enhanced glucose-stimulated insulin secretion and impaired insulin clearance in mice. </w:t>
      </w:r>
      <w:r w:rsidRPr="000E4FE6">
        <w:rPr>
          <w:rFonts w:ascii="Times New Roman" w:hAnsi="Times New Roman" w:cs="Times New Roman"/>
          <w:i/>
          <w:sz w:val="24"/>
          <w:szCs w:val="24"/>
        </w:rPr>
        <w:t>FEBS Letters</w:t>
      </w:r>
      <w:r w:rsidRPr="000E4FE6">
        <w:rPr>
          <w:rFonts w:ascii="Times New Roman" w:hAnsi="Times New Roman" w:cs="Times New Roman"/>
          <w:sz w:val="24"/>
          <w:szCs w:val="24"/>
        </w:rPr>
        <w:t>, </w:t>
      </w:r>
      <w:r w:rsidRPr="000E4FE6">
        <w:rPr>
          <w:rFonts w:ascii="Times New Roman" w:hAnsi="Times New Roman" w:cs="Times New Roman"/>
          <w:i/>
          <w:sz w:val="24"/>
          <w:szCs w:val="24"/>
        </w:rPr>
        <w:t>586</w:t>
      </w:r>
      <w:r w:rsidRPr="000E4FE6">
        <w:rPr>
          <w:rFonts w:ascii="Times New Roman" w:hAnsi="Times New Roman" w:cs="Times New Roman"/>
          <w:sz w:val="24"/>
          <w:szCs w:val="24"/>
        </w:rPr>
        <w:t>(9), 1306–1311. https://doi.org/10.1016/j.febslet.2012.03.034</w:t>
      </w:r>
    </w:p>
    <w:p w14:paraId="00000F41"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Ziebland</w:t>
      </w:r>
      <w:proofErr w:type="spellEnd"/>
      <w:r w:rsidRPr="000E4FE6">
        <w:rPr>
          <w:rFonts w:ascii="Times New Roman" w:hAnsi="Times New Roman" w:cs="Times New Roman"/>
          <w:sz w:val="24"/>
          <w:szCs w:val="24"/>
        </w:rPr>
        <w:t xml:space="preserve">, S., Thorogood, M., Fuller, A., and Muir, J. (1996). Desire for the body normal: body image and discrepancies between </w:t>
      </w:r>
      <w:proofErr w:type="spellStart"/>
      <w:r w:rsidRPr="000E4FE6">
        <w:rPr>
          <w:rFonts w:ascii="Times New Roman" w:hAnsi="Times New Roman" w:cs="Times New Roman"/>
          <w:sz w:val="24"/>
          <w:szCs w:val="24"/>
        </w:rPr>
        <w:t>self reported</w:t>
      </w:r>
      <w:proofErr w:type="spellEnd"/>
      <w:r w:rsidRPr="000E4FE6">
        <w:rPr>
          <w:rFonts w:ascii="Times New Roman" w:hAnsi="Times New Roman" w:cs="Times New Roman"/>
          <w:sz w:val="24"/>
          <w:szCs w:val="24"/>
        </w:rPr>
        <w:t xml:space="preserve"> and measured height and weight in a British population. </w:t>
      </w:r>
      <w:r w:rsidRPr="000E4FE6">
        <w:rPr>
          <w:rFonts w:ascii="Times New Roman" w:hAnsi="Times New Roman" w:cs="Times New Roman"/>
          <w:i/>
          <w:sz w:val="24"/>
          <w:szCs w:val="24"/>
        </w:rPr>
        <w:t>Journal of Epidemiology and Community Health</w:t>
      </w:r>
      <w:r w:rsidRPr="000E4FE6">
        <w:rPr>
          <w:rFonts w:ascii="Times New Roman" w:hAnsi="Times New Roman" w:cs="Times New Roman"/>
          <w:sz w:val="24"/>
          <w:szCs w:val="24"/>
        </w:rPr>
        <w:t>, </w:t>
      </w:r>
      <w:r w:rsidRPr="000E4FE6">
        <w:rPr>
          <w:rFonts w:ascii="Times New Roman" w:hAnsi="Times New Roman" w:cs="Times New Roman"/>
          <w:i/>
          <w:sz w:val="24"/>
          <w:szCs w:val="24"/>
        </w:rPr>
        <w:t>50</w:t>
      </w:r>
      <w:r w:rsidRPr="000E4FE6">
        <w:rPr>
          <w:rFonts w:ascii="Times New Roman" w:hAnsi="Times New Roman" w:cs="Times New Roman"/>
          <w:sz w:val="24"/>
          <w:szCs w:val="24"/>
        </w:rPr>
        <w:t>(1), 105–106. https://doi.org/10.1136/jech.50.1.105</w:t>
      </w:r>
    </w:p>
    <w:p w14:paraId="00000F42"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Zimmerman, A. R., Johnson, L., and </w:t>
      </w:r>
      <w:proofErr w:type="spellStart"/>
      <w:r w:rsidRPr="000E4FE6">
        <w:rPr>
          <w:rFonts w:ascii="Times New Roman" w:hAnsi="Times New Roman" w:cs="Times New Roman"/>
          <w:sz w:val="24"/>
          <w:szCs w:val="24"/>
        </w:rPr>
        <w:t>Brunstrom</w:t>
      </w:r>
      <w:proofErr w:type="spellEnd"/>
      <w:r w:rsidRPr="000E4FE6">
        <w:rPr>
          <w:rFonts w:ascii="Times New Roman" w:hAnsi="Times New Roman" w:cs="Times New Roman"/>
          <w:sz w:val="24"/>
          <w:szCs w:val="24"/>
        </w:rPr>
        <w:t>, J. M. (2018). Assessing “chaotic eating” using self-report and the UK Adult National Diet and Nutrition Survey: No association between BMI and variability in meal or snack timings. </w:t>
      </w:r>
      <w:r w:rsidRPr="000E4FE6">
        <w:rPr>
          <w:rFonts w:ascii="Times New Roman" w:hAnsi="Times New Roman" w:cs="Times New Roman"/>
          <w:i/>
          <w:sz w:val="24"/>
          <w:szCs w:val="24"/>
        </w:rPr>
        <w:t xml:space="preserve">Physiology &amp; </w:t>
      </w:r>
      <w:proofErr w:type="spellStart"/>
      <w:r w:rsidRPr="000E4FE6">
        <w:rPr>
          <w:rFonts w:ascii="Times New Roman" w:hAnsi="Times New Roman" w:cs="Times New Roman"/>
          <w:i/>
          <w:sz w:val="24"/>
          <w:szCs w:val="24"/>
        </w:rPr>
        <w:t>Behavior</w:t>
      </w:r>
      <w:proofErr w:type="spellEnd"/>
      <w:r w:rsidRPr="000E4FE6">
        <w:rPr>
          <w:rFonts w:ascii="Times New Roman" w:hAnsi="Times New Roman" w:cs="Times New Roman"/>
          <w:sz w:val="24"/>
          <w:szCs w:val="24"/>
        </w:rPr>
        <w:t>, </w:t>
      </w:r>
      <w:r w:rsidRPr="000E4FE6">
        <w:rPr>
          <w:rFonts w:ascii="Times New Roman" w:hAnsi="Times New Roman" w:cs="Times New Roman"/>
          <w:i/>
          <w:sz w:val="24"/>
          <w:szCs w:val="24"/>
        </w:rPr>
        <w:t>192</w:t>
      </w:r>
      <w:r w:rsidRPr="000E4FE6">
        <w:rPr>
          <w:rFonts w:ascii="Times New Roman" w:hAnsi="Times New Roman" w:cs="Times New Roman"/>
          <w:sz w:val="24"/>
          <w:szCs w:val="24"/>
        </w:rPr>
        <w:t>, 64–71. https://doi.org/10.1016/j.physbeh.2018.03.024</w:t>
      </w:r>
    </w:p>
    <w:p w14:paraId="00000F43" w14:textId="77777777" w:rsidR="00CB4215" w:rsidRPr="000E4FE6" w:rsidRDefault="000530B4">
      <w:pPr>
        <w:spacing w:line="480" w:lineRule="auto"/>
        <w:ind w:left="737" w:hanging="720"/>
        <w:jc w:val="both"/>
        <w:rPr>
          <w:rFonts w:ascii="Times New Roman" w:hAnsi="Times New Roman" w:cs="Times New Roman"/>
          <w:sz w:val="24"/>
          <w:szCs w:val="24"/>
        </w:rPr>
      </w:pPr>
      <w:r w:rsidRPr="000E4FE6">
        <w:rPr>
          <w:rFonts w:ascii="Times New Roman" w:hAnsi="Times New Roman" w:cs="Times New Roman"/>
          <w:sz w:val="24"/>
          <w:szCs w:val="24"/>
        </w:rPr>
        <w:t xml:space="preserve">Zimmerman, M., Hrabosky, J. I., </w:t>
      </w:r>
      <w:proofErr w:type="spellStart"/>
      <w:r w:rsidRPr="000E4FE6">
        <w:rPr>
          <w:rFonts w:ascii="Times New Roman" w:hAnsi="Times New Roman" w:cs="Times New Roman"/>
          <w:sz w:val="24"/>
          <w:szCs w:val="24"/>
        </w:rPr>
        <w:t>Francione</w:t>
      </w:r>
      <w:proofErr w:type="spellEnd"/>
      <w:r w:rsidRPr="000E4FE6">
        <w:rPr>
          <w:rFonts w:ascii="Times New Roman" w:hAnsi="Times New Roman" w:cs="Times New Roman"/>
          <w:sz w:val="24"/>
          <w:szCs w:val="24"/>
        </w:rPr>
        <w:t xml:space="preserve">, C., Young, D., </w:t>
      </w:r>
      <w:proofErr w:type="spellStart"/>
      <w:r w:rsidRPr="000E4FE6">
        <w:rPr>
          <w:rFonts w:ascii="Times New Roman" w:hAnsi="Times New Roman" w:cs="Times New Roman"/>
          <w:sz w:val="24"/>
          <w:szCs w:val="24"/>
        </w:rPr>
        <w:t>Chelminski</w:t>
      </w:r>
      <w:proofErr w:type="spellEnd"/>
      <w:r w:rsidRPr="000E4FE6">
        <w:rPr>
          <w:rFonts w:ascii="Times New Roman" w:hAnsi="Times New Roman" w:cs="Times New Roman"/>
          <w:sz w:val="24"/>
          <w:szCs w:val="24"/>
        </w:rPr>
        <w:t xml:space="preserve">, I., Dalrymple, K., and </w:t>
      </w:r>
      <w:proofErr w:type="spellStart"/>
      <w:r w:rsidRPr="000E4FE6">
        <w:rPr>
          <w:rFonts w:ascii="Times New Roman" w:hAnsi="Times New Roman" w:cs="Times New Roman"/>
          <w:sz w:val="24"/>
          <w:szCs w:val="24"/>
        </w:rPr>
        <w:t>Galione</w:t>
      </w:r>
      <w:proofErr w:type="spellEnd"/>
      <w:r w:rsidRPr="000E4FE6">
        <w:rPr>
          <w:rFonts w:ascii="Times New Roman" w:hAnsi="Times New Roman" w:cs="Times New Roman"/>
          <w:sz w:val="24"/>
          <w:szCs w:val="24"/>
        </w:rPr>
        <w:t>, J. N. (2011). Impact of obesity on the psychometric properties of the Diagnostic and Statistical Manual of Mental Disorders, Fourth Edition criteria for major depressive disorder. </w:t>
      </w:r>
      <w:r w:rsidRPr="000E4FE6">
        <w:rPr>
          <w:rFonts w:ascii="Times New Roman" w:hAnsi="Times New Roman" w:cs="Times New Roman"/>
          <w:i/>
          <w:sz w:val="24"/>
          <w:szCs w:val="24"/>
        </w:rPr>
        <w:t>Comprehensive Psychiatry</w:t>
      </w:r>
      <w:r w:rsidRPr="000E4FE6">
        <w:rPr>
          <w:rFonts w:ascii="Times New Roman" w:hAnsi="Times New Roman" w:cs="Times New Roman"/>
          <w:sz w:val="24"/>
          <w:szCs w:val="24"/>
        </w:rPr>
        <w:t>, </w:t>
      </w:r>
      <w:r w:rsidRPr="000E4FE6">
        <w:rPr>
          <w:rFonts w:ascii="Times New Roman" w:hAnsi="Times New Roman" w:cs="Times New Roman"/>
          <w:i/>
          <w:sz w:val="24"/>
          <w:szCs w:val="24"/>
        </w:rPr>
        <w:t>52</w:t>
      </w:r>
      <w:r w:rsidRPr="000E4FE6">
        <w:rPr>
          <w:rFonts w:ascii="Times New Roman" w:hAnsi="Times New Roman" w:cs="Times New Roman"/>
          <w:sz w:val="24"/>
          <w:szCs w:val="24"/>
        </w:rPr>
        <w:t>(2), 146–150. https://doi.org/10.1016/j.comppsych.2010.05.001</w:t>
      </w:r>
    </w:p>
    <w:p w14:paraId="00000F44"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t>Zitting</w:t>
      </w:r>
      <w:proofErr w:type="spellEnd"/>
      <w:r w:rsidRPr="000E4FE6">
        <w:rPr>
          <w:rFonts w:ascii="Times New Roman" w:hAnsi="Times New Roman" w:cs="Times New Roman"/>
          <w:sz w:val="24"/>
          <w:szCs w:val="24"/>
        </w:rPr>
        <w:t xml:space="preserve">, K.-M., </w:t>
      </w:r>
      <w:proofErr w:type="spellStart"/>
      <w:r w:rsidRPr="000E4FE6">
        <w:rPr>
          <w:rFonts w:ascii="Times New Roman" w:hAnsi="Times New Roman" w:cs="Times New Roman"/>
          <w:sz w:val="24"/>
          <w:szCs w:val="24"/>
        </w:rPr>
        <w:t>Vujovic</w:t>
      </w:r>
      <w:proofErr w:type="spellEnd"/>
      <w:r w:rsidRPr="000E4FE6">
        <w:rPr>
          <w:rFonts w:ascii="Times New Roman" w:hAnsi="Times New Roman" w:cs="Times New Roman"/>
          <w:sz w:val="24"/>
          <w:szCs w:val="24"/>
        </w:rPr>
        <w:t>, N., Yuan, R. K., Isherwood, C. M., Medina, J. E., Wang, W., … Duffy, J. F. (2018). Human Resting Energy Expenditure Varies with Circadian Phase. </w:t>
      </w:r>
      <w:r w:rsidRPr="000E4FE6">
        <w:rPr>
          <w:rFonts w:ascii="Times New Roman" w:hAnsi="Times New Roman" w:cs="Times New Roman"/>
          <w:i/>
          <w:sz w:val="24"/>
          <w:szCs w:val="24"/>
        </w:rPr>
        <w:t>Current Biology</w:t>
      </w:r>
      <w:r w:rsidRPr="000E4FE6">
        <w:rPr>
          <w:rFonts w:ascii="Times New Roman" w:hAnsi="Times New Roman" w:cs="Times New Roman"/>
          <w:sz w:val="24"/>
          <w:szCs w:val="24"/>
        </w:rPr>
        <w:t>, </w:t>
      </w:r>
      <w:r w:rsidRPr="000E4FE6">
        <w:rPr>
          <w:rFonts w:ascii="Times New Roman" w:hAnsi="Times New Roman" w:cs="Times New Roman"/>
          <w:i/>
          <w:sz w:val="24"/>
          <w:szCs w:val="24"/>
        </w:rPr>
        <w:t>28</w:t>
      </w:r>
      <w:r w:rsidRPr="000E4FE6">
        <w:rPr>
          <w:rFonts w:ascii="Times New Roman" w:hAnsi="Times New Roman" w:cs="Times New Roman"/>
          <w:sz w:val="24"/>
          <w:szCs w:val="24"/>
        </w:rPr>
        <w:t>(22), 3685-3690.e3. https://doi.org/10.1016/j.cub.2018.10.005</w:t>
      </w:r>
    </w:p>
    <w:p w14:paraId="00000F45" w14:textId="77777777" w:rsidR="00CB4215" w:rsidRPr="000E4FE6" w:rsidRDefault="000530B4">
      <w:pPr>
        <w:spacing w:line="480" w:lineRule="auto"/>
        <w:ind w:left="737" w:hanging="720"/>
        <w:jc w:val="both"/>
        <w:rPr>
          <w:rFonts w:ascii="Times New Roman" w:hAnsi="Times New Roman" w:cs="Times New Roman"/>
          <w:sz w:val="24"/>
          <w:szCs w:val="24"/>
        </w:rPr>
      </w:pPr>
      <w:proofErr w:type="spellStart"/>
      <w:r w:rsidRPr="000E4FE6">
        <w:rPr>
          <w:rFonts w:ascii="Times New Roman" w:hAnsi="Times New Roman" w:cs="Times New Roman"/>
          <w:sz w:val="24"/>
          <w:szCs w:val="24"/>
        </w:rPr>
        <w:lastRenderedPageBreak/>
        <w:t>Zizza</w:t>
      </w:r>
      <w:proofErr w:type="spellEnd"/>
      <w:r w:rsidRPr="000E4FE6">
        <w:rPr>
          <w:rFonts w:ascii="Times New Roman" w:hAnsi="Times New Roman" w:cs="Times New Roman"/>
          <w:sz w:val="24"/>
          <w:szCs w:val="24"/>
        </w:rPr>
        <w:t>, C. A., and Xu, B. (2012). Snacking is associated with overall diet quality among adults. </w:t>
      </w:r>
      <w:r w:rsidRPr="000E4FE6">
        <w:rPr>
          <w:rFonts w:ascii="Times New Roman" w:hAnsi="Times New Roman" w:cs="Times New Roman"/>
          <w:i/>
          <w:sz w:val="24"/>
          <w:szCs w:val="24"/>
        </w:rPr>
        <w:t>Journal of the Academy of Nutrition and Dietetics</w:t>
      </w:r>
      <w:r w:rsidRPr="000E4FE6">
        <w:rPr>
          <w:rFonts w:ascii="Times New Roman" w:hAnsi="Times New Roman" w:cs="Times New Roman"/>
          <w:sz w:val="24"/>
          <w:szCs w:val="24"/>
        </w:rPr>
        <w:t>, </w:t>
      </w:r>
      <w:r w:rsidRPr="000E4FE6">
        <w:rPr>
          <w:rFonts w:ascii="Times New Roman" w:hAnsi="Times New Roman" w:cs="Times New Roman"/>
          <w:i/>
          <w:sz w:val="24"/>
          <w:szCs w:val="24"/>
        </w:rPr>
        <w:t>112</w:t>
      </w:r>
      <w:r w:rsidRPr="000E4FE6">
        <w:rPr>
          <w:rFonts w:ascii="Times New Roman" w:hAnsi="Times New Roman" w:cs="Times New Roman"/>
          <w:sz w:val="24"/>
          <w:szCs w:val="24"/>
        </w:rPr>
        <w:t>(2), 291–296. https://doi.org/10.1016/j.jada.2011.08.046</w:t>
      </w:r>
    </w:p>
    <w:p w14:paraId="00000F46" w14:textId="77777777" w:rsidR="00CB4215" w:rsidRPr="000E4FE6" w:rsidRDefault="000530B4">
      <w:pPr>
        <w:spacing w:line="480" w:lineRule="auto"/>
        <w:ind w:left="737" w:hanging="720"/>
        <w:jc w:val="both"/>
        <w:rPr>
          <w:rFonts w:ascii="Times New Roman" w:hAnsi="Times New Roman" w:cs="Times New Roman"/>
          <w:sz w:val="24"/>
          <w:szCs w:val="24"/>
        </w:rPr>
        <w:sectPr w:rsidR="00CB4215" w:rsidRPr="000E4FE6">
          <w:headerReference w:type="default" r:id="rId834"/>
          <w:pgSz w:w="11909" w:h="16834"/>
          <w:pgMar w:top="1440" w:right="1440" w:bottom="1440" w:left="1440" w:header="720" w:footer="720" w:gutter="0"/>
          <w:cols w:space="720"/>
        </w:sectPr>
      </w:pPr>
      <w:r w:rsidRPr="000E4FE6">
        <w:rPr>
          <w:rFonts w:ascii="Times New Roman" w:hAnsi="Times New Roman" w:cs="Times New Roman"/>
          <w:sz w:val="24"/>
          <w:szCs w:val="24"/>
        </w:rPr>
        <w:t xml:space="preserve">Zwaan, R. A., </w:t>
      </w:r>
      <w:proofErr w:type="spellStart"/>
      <w:r w:rsidRPr="000E4FE6">
        <w:rPr>
          <w:rFonts w:ascii="Times New Roman" w:hAnsi="Times New Roman" w:cs="Times New Roman"/>
          <w:sz w:val="24"/>
          <w:szCs w:val="24"/>
        </w:rPr>
        <w:t>Etz</w:t>
      </w:r>
      <w:proofErr w:type="spellEnd"/>
      <w:r w:rsidRPr="000E4FE6">
        <w:rPr>
          <w:rFonts w:ascii="Times New Roman" w:hAnsi="Times New Roman" w:cs="Times New Roman"/>
          <w:sz w:val="24"/>
          <w:szCs w:val="24"/>
        </w:rPr>
        <w:t>, A., Lucas, R. E., and Donnellan, M. B. (2017). Making replication mainstream. </w:t>
      </w:r>
      <w:proofErr w:type="spellStart"/>
      <w:r w:rsidRPr="000E4FE6">
        <w:rPr>
          <w:rFonts w:ascii="Times New Roman" w:hAnsi="Times New Roman" w:cs="Times New Roman"/>
          <w:i/>
          <w:sz w:val="24"/>
          <w:szCs w:val="24"/>
        </w:rPr>
        <w:t>Behavioral</w:t>
      </w:r>
      <w:proofErr w:type="spellEnd"/>
      <w:r w:rsidRPr="000E4FE6">
        <w:rPr>
          <w:rFonts w:ascii="Times New Roman" w:hAnsi="Times New Roman" w:cs="Times New Roman"/>
          <w:i/>
          <w:sz w:val="24"/>
          <w:szCs w:val="24"/>
        </w:rPr>
        <w:t xml:space="preserve"> and Brain Sciences</w:t>
      </w:r>
      <w:r w:rsidRPr="000E4FE6">
        <w:rPr>
          <w:rFonts w:ascii="Times New Roman" w:hAnsi="Times New Roman" w:cs="Times New Roman"/>
          <w:sz w:val="24"/>
          <w:szCs w:val="24"/>
        </w:rPr>
        <w:t>, </w:t>
      </w:r>
      <w:r w:rsidRPr="000E4FE6">
        <w:rPr>
          <w:rFonts w:ascii="Times New Roman" w:hAnsi="Times New Roman" w:cs="Times New Roman"/>
          <w:i/>
          <w:sz w:val="24"/>
          <w:szCs w:val="24"/>
        </w:rPr>
        <w:t>41</w:t>
      </w:r>
      <w:r w:rsidRPr="000E4FE6">
        <w:rPr>
          <w:rFonts w:ascii="Times New Roman" w:hAnsi="Times New Roman" w:cs="Times New Roman"/>
          <w:sz w:val="24"/>
          <w:szCs w:val="24"/>
        </w:rPr>
        <w:t>, e120. https://doi.org/10.1017/S0140525X17001972</w:t>
      </w:r>
    </w:p>
    <w:p w14:paraId="00000F47" w14:textId="77777777" w:rsidR="00CB4215" w:rsidRDefault="000530B4">
      <w:pPr>
        <w:pStyle w:val="Heading1"/>
        <w:spacing w:line="480" w:lineRule="auto"/>
        <w:rPr>
          <w:rFonts w:ascii="Times New Roman" w:eastAsia="Times New Roman" w:hAnsi="Times New Roman" w:cs="Times New Roman"/>
          <w:b/>
          <w:color w:val="000000"/>
          <w:sz w:val="36"/>
          <w:szCs w:val="36"/>
        </w:rPr>
      </w:pPr>
      <w:bookmarkStart w:id="131" w:name="_Toc172984835"/>
      <w:r>
        <w:rPr>
          <w:rFonts w:ascii="Times New Roman" w:eastAsia="Times New Roman" w:hAnsi="Times New Roman" w:cs="Times New Roman"/>
          <w:b/>
          <w:color w:val="000000"/>
          <w:sz w:val="36"/>
          <w:szCs w:val="36"/>
        </w:rPr>
        <w:lastRenderedPageBreak/>
        <w:t>Appendices</w:t>
      </w:r>
      <w:bookmarkEnd w:id="131"/>
    </w:p>
    <w:p w14:paraId="00000F49" w14:textId="6D3E6C5F" w:rsidR="00CB4215" w:rsidRPr="00595580" w:rsidRDefault="000530B4" w:rsidP="00595580">
      <w:pPr>
        <w:pStyle w:val="Heading1"/>
        <w:rPr>
          <w:rFonts w:ascii="Times New Roman" w:eastAsia="Times New Roman" w:hAnsi="Times New Roman" w:cs="Times New Roman"/>
          <w:b/>
          <w:color w:val="000000"/>
          <w:sz w:val="32"/>
          <w:szCs w:val="32"/>
        </w:rPr>
      </w:pPr>
      <w:bookmarkStart w:id="132" w:name="_Toc172984836"/>
      <w:r>
        <w:rPr>
          <w:rFonts w:ascii="Times New Roman" w:eastAsia="Times New Roman" w:hAnsi="Times New Roman" w:cs="Times New Roman"/>
          <w:b/>
          <w:color w:val="000000"/>
          <w:sz w:val="32"/>
          <w:szCs w:val="32"/>
        </w:rPr>
        <w:t>Appendix A: Survey questionnaires</w:t>
      </w:r>
      <w:bookmarkEnd w:id="132"/>
    </w:p>
    <w:p w14:paraId="00000F4A" w14:textId="77777777" w:rsidR="00CB4215" w:rsidRDefault="000530B4">
      <w:pPr>
        <w:pStyle w:val="Heading2"/>
        <w:spacing w:before="40" w:after="0" w:line="259" w:lineRule="auto"/>
        <w:rPr>
          <w:rFonts w:ascii="Times New Roman" w:eastAsia="Times New Roman" w:hAnsi="Times New Roman" w:cs="Times New Roman"/>
          <w:color w:val="000000"/>
          <w:sz w:val="24"/>
          <w:szCs w:val="24"/>
        </w:rPr>
      </w:pPr>
      <w:bookmarkStart w:id="133" w:name="_heading=h.j8sehv" w:colFirst="0" w:colLast="0"/>
      <w:bookmarkStart w:id="134" w:name="_Toc172984837"/>
      <w:bookmarkEnd w:id="133"/>
      <w:r>
        <w:rPr>
          <w:rFonts w:ascii="Times New Roman" w:eastAsia="Times New Roman" w:hAnsi="Times New Roman" w:cs="Times New Roman"/>
          <w:b/>
          <w:color w:val="000000"/>
          <w:sz w:val="24"/>
          <w:szCs w:val="24"/>
        </w:rPr>
        <w:t>1.Meal timings</w:t>
      </w:r>
      <w:bookmarkEnd w:id="134"/>
    </w:p>
    <w:p w14:paraId="00000F4B" w14:textId="77777777" w:rsidR="00CB4215" w:rsidRDefault="000530B4">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Instructions: The following questions will ask you about the time of day that you typically ate your meals over the </w:t>
      </w:r>
      <w:r>
        <w:rPr>
          <w:rFonts w:ascii="Times New Roman" w:eastAsia="Times New Roman" w:hAnsi="Times New Roman" w:cs="Times New Roman"/>
          <w:b/>
          <w:color w:val="000000"/>
          <w:sz w:val="24"/>
          <w:szCs w:val="24"/>
        </w:rPr>
        <w:t>LAST 7 DAYS.</w:t>
      </w:r>
      <w:r>
        <w:rPr>
          <w:rFonts w:ascii="Times New Roman" w:eastAsia="Times New Roman" w:hAnsi="Times New Roman" w:cs="Times New Roman"/>
          <w:color w:val="000000"/>
          <w:sz w:val="24"/>
          <w:szCs w:val="24"/>
        </w:rPr>
        <w:t xml:space="preserve"> </w:t>
      </w:r>
    </w:p>
    <w:p w14:paraId="00000F4C" w14:textId="77777777" w:rsidR="00CB4215" w:rsidRDefault="00CB4215">
      <w:pPr>
        <w:spacing w:line="259" w:lineRule="auto"/>
        <w:rPr>
          <w:rFonts w:ascii="Times New Roman" w:eastAsia="Times New Roman" w:hAnsi="Times New Roman" w:cs="Times New Roman"/>
          <w:color w:val="000000"/>
          <w:sz w:val="24"/>
          <w:szCs w:val="24"/>
        </w:rPr>
      </w:pPr>
    </w:p>
    <w:p w14:paraId="00000F4D" w14:textId="77777777" w:rsidR="00CB4215" w:rsidRDefault="000530B4">
      <w:pPr>
        <w:shd w:val="clear" w:color="auto" w:fill="FFFFFF"/>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For each meal, if the timing of the meal tended to be the same most days, select ONE or TWO times that refer to when you tended to eat that meal. </w:t>
      </w:r>
    </w:p>
    <w:p w14:paraId="00000F4E" w14:textId="77777777" w:rsidR="00CB4215" w:rsidRDefault="00CB4215">
      <w:pPr>
        <w:shd w:val="clear" w:color="auto" w:fill="FFFFFF"/>
        <w:spacing w:line="259" w:lineRule="auto"/>
        <w:rPr>
          <w:rFonts w:ascii="Times New Roman" w:eastAsia="Times New Roman" w:hAnsi="Times New Roman" w:cs="Times New Roman"/>
          <w:color w:val="000000"/>
          <w:sz w:val="24"/>
          <w:szCs w:val="24"/>
          <w:highlight w:val="white"/>
        </w:rPr>
      </w:pPr>
    </w:p>
    <w:p w14:paraId="00000F4F" w14:textId="77777777" w:rsidR="00CB4215" w:rsidRDefault="000530B4">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timing of your meals varied a lot, select more times that refer to when you tended to eat. For example, if you ate a meal between 12pm and 2pm, select all times from 12-2pm, in other words, 12:00, 12:30, 13:00, and 13:30. </w:t>
      </w:r>
    </w:p>
    <w:p w14:paraId="00000F50" w14:textId="77777777" w:rsidR="00CB4215" w:rsidRDefault="00CB4215">
      <w:pPr>
        <w:spacing w:line="259" w:lineRule="auto"/>
        <w:rPr>
          <w:rFonts w:ascii="Times New Roman" w:eastAsia="Times New Roman" w:hAnsi="Times New Roman" w:cs="Times New Roman"/>
          <w:color w:val="000000"/>
          <w:sz w:val="24"/>
          <w:szCs w:val="24"/>
        </w:rPr>
      </w:pPr>
    </w:p>
    <w:p w14:paraId="00000F51"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 Do you usually eat BREAKFAST?</w:t>
      </w:r>
    </w:p>
    <w:p w14:paraId="00000F52"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Yes</w:t>
      </w:r>
    </w:p>
    <w:p w14:paraId="00000F53"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No</w:t>
      </w:r>
    </w:p>
    <w:p w14:paraId="00000F54" w14:textId="77777777" w:rsidR="00CB4215" w:rsidRDefault="00CB4215">
      <w:pPr>
        <w:spacing w:line="259" w:lineRule="auto"/>
        <w:rPr>
          <w:rFonts w:ascii="Times New Roman" w:eastAsia="Times New Roman" w:hAnsi="Times New Roman" w:cs="Times New Roman"/>
          <w:color w:val="000000"/>
          <w:sz w:val="24"/>
          <w:szCs w:val="24"/>
          <w:highlight w:val="white"/>
        </w:rPr>
      </w:pPr>
    </w:p>
    <w:p w14:paraId="00000F55"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 If Yes, please select times that refer to when you tended to eat BREAKFAST.</w:t>
      </w:r>
    </w:p>
    <w:p w14:paraId="00000F56"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06:30</w:t>
      </w:r>
    </w:p>
    <w:p w14:paraId="00000F57"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07:00</w:t>
      </w:r>
    </w:p>
    <w:p w14:paraId="00000F58"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07:30</w:t>
      </w:r>
    </w:p>
    <w:p w14:paraId="00000F59"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08:00</w:t>
      </w:r>
    </w:p>
    <w:p w14:paraId="00000F5A"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08:30</w:t>
      </w:r>
    </w:p>
    <w:p w14:paraId="00000F5B"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09:00</w:t>
      </w:r>
    </w:p>
    <w:p w14:paraId="00000F5C"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09:30</w:t>
      </w:r>
    </w:p>
    <w:p w14:paraId="00000F5D"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10:00</w:t>
      </w:r>
    </w:p>
    <w:p w14:paraId="00000F5E"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10:30</w:t>
      </w:r>
    </w:p>
    <w:p w14:paraId="00000F5F"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If times are not included, please specify the times you eat breakfast</w:t>
      </w:r>
    </w:p>
    <w:p w14:paraId="00000F60" w14:textId="77777777" w:rsidR="00CB4215" w:rsidRDefault="00CB4215">
      <w:pPr>
        <w:spacing w:line="259" w:lineRule="auto"/>
        <w:rPr>
          <w:rFonts w:ascii="Times New Roman" w:eastAsia="Times New Roman" w:hAnsi="Times New Roman" w:cs="Times New Roman"/>
          <w:color w:val="000000"/>
          <w:sz w:val="24"/>
          <w:szCs w:val="24"/>
          <w:highlight w:val="white"/>
        </w:rPr>
      </w:pPr>
    </w:p>
    <w:p w14:paraId="00000F61"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 Do you usually eat BREAKFAST?</w:t>
      </w:r>
    </w:p>
    <w:p w14:paraId="00000F62"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Yes</w:t>
      </w:r>
    </w:p>
    <w:p w14:paraId="00000F63"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No</w:t>
      </w:r>
    </w:p>
    <w:p w14:paraId="00000F64" w14:textId="77777777" w:rsidR="00CB4215" w:rsidRDefault="00CB4215">
      <w:pPr>
        <w:spacing w:line="259" w:lineRule="auto"/>
        <w:rPr>
          <w:rFonts w:ascii="Times New Roman" w:eastAsia="Times New Roman" w:hAnsi="Times New Roman" w:cs="Times New Roman"/>
          <w:color w:val="000000"/>
          <w:sz w:val="24"/>
          <w:szCs w:val="24"/>
          <w:highlight w:val="white"/>
        </w:rPr>
      </w:pPr>
    </w:p>
    <w:p w14:paraId="00000F65"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 If Yes, please select times that refer to when you tended to eat Lunch.</w:t>
      </w:r>
    </w:p>
    <w:p w14:paraId="00000F66"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11:00</w:t>
      </w:r>
    </w:p>
    <w:p w14:paraId="00000F67"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11:30</w:t>
      </w:r>
    </w:p>
    <w:p w14:paraId="00000F68"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12:00</w:t>
      </w:r>
    </w:p>
    <w:p w14:paraId="00000F69"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12:30</w:t>
      </w:r>
    </w:p>
    <w:p w14:paraId="00000F6A"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13:00</w:t>
      </w:r>
    </w:p>
    <w:p w14:paraId="00000F6B"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13:30</w:t>
      </w:r>
    </w:p>
    <w:p w14:paraId="00000F6C"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14:00</w:t>
      </w:r>
    </w:p>
    <w:p w14:paraId="00000F6D"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    14:30</w:t>
      </w:r>
    </w:p>
    <w:p w14:paraId="00000F6E"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15:00</w:t>
      </w:r>
    </w:p>
    <w:p w14:paraId="00000F6F"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15:30</w:t>
      </w:r>
    </w:p>
    <w:p w14:paraId="00000F70"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If times are not included, please specify the times you eat lunch</w:t>
      </w:r>
    </w:p>
    <w:p w14:paraId="00000F71" w14:textId="77777777" w:rsidR="00CB4215" w:rsidRDefault="00CB4215">
      <w:pPr>
        <w:spacing w:line="259" w:lineRule="auto"/>
        <w:rPr>
          <w:rFonts w:ascii="Times New Roman" w:eastAsia="Times New Roman" w:hAnsi="Times New Roman" w:cs="Times New Roman"/>
          <w:color w:val="000000"/>
          <w:sz w:val="24"/>
          <w:szCs w:val="24"/>
          <w:highlight w:val="white"/>
        </w:rPr>
      </w:pPr>
    </w:p>
    <w:p w14:paraId="00000F72"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 Do you usually eat EVENING MEAL?</w:t>
      </w:r>
    </w:p>
    <w:p w14:paraId="00000F73"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Yes</w:t>
      </w:r>
    </w:p>
    <w:p w14:paraId="00000F74"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No</w:t>
      </w:r>
    </w:p>
    <w:p w14:paraId="00000F75"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6) If Yes, please select times that refer to when you tend to eat Evening Meal.</w:t>
      </w:r>
    </w:p>
    <w:p w14:paraId="00000F76"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17:00</w:t>
      </w:r>
    </w:p>
    <w:p w14:paraId="00000F77"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17:30</w:t>
      </w:r>
    </w:p>
    <w:p w14:paraId="00000F78"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18:00</w:t>
      </w:r>
    </w:p>
    <w:p w14:paraId="00000F79"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18:30</w:t>
      </w:r>
    </w:p>
    <w:p w14:paraId="00000F7A"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19:00</w:t>
      </w:r>
    </w:p>
    <w:p w14:paraId="00000F7B"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19:30</w:t>
      </w:r>
    </w:p>
    <w:p w14:paraId="00000F7C"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20:00</w:t>
      </w:r>
    </w:p>
    <w:p w14:paraId="00000F7D"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20:30</w:t>
      </w:r>
    </w:p>
    <w:p w14:paraId="00000F7E"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21:00</w:t>
      </w:r>
    </w:p>
    <w:p w14:paraId="00000F7F"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21:30</w:t>
      </w:r>
    </w:p>
    <w:p w14:paraId="00000F80"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22:00</w:t>
      </w:r>
    </w:p>
    <w:p w14:paraId="00000F81"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If times are not included, please specify the times you eat evening meal</w:t>
      </w:r>
    </w:p>
    <w:p w14:paraId="00000F82" w14:textId="77777777" w:rsidR="00CB4215" w:rsidRDefault="00CB4215">
      <w:pPr>
        <w:spacing w:line="259" w:lineRule="auto"/>
        <w:rPr>
          <w:rFonts w:ascii="Times New Roman" w:eastAsia="Times New Roman" w:hAnsi="Times New Roman" w:cs="Times New Roman"/>
          <w:color w:val="000000"/>
          <w:sz w:val="24"/>
          <w:szCs w:val="24"/>
          <w:highlight w:val="white"/>
        </w:rPr>
      </w:pPr>
    </w:p>
    <w:p w14:paraId="00000F83"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 Do you usually eat snacks?</w:t>
      </w:r>
    </w:p>
    <w:p w14:paraId="00000F84"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Yes</w:t>
      </w:r>
    </w:p>
    <w:p w14:paraId="00000F85"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No</w:t>
      </w:r>
    </w:p>
    <w:p w14:paraId="00000F86" w14:textId="77777777" w:rsidR="00CB4215" w:rsidRDefault="00CB4215">
      <w:pPr>
        <w:spacing w:line="259" w:lineRule="auto"/>
        <w:rPr>
          <w:rFonts w:ascii="Times New Roman" w:eastAsia="Times New Roman" w:hAnsi="Times New Roman" w:cs="Times New Roman"/>
          <w:color w:val="000000"/>
          <w:sz w:val="24"/>
          <w:szCs w:val="24"/>
          <w:highlight w:val="white"/>
        </w:rPr>
      </w:pPr>
    </w:p>
    <w:p w14:paraId="00000F87"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8) If Yes, please select times that refer to when you tended to eat snacks</w:t>
      </w:r>
    </w:p>
    <w:p w14:paraId="00000F88"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09:00                          16:00</w:t>
      </w:r>
    </w:p>
    <w:p w14:paraId="00000F89"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09:30                          16:30</w:t>
      </w:r>
    </w:p>
    <w:p w14:paraId="00000F8A"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10:00                           17:00</w:t>
      </w:r>
    </w:p>
    <w:p w14:paraId="00000F8B"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10:30                           17:30</w:t>
      </w:r>
    </w:p>
    <w:p w14:paraId="00000F8C"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11:00                           18:00</w:t>
      </w:r>
    </w:p>
    <w:p w14:paraId="00000F8D"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11:30                           18:30</w:t>
      </w:r>
    </w:p>
    <w:p w14:paraId="00000F8E"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12:00                           19:00</w:t>
      </w:r>
    </w:p>
    <w:p w14:paraId="00000F8F"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12:30                           19:30</w:t>
      </w:r>
    </w:p>
    <w:p w14:paraId="00000F90"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13:00                           20:00</w:t>
      </w:r>
    </w:p>
    <w:p w14:paraId="00000F91"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13:30                           20:30</w:t>
      </w:r>
    </w:p>
    <w:p w14:paraId="00000F92"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14:00                           21:00</w:t>
      </w:r>
    </w:p>
    <w:p w14:paraId="00000F93"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14:30                           21:30</w:t>
      </w:r>
    </w:p>
    <w:p w14:paraId="00000F94"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15:00                           22:00</w:t>
      </w:r>
    </w:p>
    <w:p w14:paraId="00000F95"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15:30                           22:30</w:t>
      </w:r>
    </w:p>
    <w:p w14:paraId="00000F96"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23:00</w:t>
      </w:r>
    </w:p>
    <w:p w14:paraId="00000F97"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23:30</w:t>
      </w:r>
    </w:p>
    <w:p w14:paraId="00000F98"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24:00</w:t>
      </w:r>
    </w:p>
    <w:p w14:paraId="00000F99"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If times are not included, please specify the times you eat snacks</w:t>
      </w:r>
    </w:p>
    <w:p w14:paraId="00000F9A"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9) How many meals do you tend to eat on a typical day?</w:t>
      </w:r>
    </w:p>
    <w:p w14:paraId="00000F9B"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     1</w:t>
      </w:r>
    </w:p>
    <w:p w14:paraId="00000F9C"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w:t>
      </w:r>
    </w:p>
    <w:p w14:paraId="00000F9D"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3</w:t>
      </w:r>
    </w:p>
    <w:p w14:paraId="00000F9E"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4</w:t>
      </w:r>
    </w:p>
    <w:p w14:paraId="00000F9F"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5 </w:t>
      </w:r>
    </w:p>
    <w:p w14:paraId="00000FA0"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6</w:t>
      </w:r>
    </w:p>
    <w:p w14:paraId="00000FA1"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If times are not included, please specify the frequency of your meals</w:t>
      </w:r>
    </w:p>
    <w:p w14:paraId="00000FA2"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10) How many snacks do you tend to eat on a typical day?</w:t>
      </w:r>
    </w:p>
    <w:p w14:paraId="00000FA3"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1            6</w:t>
      </w:r>
    </w:p>
    <w:p w14:paraId="00000FA4"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2            7</w:t>
      </w:r>
    </w:p>
    <w:p w14:paraId="00000FA5"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3            8</w:t>
      </w:r>
    </w:p>
    <w:p w14:paraId="00000FA6"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4            9</w:t>
      </w:r>
    </w:p>
    <w:p w14:paraId="00000FA7"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5            10       If times are not included, please specify the frequency of your snacks</w:t>
      </w:r>
    </w:p>
    <w:p w14:paraId="00000FA8" w14:textId="77777777" w:rsidR="00CB4215" w:rsidRDefault="00CB4215">
      <w:pPr>
        <w:spacing w:line="259" w:lineRule="auto"/>
        <w:rPr>
          <w:rFonts w:ascii="Times New Roman" w:eastAsia="Times New Roman" w:hAnsi="Times New Roman" w:cs="Times New Roman"/>
          <w:color w:val="000000"/>
          <w:sz w:val="24"/>
          <w:szCs w:val="24"/>
          <w:highlight w:val="white"/>
        </w:rPr>
      </w:pPr>
    </w:p>
    <w:p w14:paraId="00000FA9" w14:textId="77777777" w:rsidR="00CB4215" w:rsidRDefault="000530B4">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Adapted from: Zimmerman, A. R., Johnson, L., &amp; </w:t>
      </w:r>
      <w:proofErr w:type="spellStart"/>
      <w:r>
        <w:rPr>
          <w:rFonts w:ascii="Times New Roman" w:eastAsia="Times New Roman" w:hAnsi="Times New Roman" w:cs="Times New Roman"/>
          <w:color w:val="000000"/>
          <w:sz w:val="24"/>
          <w:szCs w:val="24"/>
        </w:rPr>
        <w:t>Brunstrom</w:t>
      </w:r>
      <w:proofErr w:type="spellEnd"/>
      <w:r>
        <w:rPr>
          <w:rFonts w:ascii="Times New Roman" w:eastAsia="Times New Roman" w:hAnsi="Times New Roman" w:cs="Times New Roman"/>
          <w:color w:val="000000"/>
          <w:sz w:val="24"/>
          <w:szCs w:val="24"/>
        </w:rPr>
        <w:t xml:space="preserve">, J. M. (2018). Assessing “chaotic eating” using self-report and the UK Adult National Diet and Nutrition Survey: No association between BMI and variability in meal or snack timings. Physiology &amp;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 192, 64-71.</w:t>
      </w:r>
    </w:p>
    <w:p w14:paraId="00000FAA" w14:textId="77777777" w:rsidR="00CB4215" w:rsidRDefault="00CB4215">
      <w:pPr>
        <w:rPr>
          <w:rFonts w:ascii="Times New Roman" w:eastAsia="Times New Roman" w:hAnsi="Times New Roman" w:cs="Times New Roman"/>
          <w:color w:val="000000"/>
          <w:sz w:val="24"/>
          <w:szCs w:val="24"/>
        </w:rPr>
      </w:pPr>
    </w:p>
    <w:p w14:paraId="00000FAB" w14:textId="77777777" w:rsidR="00CB4215" w:rsidRDefault="000530B4">
      <w:pPr>
        <w:pStyle w:val="Heading2"/>
        <w:spacing w:before="40" w:after="0" w:line="259" w:lineRule="auto"/>
        <w:rPr>
          <w:rFonts w:ascii="Times New Roman" w:eastAsia="Times New Roman" w:hAnsi="Times New Roman" w:cs="Times New Roman"/>
          <w:b/>
          <w:color w:val="000000"/>
          <w:sz w:val="24"/>
          <w:szCs w:val="24"/>
        </w:rPr>
      </w:pPr>
      <w:bookmarkStart w:id="135" w:name="_heading=h.338fx5o" w:colFirst="0" w:colLast="0"/>
      <w:bookmarkStart w:id="136" w:name="_Toc172984838"/>
      <w:bookmarkEnd w:id="135"/>
      <w:r>
        <w:rPr>
          <w:rFonts w:ascii="Times New Roman" w:eastAsia="Times New Roman" w:hAnsi="Times New Roman" w:cs="Times New Roman"/>
          <w:b/>
          <w:color w:val="000000"/>
          <w:sz w:val="24"/>
          <w:szCs w:val="24"/>
        </w:rPr>
        <w:t>2. The Three-Factor Eating Questionnaire, revised 18-items</w:t>
      </w:r>
      <w:bookmarkEnd w:id="136"/>
    </w:p>
    <w:p w14:paraId="00000FAC" w14:textId="77777777" w:rsidR="00CB4215" w:rsidRDefault="00CB4215">
      <w:pPr>
        <w:rPr>
          <w:color w:val="000000"/>
        </w:rPr>
      </w:pPr>
    </w:p>
    <w:p w14:paraId="00000FAD"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I smell a sizzling steak or juicy piece of meat, I find it very difficult to keep from eating, even if I have just finished a meal.</w:t>
      </w:r>
    </w:p>
    <w:p w14:paraId="00000FAE"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deliberately take small helpings as a means of controlling my weight.</w:t>
      </w:r>
    </w:p>
    <w:p w14:paraId="00000FAF"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I feel anxious, I find myself eating.</w:t>
      </w:r>
    </w:p>
    <w:p w14:paraId="00000FB0"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Sometimes when I start eating, I just can’t seem to stop.</w:t>
      </w:r>
    </w:p>
    <w:p w14:paraId="00000FB1"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Being with someone who is eating often makes me hungry enough to eat also.</w:t>
      </w:r>
    </w:p>
    <w:p w14:paraId="00000FB2"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I feel blue, I often overeat.</w:t>
      </w:r>
    </w:p>
    <w:p w14:paraId="00000FB3"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I see a real delicacy, I often get so hungry that I </w:t>
      </w:r>
      <w:proofErr w:type="gramStart"/>
      <w:r>
        <w:rPr>
          <w:rFonts w:ascii="Times New Roman" w:eastAsia="Times New Roman" w:hAnsi="Times New Roman" w:cs="Times New Roman"/>
          <w:color w:val="000000"/>
          <w:sz w:val="24"/>
          <w:szCs w:val="24"/>
        </w:rPr>
        <w:t>have to</w:t>
      </w:r>
      <w:proofErr w:type="gramEnd"/>
      <w:r>
        <w:rPr>
          <w:rFonts w:ascii="Times New Roman" w:eastAsia="Times New Roman" w:hAnsi="Times New Roman" w:cs="Times New Roman"/>
          <w:color w:val="000000"/>
          <w:sz w:val="24"/>
          <w:szCs w:val="24"/>
        </w:rPr>
        <w:t xml:space="preserve"> eat right away.</w:t>
      </w:r>
    </w:p>
    <w:p w14:paraId="00000FB4"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get so hungry that my stomach often seems like a bottomless pit.</w:t>
      </w:r>
    </w:p>
    <w:p w14:paraId="00000FB5"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always hungry, so it is hard for me to stop eating before I finish the food on my plate.</w:t>
      </w:r>
    </w:p>
    <w:p w14:paraId="00000FB6"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I feel lonely, I console myself by eating.</w:t>
      </w:r>
    </w:p>
    <w:p w14:paraId="00000FB7"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consciously hold back at meals in order not to gain weight.</w:t>
      </w:r>
    </w:p>
    <w:p w14:paraId="00000FB8"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do not eat some foods because they make me fat.</w:t>
      </w:r>
    </w:p>
    <w:p w14:paraId="00000FB9"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always hungry enough to eat at any time.</w:t>
      </w:r>
    </w:p>
    <w:p w14:paraId="00000FBA"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often do you feel hungry?</w:t>
      </w:r>
    </w:p>
    <w:p w14:paraId="00000FBB"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frequently do you avoid 'stocking up' on tempting foods?</w:t>
      </w:r>
    </w:p>
    <w:p w14:paraId="00000FBC"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likely are you to consciously eat less than you want?</w:t>
      </w:r>
    </w:p>
    <w:p w14:paraId="00000FBD" w14:textId="77777777" w:rsidR="00CB4215" w:rsidRDefault="000530B4">
      <w:pPr>
        <w:numPr>
          <w:ilvl w:val="0"/>
          <w:numId w:val="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go on eating binges though you are not hungry?</w:t>
      </w:r>
    </w:p>
    <w:p w14:paraId="00000FBE" w14:textId="77777777" w:rsidR="00CB4215" w:rsidRDefault="000530B4">
      <w:pPr>
        <w:numPr>
          <w:ilvl w:val="0"/>
          <w:numId w:val="8"/>
        </w:numPr>
        <w:spacing w:line="259" w:lineRule="auto"/>
        <w:rPr>
          <w:rFonts w:ascii="Times New Roman" w:eastAsia="Times New Roman" w:hAnsi="Times New Roman" w:cs="Times New Roman"/>
          <w:color w:val="000000"/>
          <w:sz w:val="24"/>
          <w:szCs w:val="24"/>
        </w:rPr>
      </w:pPr>
      <w:bookmarkStart w:id="137" w:name="_heading=h.1idq7dh" w:colFirst="0" w:colLast="0"/>
      <w:bookmarkEnd w:id="137"/>
      <w:r>
        <w:rPr>
          <w:rFonts w:ascii="Times New Roman" w:eastAsia="Times New Roman" w:hAnsi="Times New Roman" w:cs="Times New Roman"/>
          <w:color w:val="000000"/>
          <w:sz w:val="24"/>
          <w:szCs w:val="24"/>
          <w:highlight w:val="white"/>
        </w:rPr>
        <w:t xml:space="preserve"> On a scale of 1 to 8, where 1 means no restraint in eating (eating whatever you want, whenever you want it) and 8 means total restraint (constantly limiting food intake and never ‘giving in’), what number would you give yourself? eat whatever I want, whenever I want it=constantly limiting food intake, never ‘giving in’</w:t>
      </w:r>
    </w:p>
    <w:p w14:paraId="00000FBF" w14:textId="77777777" w:rsidR="00CB4215" w:rsidRDefault="00CB4215">
      <w:pPr>
        <w:spacing w:line="259" w:lineRule="auto"/>
        <w:rPr>
          <w:rFonts w:ascii="Times New Roman" w:eastAsia="Times New Roman" w:hAnsi="Times New Roman" w:cs="Times New Roman"/>
          <w:color w:val="000000"/>
          <w:sz w:val="24"/>
          <w:szCs w:val="24"/>
          <w:highlight w:val="white"/>
        </w:rPr>
      </w:pPr>
      <w:bookmarkStart w:id="138" w:name="_heading=h.42ddq1a" w:colFirst="0" w:colLast="0"/>
      <w:bookmarkEnd w:id="138"/>
    </w:p>
    <w:p w14:paraId="00000FC0"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Karlsson, J., Persson, L. O., </w:t>
      </w:r>
      <w:proofErr w:type="spellStart"/>
      <w:r>
        <w:rPr>
          <w:rFonts w:ascii="Times New Roman" w:eastAsia="Times New Roman" w:hAnsi="Times New Roman" w:cs="Times New Roman"/>
          <w:color w:val="000000"/>
          <w:sz w:val="24"/>
          <w:szCs w:val="24"/>
          <w:highlight w:val="white"/>
        </w:rPr>
        <w:t>Sjöström</w:t>
      </w:r>
      <w:proofErr w:type="spellEnd"/>
      <w:r>
        <w:rPr>
          <w:rFonts w:ascii="Times New Roman" w:eastAsia="Times New Roman" w:hAnsi="Times New Roman" w:cs="Times New Roman"/>
          <w:color w:val="000000"/>
          <w:sz w:val="24"/>
          <w:szCs w:val="24"/>
          <w:highlight w:val="white"/>
        </w:rPr>
        <w:t xml:space="preserve">, L., &amp; Sullivan, M. (2000). Psychometric properties and factor structure of the Three-Factor Eating Questionnaire (TFEQ) in obese men and </w:t>
      </w:r>
      <w:r>
        <w:rPr>
          <w:rFonts w:ascii="Times New Roman" w:eastAsia="Times New Roman" w:hAnsi="Times New Roman" w:cs="Times New Roman"/>
          <w:color w:val="000000"/>
          <w:sz w:val="24"/>
          <w:szCs w:val="24"/>
          <w:highlight w:val="white"/>
        </w:rPr>
        <w:lastRenderedPageBreak/>
        <w:t>women. Results from the Swedish Obese Subjects (SOS) study. </w:t>
      </w:r>
      <w:r>
        <w:rPr>
          <w:rFonts w:ascii="Times New Roman" w:eastAsia="Times New Roman" w:hAnsi="Times New Roman" w:cs="Times New Roman"/>
          <w:i/>
          <w:color w:val="000000"/>
          <w:sz w:val="24"/>
          <w:szCs w:val="24"/>
          <w:highlight w:val="white"/>
        </w:rPr>
        <w:t>International Journal of Obesity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24</w:t>
      </w:r>
      <w:r>
        <w:rPr>
          <w:rFonts w:ascii="Times New Roman" w:eastAsia="Times New Roman" w:hAnsi="Times New Roman" w:cs="Times New Roman"/>
          <w:color w:val="000000"/>
          <w:sz w:val="24"/>
          <w:szCs w:val="24"/>
          <w:highlight w:val="white"/>
        </w:rPr>
        <w:t>, 1715-1725</w:t>
      </w:r>
    </w:p>
    <w:p w14:paraId="00000FC1" w14:textId="77777777" w:rsidR="00CB4215" w:rsidRDefault="00CB4215">
      <w:pPr>
        <w:spacing w:line="259" w:lineRule="auto"/>
        <w:rPr>
          <w:rFonts w:ascii="Times New Roman" w:eastAsia="Times New Roman" w:hAnsi="Times New Roman" w:cs="Times New Roman"/>
          <w:color w:val="000000"/>
          <w:sz w:val="24"/>
          <w:szCs w:val="24"/>
          <w:highlight w:val="white"/>
        </w:rPr>
      </w:pPr>
      <w:bookmarkStart w:id="139" w:name="_heading=h.2hio093" w:colFirst="0" w:colLast="0"/>
      <w:bookmarkEnd w:id="139"/>
    </w:p>
    <w:p w14:paraId="00000FC2" w14:textId="77777777" w:rsidR="00CB4215" w:rsidRDefault="000530B4">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Adult Eating Behaviour Questionnaire</w:t>
      </w:r>
    </w:p>
    <w:p w14:paraId="00000FC3" w14:textId="77777777" w:rsidR="00CB4215" w:rsidRDefault="00CB4215">
      <w:pPr>
        <w:rPr>
          <w:rFonts w:ascii="Times New Roman" w:eastAsia="Times New Roman" w:hAnsi="Times New Roman" w:cs="Times New Roman"/>
          <w:b/>
          <w:color w:val="000000"/>
          <w:sz w:val="24"/>
          <w:szCs w:val="24"/>
        </w:rPr>
      </w:pPr>
    </w:p>
    <w:p w14:paraId="00000FC4"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often feel hungry when I am with someone who is eating.</w:t>
      </w:r>
    </w:p>
    <w:p w14:paraId="00000FC5"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I see or smell food that I like, it makes me want to eat.</w:t>
      </w:r>
    </w:p>
    <w:p w14:paraId="00000FC6"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the choice, I would eat most of the time.</w:t>
      </w:r>
    </w:p>
    <w:p w14:paraId="00000FC7"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always thinking about food.</w:t>
      </w:r>
    </w:p>
    <w:p w14:paraId="00000FC8"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more when I’m annoyed.</w:t>
      </w:r>
    </w:p>
    <w:p w14:paraId="00000FC9"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more when I’m worried.</w:t>
      </w:r>
    </w:p>
    <w:p w14:paraId="00000FCA"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more when I’m upset.</w:t>
      </w:r>
    </w:p>
    <w:p w14:paraId="00000FCB"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more when I’m anxious.</w:t>
      </w:r>
    </w:p>
    <w:p w14:paraId="00000FCC"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more when I’m angry.</w:t>
      </w:r>
    </w:p>
    <w:p w14:paraId="00000FCD"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love food.</w:t>
      </w:r>
    </w:p>
    <w:p w14:paraId="00000FCE"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look forward to mealtimes.</w:t>
      </w:r>
    </w:p>
    <w:p w14:paraId="00000FCF"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enjoy eating.</w:t>
      </w:r>
    </w:p>
    <w:p w14:paraId="00000FD0"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often leave food on my plate at the end of a meal.</w:t>
      </w:r>
    </w:p>
    <w:p w14:paraId="00000FD1"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often get full before my meal is finished.</w:t>
      </w:r>
    </w:p>
    <w:p w14:paraId="00000FD2"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get full up easily.</w:t>
      </w:r>
    </w:p>
    <w:p w14:paraId="00000FD3"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cannot eat a meal if I have had a snack just before.</w:t>
      </w:r>
    </w:p>
    <w:p w14:paraId="00000FD4"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less when I'm worried.</w:t>
      </w:r>
    </w:p>
    <w:p w14:paraId="00000FD5"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less when I'm angry.</w:t>
      </w:r>
    </w:p>
    <w:p w14:paraId="00000FD6"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less when I'm upset.</w:t>
      </w:r>
    </w:p>
    <w:p w14:paraId="00000FD7"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less when I'm annoyed.</w:t>
      </w:r>
    </w:p>
    <w:p w14:paraId="00000FD8"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less when I'm anxious.</w:t>
      </w:r>
    </w:p>
    <w:p w14:paraId="00000FD9"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often finish my meals quickly.</w:t>
      </w:r>
    </w:p>
    <w:p w14:paraId="00000FDA"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often last at finishing a meal.</w:t>
      </w:r>
    </w:p>
    <w:p w14:paraId="00000FDB"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eat more and more slowly </w:t>
      </w:r>
      <w:proofErr w:type="gramStart"/>
      <w:r>
        <w:rPr>
          <w:rFonts w:ascii="Times New Roman" w:eastAsia="Times New Roman" w:hAnsi="Times New Roman" w:cs="Times New Roman"/>
          <w:color w:val="000000"/>
          <w:sz w:val="24"/>
          <w:szCs w:val="24"/>
        </w:rPr>
        <w:t>during the course of</w:t>
      </w:r>
      <w:proofErr w:type="gramEnd"/>
      <w:r>
        <w:rPr>
          <w:rFonts w:ascii="Times New Roman" w:eastAsia="Times New Roman" w:hAnsi="Times New Roman" w:cs="Times New Roman"/>
          <w:color w:val="000000"/>
          <w:sz w:val="24"/>
          <w:szCs w:val="24"/>
        </w:rPr>
        <w:t xml:space="preserve"> a meal.</w:t>
      </w:r>
    </w:p>
    <w:p w14:paraId="00000FDC" w14:textId="77777777" w:rsidR="00CB4215" w:rsidRDefault="000530B4">
      <w:pPr>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eat slowly.</w:t>
      </w:r>
    </w:p>
    <w:p w14:paraId="00000FDD" w14:textId="77777777" w:rsidR="00CB4215" w:rsidRDefault="00CB4215">
      <w:pPr>
        <w:ind w:left="720"/>
        <w:rPr>
          <w:rFonts w:ascii="Times New Roman" w:eastAsia="Times New Roman" w:hAnsi="Times New Roman" w:cs="Times New Roman"/>
          <w:color w:val="000000"/>
          <w:sz w:val="24"/>
          <w:szCs w:val="24"/>
        </w:rPr>
      </w:pPr>
    </w:p>
    <w:p w14:paraId="00000FDE" w14:textId="77777777" w:rsidR="00CB4215" w:rsidRDefault="000530B4">
      <w:pPr>
        <w:pStyle w:val="Heading2"/>
        <w:spacing w:before="40" w:after="0" w:line="259" w:lineRule="auto"/>
        <w:rPr>
          <w:rFonts w:ascii="Times New Roman" w:eastAsia="Times New Roman" w:hAnsi="Times New Roman" w:cs="Times New Roman"/>
          <w:b/>
          <w:color w:val="000000"/>
          <w:sz w:val="24"/>
          <w:szCs w:val="24"/>
        </w:rPr>
      </w:pPr>
      <w:bookmarkStart w:id="140" w:name="_heading=h.wnyagw" w:colFirst="0" w:colLast="0"/>
      <w:bookmarkStart w:id="141" w:name="_Toc172984839"/>
      <w:bookmarkEnd w:id="140"/>
      <w:r>
        <w:rPr>
          <w:rFonts w:ascii="Times New Roman" w:eastAsia="Times New Roman" w:hAnsi="Times New Roman" w:cs="Times New Roman"/>
          <w:b/>
          <w:color w:val="000000"/>
          <w:sz w:val="24"/>
          <w:szCs w:val="24"/>
        </w:rPr>
        <w:t>4. Control of Eating Questionnaire – Craving control subscale</w:t>
      </w:r>
      <w:bookmarkEnd w:id="141"/>
    </w:p>
    <w:p w14:paraId="00000FDF" w14:textId="77777777" w:rsidR="00CB4215" w:rsidRDefault="00CB4215">
      <w:pPr>
        <w:rPr>
          <w:rFonts w:ascii="Times New Roman" w:eastAsia="Times New Roman" w:hAnsi="Times New Roman" w:cs="Times New Roman"/>
          <w:color w:val="000000"/>
          <w:sz w:val="24"/>
          <w:szCs w:val="24"/>
        </w:rPr>
      </w:pPr>
    </w:p>
    <w:p w14:paraId="00000FE0"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read each question carefully and put a mark through the line at the point that best represents your experience.  Answer all questions according to your experience over the last 7 days (responses 0-100).</w:t>
      </w:r>
    </w:p>
    <w:p w14:paraId="00000FE1" w14:textId="77777777" w:rsidR="00CB4215" w:rsidRDefault="00CB4215">
      <w:pPr>
        <w:rPr>
          <w:rFonts w:ascii="Times New Roman" w:eastAsia="Times New Roman" w:hAnsi="Times New Roman" w:cs="Times New Roman"/>
          <w:color w:val="000000"/>
          <w:sz w:val="24"/>
          <w:szCs w:val="24"/>
        </w:rPr>
      </w:pPr>
    </w:p>
    <w:p w14:paraId="00000FE2" w14:textId="77777777" w:rsidR="00CB4215" w:rsidRDefault="000530B4">
      <w:pPr>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the last 7 days how often have you had food cravings? </w:t>
      </w:r>
    </w:p>
    <w:p w14:paraId="00000FE3" w14:textId="77777777" w:rsidR="00CB4215" w:rsidRDefault="000530B4">
      <w:pPr>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strong have any food cravings been? </w:t>
      </w:r>
    </w:p>
    <w:p w14:paraId="00000FE4" w14:textId="77777777" w:rsidR="00CB4215" w:rsidRDefault="000530B4">
      <w:pPr>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difficult has it been to resist any food cravings? </w:t>
      </w:r>
    </w:p>
    <w:p w14:paraId="00000FE5" w14:textId="77777777" w:rsidR="00CB4215" w:rsidRDefault="000530B4">
      <w:pPr>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often have you eaten in response to food cravings? </w:t>
      </w:r>
    </w:p>
    <w:p w14:paraId="00000FE6" w14:textId="77777777" w:rsidR="00CB4215" w:rsidRDefault="000530B4">
      <w:pPr>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difficult has it been to control your eating? </w:t>
      </w:r>
    </w:p>
    <w:p w14:paraId="00000FE7" w14:textId="77777777" w:rsidR="00CB4215" w:rsidRDefault="00CB4215">
      <w:pPr>
        <w:rPr>
          <w:rFonts w:ascii="Times New Roman" w:eastAsia="Times New Roman" w:hAnsi="Times New Roman" w:cs="Times New Roman"/>
          <w:b/>
          <w:color w:val="000000"/>
          <w:sz w:val="24"/>
          <w:szCs w:val="24"/>
        </w:rPr>
      </w:pPr>
    </w:p>
    <w:p w14:paraId="00000FE8" w14:textId="77777777" w:rsidR="00CB4215" w:rsidRDefault="000530B4">
      <w:pPr>
        <w:spacing w:after="160"/>
        <w:rPr>
          <w:rFonts w:ascii="Times New Roman" w:eastAsia="Times New Roman" w:hAnsi="Times New Roman" w:cs="Times New Roman"/>
          <w:color w:val="000000"/>
          <w:sz w:val="24"/>
          <w:szCs w:val="24"/>
        </w:rPr>
      </w:pPr>
      <w:bookmarkStart w:id="142" w:name="_heading=h.3gnlt4p" w:colFirst="0" w:colLast="0"/>
      <w:bookmarkEnd w:id="142"/>
      <w:r>
        <w:rPr>
          <w:rFonts w:ascii="Times New Roman" w:eastAsia="Times New Roman" w:hAnsi="Times New Roman" w:cs="Times New Roman"/>
          <w:color w:val="000000"/>
          <w:sz w:val="24"/>
          <w:szCs w:val="24"/>
          <w:highlight w:val="white"/>
        </w:rPr>
        <w:lastRenderedPageBreak/>
        <w:t>Dalton, M., Finlayson, G., Hill, A., &amp; Blundell, J. (2015). Preliminary validation and principal components analysis of the Control of Eating Questionnaire (</w:t>
      </w:r>
      <w:proofErr w:type="spellStart"/>
      <w:r>
        <w:rPr>
          <w:rFonts w:ascii="Times New Roman" w:eastAsia="Times New Roman" w:hAnsi="Times New Roman" w:cs="Times New Roman"/>
          <w:color w:val="000000"/>
          <w:sz w:val="24"/>
          <w:szCs w:val="24"/>
          <w:highlight w:val="white"/>
        </w:rPr>
        <w:t>CoEQ</w:t>
      </w:r>
      <w:proofErr w:type="spellEnd"/>
      <w:r>
        <w:rPr>
          <w:rFonts w:ascii="Times New Roman" w:eastAsia="Times New Roman" w:hAnsi="Times New Roman" w:cs="Times New Roman"/>
          <w:color w:val="000000"/>
          <w:sz w:val="24"/>
          <w:szCs w:val="24"/>
          <w:highlight w:val="white"/>
        </w:rPr>
        <w:t>) for the experience of food craving. </w:t>
      </w:r>
      <w:r>
        <w:rPr>
          <w:rFonts w:ascii="Times New Roman" w:eastAsia="Times New Roman" w:hAnsi="Times New Roman" w:cs="Times New Roman"/>
          <w:i/>
          <w:color w:val="000000"/>
          <w:sz w:val="24"/>
          <w:szCs w:val="24"/>
          <w:highlight w:val="white"/>
        </w:rPr>
        <w:t>European Journal of Clinical Nutrition</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69</w:t>
      </w:r>
      <w:r>
        <w:rPr>
          <w:rFonts w:ascii="Times New Roman" w:eastAsia="Times New Roman" w:hAnsi="Times New Roman" w:cs="Times New Roman"/>
          <w:color w:val="000000"/>
          <w:sz w:val="24"/>
          <w:szCs w:val="24"/>
          <w:highlight w:val="white"/>
        </w:rPr>
        <w:t>, 1313-1317.</w:t>
      </w:r>
    </w:p>
    <w:p w14:paraId="00000FE9" w14:textId="77777777" w:rsidR="00CB4215" w:rsidRDefault="000530B4">
      <w:pPr>
        <w:pStyle w:val="Heading2"/>
        <w:rPr>
          <w:rFonts w:ascii="Times New Roman" w:eastAsia="Times New Roman" w:hAnsi="Times New Roman" w:cs="Times New Roman"/>
          <w:b/>
          <w:color w:val="000000"/>
          <w:sz w:val="24"/>
          <w:szCs w:val="24"/>
        </w:rPr>
      </w:pPr>
      <w:bookmarkStart w:id="143" w:name="_heading=h.1vsw3ci" w:colFirst="0" w:colLast="0"/>
      <w:bookmarkStart w:id="144" w:name="_Toc172984840"/>
      <w:bookmarkEnd w:id="143"/>
      <w:r>
        <w:rPr>
          <w:rFonts w:ascii="Times New Roman" w:eastAsia="Times New Roman" w:hAnsi="Times New Roman" w:cs="Times New Roman"/>
          <w:b/>
          <w:color w:val="000000"/>
          <w:sz w:val="24"/>
          <w:szCs w:val="24"/>
        </w:rPr>
        <w:t>5. Intuitive Eating Scale - Reliance on hunger and satiety cues subscale</w:t>
      </w:r>
      <w:bookmarkEnd w:id="144"/>
    </w:p>
    <w:p w14:paraId="00000FEA" w14:textId="77777777" w:rsidR="00CB4215" w:rsidRDefault="000530B4">
      <w:pPr>
        <w:numPr>
          <w:ilvl w:val="0"/>
          <w:numId w:val="13"/>
        </w:num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trust my body to tell me when to eat.</w:t>
      </w:r>
    </w:p>
    <w:p w14:paraId="00000FEB" w14:textId="77777777" w:rsidR="00CB4215" w:rsidRDefault="000530B4">
      <w:pPr>
        <w:numPr>
          <w:ilvl w:val="0"/>
          <w:numId w:val="13"/>
        </w:num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trust my body to tell me what to eat.</w:t>
      </w:r>
    </w:p>
    <w:p w14:paraId="00000FEC" w14:textId="77777777" w:rsidR="00CB4215" w:rsidRDefault="000530B4">
      <w:pPr>
        <w:numPr>
          <w:ilvl w:val="0"/>
          <w:numId w:val="13"/>
        </w:num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trust my body to tell me how much to eat.</w:t>
      </w:r>
    </w:p>
    <w:p w14:paraId="00000FED" w14:textId="77777777" w:rsidR="00CB4215" w:rsidRDefault="000530B4">
      <w:pPr>
        <w:numPr>
          <w:ilvl w:val="0"/>
          <w:numId w:val="1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rely on my hunger signals to tell me when to eat.</w:t>
      </w:r>
    </w:p>
    <w:p w14:paraId="00000FEE" w14:textId="77777777" w:rsidR="00CB4215" w:rsidRDefault="000530B4">
      <w:pPr>
        <w:numPr>
          <w:ilvl w:val="0"/>
          <w:numId w:val="13"/>
        </w:num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rely on my fullness (satiety) signals to tell me when to stop eating.</w:t>
      </w:r>
    </w:p>
    <w:p w14:paraId="00000FEF" w14:textId="77777777" w:rsidR="00CB4215" w:rsidRDefault="000530B4">
      <w:pPr>
        <w:numPr>
          <w:ilvl w:val="0"/>
          <w:numId w:val="13"/>
        </w:num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trust my body to tell me when to stop eating.</w:t>
      </w:r>
    </w:p>
    <w:p w14:paraId="00000FF0" w14:textId="77777777" w:rsidR="00CB4215" w:rsidRDefault="00CB4215">
      <w:pPr>
        <w:spacing w:line="259" w:lineRule="auto"/>
        <w:ind w:left="720"/>
        <w:rPr>
          <w:rFonts w:ascii="Times New Roman" w:eastAsia="Times New Roman" w:hAnsi="Times New Roman" w:cs="Times New Roman"/>
          <w:b/>
          <w:color w:val="000000"/>
          <w:sz w:val="24"/>
          <w:szCs w:val="24"/>
        </w:rPr>
      </w:pPr>
    </w:p>
    <w:p w14:paraId="00000FF1" w14:textId="77777777" w:rsidR="00CB4215" w:rsidRDefault="000530B4">
      <w:pPr>
        <w:spacing w:after="160" w:line="259" w:lineRule="auto"/>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Tylka</w:t>
      </w:r>
      <w:proofErr w:type="spellEnd"/>
      <w:r>
        <w:rPr>
          <w:rFonts w:ascii="Times New Roman" w:eastAsia="Times New Roman" w:hAnsi="Times New Roman" w:cs="Times New Roman"/>
          <w:color w:val="000000"/>
          <w:sz w:val="24"/>
          <w:szCs w:val="24"/>
          <w:highlight w:val="white"/>
        </w:rPr>
        <w:t xml:space="preserve">, T. L., &amp; Kroon Van </w:t>
      </w:r>
      <w:proofErr w:type="spellStart"/>
      <w:r>
        <w:rPr>
          <w:rFonts w:ascii="Times New Roman" w:eastAsia="Times New Roman" w:hAnsi="Times New Roman" w:cs="Times New Roman"/>
          <w:color w:val="000000"/>
          <w:sz w:val="24"/>
          <w:szCs w:val="24"/>
          <w:highlight w:val="white"/>
        </w:rPr>
        <w:t>Diest</w:t>
      </w:r>
      <w:proofErr w:type="spellEnd"/>
      <w:r>
        <w:rPr>
          <w:rFonts w:ascii="Times New Roman" w:eastAsia="Times New Roman" w:hAnsi="Times New Roman" w:cs="Times New Roman"/>
          <w:color w:val="000000"/>
          <w:sz w:val="24"/>
          <w:szCs w:val="24"/>
          <w:highlight w:val="white"/>
        </w:rPr>
        <w:t>, A. M. (2013). The Intuitive Eating Scale–2: Item refinement and psychometric evaluation with college women and men. </w:t>
      </w:r>
      <w:r>
        <w:rPr>
          <w:rFonts w:ascii="Times New Roman" w:eastAsia="Times New Roman" w:hAnsi="Times New Roman" w:cs="Times New Roman"/>
          <w:i/>
          <w:color w:val="000000"/>
          <w:sz w:val="24"/>
          <w:szCs w:val="24"/>
          <w:highlight w:val="white"/>
        </w:rPr>
        <w:t>Journal of Counselling Psychology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60</w:t>
      </w:r>
      <w:r>
        <w:rPr>
          <w:rFonts w:ascii="Times New Roman" w:eastAsia="Times New Roman" w:hAnsi="Times New Roman" w:cs="Times New Roman"/>
          <w:color w:val="000000"/>
          <w:sz w:val="24"/>
          <w:szCs w:val="24"/>
          <w:highlight w:val="white"/>
        </w:rPr>
        <w:t>, 137.</w:t>
      </w:r>
    </w:p>
    <w:p w14:paraId="00000FF2" w14:textId="77777777" w:rsidR="00CB4215" w:rsidRDefault="000530B4">
      <w:pPr>
        <w:pStyle w:val="Heading2"/>
        <w:rPr>
          <w:rFonts w:ascii="Times New Roman" w:eastAsia="Times New Roman" w:hAnsi="Times New Roman" w:cs="Times New Roman"/>
          <w:b/>
          <w:color w:val="000000"/>
          <w:sz w:val="24"/>
          <w:szCs w:val="24"/>
          <w:highlight w:val="white"/>
        </w:rPr>
      </w:pPr>
      <w:bookmarkStart w:id="145" w:name="_heading=h.4fsjm0b" w:colFirst="0" w:colLast="0"/>
      <w:bookmarkStart w:id="146" w:name="_Toc172984841"/>
      <w:bookmarkEnd w:id="145"/>
      <w:r>
        <w:rPr>
          <w:rFonts w:ascii="Times New Roman" w:eastAsia="Times New Roman" w:hAnsi="Times New Roman" w:cs="Times New Roman"/>
          <w:b/>
          <w:color w:val="000000"/>
          <w:sz w:val="24"/>
          <w:szCs w:val="24"/>
          <w:highlight w:val="white"/>
        </w:rPr>
        <w:t>6. Short-Form Food Frequency Questionnaire (SFFFQ)</w:t>
      </w:r>
      <w:bookmarkEnd w:id="146"/>
    </w:p>
    <w:p w14:paraId="00000FF3"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Please tick how often you eat at least ONE portion of the following foods &amp; drinks: (a portion includes: a handful of grapes, an orange, a serving of carrots, a side salad, a slice of bread, a glass of pop).</w:t>
      </w:r>
    </w:p>
    <w:p w14:paraId="00000FF4"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 xml:space="preserve">(Please only put one tick, but answer </w:t>
      </w:r>
      <w:r>
        <w:rPr>
          <w:rFonts w:ascii="Times New Roman" w:eastAsia="Times New Roman" w:hAnsi="Times New Roman" w:cs="Times New Roman"/>
          <w:b/>
          <w:i/>
          <w:color w:val="000000"/>
          <w:sz w:val="24"/>
          <w:szCs w:val="24"/>
          <w:highlight w:val="white"/>
        </w:rPr>
        <w:t xml:space="preserve">EVERY </w:t>
      </w:r>
      <w:r>
        <w:rPr>
          <w:rFonts w:ascii="Times New Roman" w:eastAsia="Times New Roman" w:hAnsi="Times New Roman" w:cs="Times New Roman"/>
          <w:i/>
          <w:color w:val="000000"/>
          <w:sz w:val="24"/>
          <w:szCs w:val="24"/>
          <w:highlight w:val="white"/>
        </w:rPr>
        <w:t>line)</w:t>
      </w:r>
    </w:p>
    <w:tbl>
      <w:tblPr>
        <w:tblStyle w:val="af5"/>
        <w:tblW w:w="9019" w:type="dxa"/>
        <w:jc w:val="center"/>
        <w:tblLayout w:type="fixed"/>
        <w:tblLook w:val="0400" w:firstRow="0" w:lastRow="0" w:firstColumn="0" w:lastColumn="0" w:noHBand="0" w:noVBand="1"/>
      </w:tblPr>
      <w:tblGrid>
        <w:gridCol w:w="2328"/>
        <w:gridCol w:w="917"/>
        <w:gridCol w:w="972"/>
        <w:gridCol w:w="921"/>
        <w:gridCol w:w="925"/>
        <w:gridCol w:w="925"/>
        <w:gridCol w:w="731"/>
        <w:gridCol w:w="731"/>
        <w:gridCol w:w="569"/>
      </w:tblGrid>
      <w:tr w:rsidR="00CB4215" w14:paraId="1BAEF3D5" w14:textId="77777777">
        <w:trPr>
          <w:trHeight w:val="1104"/>
          <w:jc w:val="center"/>
        </w:trPr>
        <w:tc>
          <w:tcPr>
            <w:tcW w:w="2328" w:type="dxa"/>
            <w:tcBorders>
              <w:top w:val="single" w:sz="4" w:space="0" w:color="000000"/>
              <w:left w:val="single" w:sz="4" w:space="0" w:color="000000"/>
              <w:bottom w:val="single" w:sz="4" w:space="0" w:color="000000"/>
            </w:tcBorders>
          </w:tcPr>
          <w:p w14:paraId="00000FF5"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917" w:type="dxa"/>
            <w:tcBorders>
              <w:top w:val="single" w:sz="4" w:space="0" w:color="000000"/>
              <w:bottom w:val="single" w:sz="4" w:space="0" w:color="000000"/>
            </w:tcBorders>
          </w:tcPr>
          <w:p w14:paraId="00000FF6"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Rarely or never</w:t>
            </w:r>
          </w:p>
        </w:tc>
        <w:tc>
          <w:tcPr>
            <w:tcW w:w="972" w:type="dxa"/>
            <w:tcBorders>
              <w:top w:val="single" w:sz="4" w:space="0" w:color="000000"/>
              <w:bottom w:val="single" w:sz="4" w:space="0" w:color="000000"/>
            </w:tcBorders>
          </w:tcPr>
          <w:p w14:paraId="00000FF7"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Less than 1 a Week</w:t>
            </w:r>
          </w:p>
        </w:tc>
        <w:tc>
          <w:tcPr>
            <w:tcW w:w="921" w:type="dxa"/>
            <w:tcBorders>
              <w:top w:val="single" w:sz="4" w:space="0" w:color="000000"/>
              <w:bottom w:val="single" w:sz="4" w:space="0" w:color="000000"/>
            </w:tcBorders>
          </w:tcPr>
          <w:p w14:paraId="00000FF8"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Once a Week</w:t>
            </w:r>
          </w:p>
        </w:tc>
        <w:tc>
          <w:tcPr>
            <w:tcW w:w="925" w:type="dxa"/>
            <w:tcBorders>
              <w:top w:val="single" w:sz="4" w:space="0" w:color="000000"/>
              <w:bottom w:val="single" w:sz="4" w:space="0" w:color="000000"/>
            </w:tcBorders>
          </w:tcPr>
          <w:p w14:paraId="00000FF9"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2-3</w:t>
            </w:r>
          </w:p>
          <w:p w14:paraId="00000FFA"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Week</w:t>
            </w:r>
          </w:p>
        </w:tc>
        <w:tc>
          <w:tcPr>
            <w:tcW w:w="925" w:type="dxa"/>
            <w:tcBorders>
              <w:top w:val="single" w:sz="4" w:space="0" w:color="000000"/>
              <w:bottom w:val="single" w:sz="4" w:space="0" w:color="000000"/>
            </w:tcBorders>
          </w:tcPr>
          <w:p w14:paraId="00000FFB"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4-6</w:t>
            </w:r>
          </w:p>
          <w:p w14:paraId="00000FFC"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Week</w:t>
            </w:r>
          </w:p>
        </w:tc>
        <w:tc>
          <w:tcPr>
            <w:tcW w:w="731" w:type="dxa"/>
            <w:tcBorders>
              <w:top w:val="single" w:sz="4" w:space="0" w:color="000000"/>
              <w:bottom w:val="single" w:sz="4" w:space="0" w:color="000000"/>
            </w:tcBorders>
          </w:tcPr>
          <w:p w14:paraId="00000FFD"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w:t>
            </w:r>
          </w:p>
          <w:p w14:paraId="00000FFE"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Day</w:t>
            </w:r>
          </w:p>
        </w:tc>
        <w:tc>
          <w:tcPr>
            <w:tcW w:w="731" w:type="dxa"/>
            <w:tcBorders>
              <w:top w:val="single" w:sz="4" w:space="0" w:color="000000"/>
              <w:bottom w:val="single" w:sz="4" w:space="0" w:color="000000"/>
            </w:tcBorders>
          </w:tcPr>
          <w:p w14:paraId="00000FFF"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3-4</w:t>
            </w:r>
          </w:p>
          <w:p w14:paraId="00001000"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Day</w:t>
            </w:r>
          </w:p>
        </w:tc>
        <w:tc>
          <w:tcPr>
            <w:tcW w:w="569" w:type="dxa"/>
            <w:tcBorders>
              <w:top w:val="single" w:sz="4" w:space="0" w:color="000000"/>
              <w:bottom w:val="single" w:sz="4" w:space="0" w:color="000000"/>
              <w:right w:val="single" w:sz="4" w:space="0" w:color="000000"/>
            </w:tcBorders>
          </w:tcPr>
          <w:p w14:paraId="00001001"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 a Day</w:t>
            </w:r>
          </w:p>
        </w:tc>
      </w:tr>
      <w:tr w:rsidR="00CB4215" w14:paraId="65414B06" w14:textId="77777777">
        <w:trPr>
          <w:trHeight w:val="444"/>
          <w:jc w:val="center"/>
        </w:trPr>
        <w:tc>
          <w:tcPr>
            <w:tcW w:w="2328" w:type="dxa"/>
            <w:tcBorders>
              <w:top w:val="single" w:sz="4" w:space="0" w:color="000000"/>
              <w:left w:val="single" w:sz="4" w:space="0" w:color="000000"/>
              <w:bottom w:val="single" w:sz="4" w:space="0" w:color="000000"/>
              <w:right w:val="single" w:sz="4" w:space="0" w:color="000000"/>
            </w:tcBorders>
          </w:tcPr>
          <w:p w14:paraId="00001002"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Fruit (tinned / fresh)</w:t>
            </w:r>
          </w:p>
        </w:tc>
        <w:tc>
          <w:tcPr>
            <w:tcW w:w="917" w:type="dxa"/>
            <w:tcBorders>
              <w:top w:val="single" w:sz="4" w:space="0" w:color="000000"/>
              <w:left w:val="single" w:sz="4" w:space="0" w:color="000000"/>
              <w:bottom w:val="single" w:sz="4" w:space="0" w:color="000000"/>
              <w:right w:val="single" w:sz="4" w:space="0" w:color="000000"/>
            </w:tcBorders>
          </w:tcPr>
          <w:p w14:paraId="00001003"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58"/>
                <w:id w:val="1134141373"/>
              </w:sdtPr>
              <w:sdtEndPr/>
              <w:sdtContent>
                <w:r w:rsidR="000530B4">
                  <w:rPr>
                    <w:rFonts w:ascii="Arial Unicode MS" w:eastAsia="Arial Unicode MS" w:hAnsi="Arial Unicode MS" w:cs="Arial Unicode MS"/>
                    <w:color w:val="000000"/>
                    <w:sz w:val="24"/>
                    <w:szCs w:val="24"/>
                    <w:highlight w:val="white"/>
                  </w:rPr>
                  <w:t>◻</w:t>
                </w:r>
              </w:sdtContent>
            </w:sdt>
          </w:p>
        </w:tc>
        <w:tc>
          <w:tcPr>
            <w:tcW w:w="972" w:type="dxa"/>
            <w:tcBorders>
              <w:top w:val="single" w:sz="4" w:space="0" w:color="000000"/>
              <w:left w:val="single" w:sz="4" w:space="0" w:color="000000"/>
              <w:bottom w:val="single" w:sz="4" w:space="0" w:color="000000"/>
              <w:right w:val="single" w:sz="4" w:space="0" w:color="000000"/>
            </w:tcBorders>
          </w:tcPr>
          <w:p w14:paraId="00001004"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59"/>
                <w:id w:val="-1985145855"/>
              </w:sdtPr>
              <w:sdtEndPr/>
              <w:sdtContent>
                <w:r w:rsidR="000530B4">
                  <w:rPr>
                    <w:rFonts w:ascii="Arial Unicode MS" w:eastAsia="Arial Unicode MS" w:hAnsi="Arial Unicode MS" w:cs="Arial Unicode MS"/>
                    <w:color w:val="000000"/>
                    <w:sz w:val="24"/>
                    <w:szCs w:val="24"/>
                    <w:highlight w:val="white"/>
                  </w:rPr>
                  <w:t>◻</w:t>
                </w:r>
              </w:sdtContent>
            </w:sdt>
          </w:p>
        </w:tc>
        <w:tc>
          <w:tcPr>
            <w:tcW w:w="921" w:type="dxa"/>
            <w:tcBorders>
              <w:top w:val="single" w:sz="4" w:space="0" w:color="000000"/>
              <w:left w:val="single" w:sz="4" w:space="0" w:color="000000"/>
              <w:bottom w:val="single" w:sz="4" w:space="0" w:color="000000"/>
              <w:right w:val="single" w:sz="4" w:space="0" w:color="000000"/>
            </w:tcBorders>
          </w:tcPr>
          <w:p w14:paraId="00001005"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60"/>
                <w:id w:val="-979925534"/>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0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61"/>
                <w:id w:val="-1779868675"/>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0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62"/>
                <w:id w:val="1663583309"/>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0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63"/>
                <w:id w:val="-1669015082"/>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09"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64"/>
                <w:id w:val="1511264616"/>
              </w:sdtPr>
              <w:sdtEndPr/>
              <w:sdtContent>
                <w:r w:rsidR="000530B4">
                  <w:rPr>
                    <w:rFonts w:ascii="Arial Unicode MS" w:eastAsia="Arial Unicode MS" w:hAnsi="Arial Unicode MS" w:cs="Arial Unicode MS"/>
                    <w:color w:val="000000"/>
                    <w:sz w:val="24"/>
                    <w:szCs w:val="24"/>
                    <w:highlight w:val="white"/>
                  </w:rPr>
                  <w:t>◻</w:t>
                </w:r>
              </w:sdtContent>
            </w:sdt>
          </w:p>
        </w:tc>
        <w:tc>
          <w:tcPr>
            <w:tcW w:w="569" w:type="dxa"/>
            <w:tcBorders>
              <w:top w:val="single" w:sz="4" w:space="0" w:color="000000"/>
              <w:left w:val="single" w:sz="4" w:space="0" w:color="000000"/>
              <w:bottom w:val="single" w:sz="4" w:space="0" w:color="000000"/>
              <w:right w:val="single" w:sz="4" w:space="0" w:color="000000"/>
            </w:tcBorders>
          </w:tcPr>
          <w:p w14:paraId="0000100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65"/>
                <w:id w:val="448823956"/>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19015FE0" w14:textId="77777777">
        <w:trPr>
          <w:trHeight w:val="551"/>
          <w:jc w:val="center"/>
        </w:trPr>
        <w:tc>
          <w:tcPr>
            <w:tcW w:w="2328" w:type="dxa"/>
            <w:tcBorders>
              <w:top w:val="single" w:sz="4" w:space="0" w:color="000000"/>
              <w:left w:val="single" w:sz="4" w:space="0" w:color="000000"/>
              <w:bottom w:val="single" w:sz="4" w:space="0" w:color="000000"/>
              <w:right w:val="single" w:sz="4" w:space="0" w:color="000000"/>
            </w:tcBorders>
          </w:tcPr>
          <w:p w14:paraId="0000100B"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Fruit juice (not cordial or squash)</w:t>
            </w:r>
          </w:p>
        </w:tc>
        <w:tc>
          <w:tcPr>
            <w:tcW w:w="917" w:type="dxa"/>
            <w:tcBorders>
              <w:top w:val="single" w:sz="4" w:space="0" w:color="000000"/>
              <w:left w:val="single" w:sz="4" w:space="0" w:color="000000"/>
              <w:bottom w:val="single" w:sz="4" w:space="0" w:color="000000"/>
              <w:right w:val="single" w:sz="4" w:space="0" w:color="000000"/>
            </w:tcBorders>
          </w:tcPr>
          <w:p w14:paraId="0000100C"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66"/>
                <w:id w:val="701518278"/>
              </w:sdtPr>
              <w:sdtEndPr/>
              <w:sdtContent>
                <w:r w:rsidR="000530B4">
                  <w:rPr>
                    <w:rFonts w:ascii="Arial Unicode MS" w:eastAsia="Arial Unicode MS" w:hAnsi="Arial Unicode MS" w:cs="Arial Unicode MS"/>
                    <w:color w:val="000000"/>
                    <w:sz w:val="24"/>
                    <w:szCs w:val="24"/>
                    <w:highlight w:val="white"/>
                  </w:rPr>
                  <w:t>◻</w:t>
                </w:r>
              </w:sdtContent>
            </w:sdt>
          </w:p>
        </w:tc>
        <w:tc>
          <w:tcPr>
            <w:tcW w:w="972" w:type="dxa"/>
            <w:tcBorders>
              <w:top w:val="single" w:sz="4" w:space="0" w:color="000000"/>
              <w:left w:val="single" w:sz="4" w:space="0" w:color="000000"/>
              <w:bottom w:val="single" w:sz="4" w:space="0" w:color="000000"/>
              <w:right w:val="single" w:sz="4" w:space="0" w:color="000000"/>
            </w:tcBorders>
          </w:tcPr>
          <w:p w14:paraId="0000100D"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67"/>
                <w:id w:val="1903095037"/>
              </w:sdtPr>
              <w:sdtEndPr/>
              <w:sdtContent>
                <w:r w:rsidR="000530B4">
                  <w:rPr>
                    <w:rFonts w:ascii="Arial Unicode MS" w:eastAsia="Arial Unicode MS" w:hAnsi="Arial Unicode MS" w:cs="Arial Unicode MS"/>
                    <w:color w:val="000000"/>
                    <w:sz w:val="24"/>
                    <w:szCs w:val="24"/>
                    <w:highlight w:val="white"/>
                  </w:rPr>
                  <w:t>◻</w:t>
                </w:r>
              </w:sdtContent>
            </w:sdt>
          </w:p>
        </w:tc>
        <w:tc>
          <w:tcPr>
            <w:tcW w:w="921" w:type="dxa"/>
            <w:tcBorders>
              <w:top w:val="single" w:sz="4" w:space="0" w:color="000000"/>
              <w:left w:val="single" w:sz="4" w:space="0" w:color="000000"/>
              <w:bottom w:val="single" w:sz="4" w:space="0" w:color="000000"/>
              <w:right w:val="single" w:sz="4" w:space="0" w:color="000000"/>
            </w:tcBorders>
          </w:tcPr>
          <w:p w14:paraId="0000100E"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68"/>
                <w:id w:val="390314362"/>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0F"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69"/>
                <w:id w:val="-655379689"/>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10"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70"/>
                <w:id w:val="-453095638"/>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11"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71"/>
                <w:id w:val="1254860045"/>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12"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72"/>
                <w:id w:val="1296102514"/>
              </w:sdtPr>
              <w:sdtEndPr/>
              <w:sdtContent>
                <w:r w:rsidR="000530B4">
                  <w:rPr>
                    <w:rFonts w:ascii="Arial Unicode MS" w:eastAsia="Arial Unicode MS" w:hAnsi="Arial Unicode MS" w:cs="Arial Unicode MS"/>
                    <w:color w:val="000000"/>
                    <w:sz w:val="24"/>
                    <w:szCs w:val="24"/>
                    <w:highlight w:val="white"/>
                  </w:rPr>
                  <w:t>◻</w:t>
                </w:r>
              </w:sdtContent>
            </w:sdt>
          </w:p>
        </w:tc>
        <w:tc>
          <w:tcPr>
            <w:tcW w:w="569" w:type="dxa"/>
            <w:tcBorders>
              <w:top w:val="single" w:sz="4" w:space="0" w:color="000000"/>
              <w:left w:val="single" w:sz="4" w:space="0" w:color="000000"/>
              <w:bottom w:val="single" w:sz="4" w:space="0" w:color="000000"/>
              <w:right w:val="single" w:sz="4" w:space="0" w:color="000000"/>
            </w:tcBorders>
          </w:tcPr>
          <w:p w14:paraId="00001013"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73"/>
                <w:id w:val="961311148"/>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16AC828D" w14:textId="77777777">
        <w:trPr>
          <w:trHeight w:val="551"/>
          <w:jc w:val="center"/>
        </w:trPr>
        <w:tc>
          <w:tcPr>
            <w:tcW w:w="2328" w:type="dxa"/>
            <w:tcBorders>
              <w:top w:val="single" w:sz="4" w:space="0" w:color="000000"/>
              <w:left w:val="single" w:sz="4" w:space="0" w:color="000000"/>
              <w:bottom w:val="single" w:sz="4" w:space="0" w:color="000000"/>
              <w:right w:val="single" w:sz="4" w:space="0" w:color="000000"/>
            </w:tcBorders>
          </w:tcPr>
          <w:p w14:paraId="00001014"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Salad (not garnish added to sandwiches)</w:t>
            </w:r>
          </w:p>
        </w:tc>
        <w:tc>
          <w:tcPr>
            <w:tcW w:w="917" w:type="dxa"/>
            <w:tcBorders>
              <w:top w:val="single" w:sz="4" w:space="0" w:color="000000"/>
              <w:left w:val="single" w:sz="4" w:space="0" w:color="000000"/>
              <w:bottom w:val="single" w:sz="4" w:space="0" w:color="000000"/>
              <w:right w:val="single" w:sz="4" w:space="0" w:color="000000"/>
            </w:tcBorders>
          </w:tcPr>
          <w:p w14:paraId="00001015"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74"/>
                <w:id w:val="-913391761"/>
              </w:sdtPr>
              <w:sdtEndPr/>
              <w:sdtContent>
                <w:r w:rsidR="000530B4">
                  <w:rPr>
                    <w:rFonts w:ascii="Arial Unicode MS" w:eastAsia="Arial Unicode MS" w:hAnsi="Arial Unicode MS" w:cs="Arial Unicode MS"/>
                    <w:color w:val="000000"/>
                    <w:sz w:val="24"/>
                    <w:szCs w:val="24"/>
                    <w:highlight w:val="white"/>
                  </w:rPr>
                  <w:t>◻</w:t>
                </w:r>
              </w:sdtContent>
            </w:sdt>
          </w:p>
        </w:tc>
        <w:tc>
          <w:tcPr>
            <w:tcW w:w="972" w:type="dxa"/>
            <w:tcBorders>
              <w:top w:val="single" w:sz="4" w:space="0" w:color="000000"/>
              <w:left w:val="single" w:sz="4" w:space="0" w:color="000000"/>
              <w:bottom w:val="single" w:sz="4" w:space="0" w:color="000000"/>
              <w:right w:val="single" w:sz="4" w:space="0" w:color="000000"/>
            </w:tcBorders>
          </w:tcPr>
          <w:p w14:paraId="0000101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75"/>
                <w:id w:val="1655414896"/>
              </w:sdtPr>
              <w:sdtEndPr/>
              <w:sdtContent>
                <w:r w:rsidR="000530B4">
                  <w:rPr>
                    <w:rFonts w:ascii="Arial Unicode MS" w:eastAsia="Arial Unicode MS" w:hAnsi="Arial Unicode MS" w:cs="Arial Unicode MS"/>
                    <w:color w:val="000000"/>
                    <w:sz w:val="24"/>
                    <w:szCs w:val="24"/>
                    <w:highlight w:val="white"/>
                  </w:rPr>
                  <w:t>◻</w:t>
                </w:r>
              </w:sdtContent>
            </w:sdt>
          </w:p>
        </w:tc>
        <w:tc>
          <w:tcPr>
            <w:tcW w:w="921" w:type="dxa"/>
            <w:tcBorders>
              <w:top w:val="single" w:sz="4" w:space="0" w:color="000000"/>
              <w:left w:val="single" w:sz="4" w:space="0" w:color="000000"/>
              <w:bottom w:val="single" w:sz="4" w:space="0" w:color="000000"/>
              <w:right w:val="single" w:sz="4" w:space="0" w:color="000000"/>
            </w:tcBorders>
          </w:tcPr>
          <w:p w14:paraId="0000101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76"/>
                <w:id w:val="971940059"/>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1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77"/>
                <w:id w:val="1310359718"/>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19"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78"/>
                <w:id w:val="-1111051868"/>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1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79"/>
                <w:id w:val="1286472787"/>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1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80"/>
                <w:id w:val="872428204"/>
              </w:sdtPr>
              <w:sdtEndPr/>
              <w:sdtContent>
                <w:r w:rsidR="000530B4">
                  <w:rPr>
                    <w:rFonts w:ascii="Arial Unicode MS" w:eastAsia="Arial Unicode MS" w:hAnsi="Arial Unicode MS" w:cs="Arial Unicode MS"/>
                    <w:color w:val="000000"/>
                    <w:sz w:val="24"/>
                    <w:szCs w:val="24"/>
                    <w:highlight w:val="white"/>
                  </w:rPr>
                  <w:t>◻</w:t>
                </w:r>
              </w:sdtContent>
            </w:sdt>
          </w:p>
        </w:tc>
        <w:tc>
          <w:tcPr>
            <w:tcW w:w="569" w:type="dxa"/>
            <w:tcBorders>
              <w:top w:val="single" w:sz="4" w:space="0" w:color="000000"/>
              <w:left w:val="single" w:sz="4" w:space="0" w:color="000000"/>
              <w:bottom w:val="single" w:sz="4" w:space="0" w:color="000000"/>
              <w:right w:val="single" w:sz="4" w:space="0" w:color="000000"/>
            </w:tcBorders>
          </w:tcPr>
          <w:p w14:paraId="0000101C"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81"/>
                <w:id w:val="1023978078"/>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7169E0BA" w14:textId="77777777">
        <w:trPr>
          <w:trHeight w:val="827"/>
          <w:jc w:val="center"/>
        </w:trPr>
        <w:tc>
          <w:tcPr>
            <w:tcW w:w="2328" w:type="dxa"/>
            <w:tcBorders>
              <w:top w:val="single" w:sz="4" w:space="0" w:color="000000"/>
              <w:left w:val="single" w:sz="4" w:space="0" w:color="000000"/>
              <w:bottom w:val="single" w:sz="4" w:space="0" w:color="000000"/>
              <w:right w:val="single" w:sz="4" w:space="0" w:color="000000"/>
            </w:tcBorders>
          </w:tcPr>
          <w:p w14:paraId="0000101D"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Vegetables (canned / frozen / fresh but not potatoes)</w:t>
            </w:r>
          </w:p>
        </w:tc>
        <w:tc>
          <w:tcPr>
            <w:tcW w:w="917" w:type="dxa"/>
            <w:tcBorders>
              <w:top w:val="single" w:sz="4" w:space="0" w:color="000000"/>
              <w:left w:val="single" w:sz="4" w:space="0" w:color="000000"/>
              <w:bottom w:val="single" w:sz="4" w:space="0" w:color="000000"/>
              <w:right w:val="single" w:sz="4" w:space="0" w:color="000000"/>
            </w:tcBorders>
          </w:tcPr>
          <w:p w14:paraId="0000101E"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82"/>
                <w:id w:val="-432976514"/>
              </w:sdtPr>
              <w:sdtEndPr/>
              <w:sdtContent>
                <w:r w:rsidR="000530B4">
                  <w:rPr>
                    <w:rFonts w:ascii="Arial Unicode MS" w:eastAsia="Arial Unicode MS" w:hAnsi="Arial Unicode MS" w:cs="Arial Unicode MS"/>
                    <w:color w:val="000000"/>
                    <w:sz w:val="24"/>
                    <w:szCs w:val="24"/>
                    <w:highlight w:val="white"/>
                  </w:rPr>
                  <w:t>◻</w:t>
                </w:r>
              </w:sdtContent>
            </w:sdt>
          </w:p>
        </w:tc>
        <w:tc>
          <w:tcPr>
            <w:tcW w:w="972" w:type="dxa"/>
            <w:tcBorders>
              <w:top w:val="single" w:sz="4" w:space="0" w:color="000000"/>
              <w:left w:val="single" w:sz="4" w:space="0" w:color="000000"/>
              <w:bottom w:val="single" w:sz="4" w:space="0" w:color="000000"/>
              <w:right w:val="single" w:sz="4" w:space="0" w:color="000000"/>
            </w:tcBorders>
          </w:tcPr>
          <w:p w14:paraId="0000101F"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83"/>
                <w:id w:val="1024141992"/>
              </w:sdtPr>
              <w:sdtEndPr/>
              <w:sdtContent>
                <w:r w:rsidR="000530B4">
                  <w:rPr>
                    <w:rFonts w:ascii="Arial Unicode MS" w:eastAsia="Arial Unicode MS" w:hAnsi="Arial Unicode MS" w:cs="Arial Unicode MS"/>
                    <w:color w:val="000000"/>
                    <w:sz w:val="24"/>
                    <w:szCs w:val="24"/>
                    <w:highlight w:val="white"/>
                  </w:rPr>
                  <w:t>◻</w:t>
                </w:r>
              </w:sdtContent>
            </w:sdt>
          </w:p>
        </w:tc>
        <w:tc>
          <w:tcPr>
            <w:tcW w:w="921" w:type="dxa"/>
            <w:tcBorders>
              <w:top w:val="single" w:sz="4" w:space="0" w:color="000000"/>
              <w:left w:val="single" w:sz="4" w:space="0" w:color="000000"/>
              <w:bottom w:val="single" w:sz="4" w:space="0" w:color="000000"/>
              <w:right w:val="single" w:sz="4" w:space="0" w:color="000000"/>
            </w:tcBorders>
          </w:tcPr>
          <w:p w14:paraId="00001020"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84"/>
                <w:id w:val="-1069578729"/>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21"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85"/>
                <w:id w:val="-2076738334"/>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22"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86"/>
                <w:id w:val="1171447887"/>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23"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87"/>
                <w:id w:val="-1884156640"/>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24"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88"/>
                <w:id w:val="-892336965"/>
              </w:sdtPr>
              <w:sdtEndPr/>
              <w:sdtContent>
                <w:r w:rsidR="000530B4">
                  <w:rPr>
                    <w:rFonts w:ascii="Arial Unicode MS" w:eastAsia="Arial Unicode MS" w:hAnsi="Arial Unicode MS" w:cs="Arial Unicode MS"/>
                    <w:color w:val="000000"/>
                    <w:sz w:val="24"/>
                    <w:szCs w:val="24"/>
                    <w:highlight w:val="white"/>
                  </w:rPr>
                  <w:t>◻</w:t>
                </w:r>
              </w:sdtContent>
            </w:sdt>
          </w:p>
        </w:tc>
        <w:tc>
          <w:tcPr>
            <w:tcW w:w="569" w:type="dxa"/>
            <w:tcBorders>
              <w:top w:val="single" w:sz="4" w:space="0" w:color="000000"/>
              <w:left w:val="single" w:sz="4" w:space="0" w:color="000000"/>
              <w:bottom w:val="single" w:sz="4" w:space="0" w:color="000000"/>
              <w:right w:val="single" w:sz="4" w:space="0" w:color="000000"/>
            </w:tcBorders>
          </w:tcPr>
          <w:p w14:paraId="00001025"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89"/>
                <w:id w:val="-762683668"/>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4626D9E5" w14:textId="77777777">
        <w:trPr>
          <w:trHeight w:val="512"/>
          <w:jc w:val="center"/>
        </w:trPr>
        <w:tc>
          <w:tcPr>
            <w:tcW w:w="2328" w:type="dxa"/>
            <w:tcBorders>
              <w:top w:val="single" w:sz="4" w:space="0" w:color="000000"/>
              <w:left w:val="single" w:sz="4" w:space="0" w:color="000000"/>
              <w:bottom w:val="single" w:sz="4" w:space="0" w:color="000000"/>
              <w:right w:val="single" w:sz="4" w:space="0" w:color="000000"/>
            </w:tcBorders>
          </w:tcPr>
          <w:p w14:paraId="00001026"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Chips / fried potatoes</w:t>
            </w:r>
          </w:p>
        </w:tc>
        <w:tc>
          <w:tcPr>
            <w:tcW w:w="917" w:type="dxa"/>
            <w:tcBorders>
              <w:top w:val="single" w:sz="4" w:space="0" w:color="000000"/>
              <w:left w:val="single" w:sz="4" w:space="0" w:color="000000"/>
              <w:bottom w:val="single" w:sz="4" w:space="0" w:color="000000"/>
              <w:right w:val="single" w:sz="4" w:space="0" w:color="000000"/>
            </w:tcBorders>
          </w:tcPr>
          <w:p w14:paraId="0000102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90"/>
                <w:id w:val="197051218"/>
              </w:sdtPr>
              <w:sdtEndPr/>
              <w:sdtContent>
                <w:r w:rsidR="000530B4">
                  <w:rPr>
                    <w:rFonts w:ascii="Arial Unicode MS" w:eastAsia="Arial Unicode MS" w:hAnsi="Arial Unicode MS" w:cs="Arial Unicode MS"/>
                    <w:color w:val="000000"/>
                    <w:sz w:val="24"/>
                    <w:szCs w:val="24"/>
                    <w:highlight w:val="white"/>
                  </w:rPr>
                  <w:t>◻</w:t>
                </w:r>
              </w:sdtContent>
            </w:sdt>
          </w:p>
        </w:tc>
        <w:tc>
          <w:tcPr>
            <w:tcW w:w="972" w:type="dxa"/>
            <w:tcBorders>
              <w:top w:val="single" w:sz="4" w:space="0" w:color="000000"/>
              <w:left w:val="single" w:sz="4" w:space="0" w:color="000000"/>
              <w:bottom w:val="single" w:sz="4" w:space="0" w:color="000000"/>
              <w:right w:val="single" w:sz="4" w:space="0" w:color="000000"/>
            </w:tcBorders>
          </w:tcPr>
          <w:p w14:paraId="0000102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91"/>
                <w:id w:val="-1929260915"/>
              </w:sdtPr>
              <w:sdtEndPr/>
              <w:sdtContent>
                <w:r w:rsidR="000530B4">
                  <w:rPr>
                    <w:rFonts w:ascii="Arial Unicode MS" w:eastAsia="Arial Unicode MS" w:hAnsi="Arial Unicode MS" w:cs="Arial Unicode MS"/>
                    <w:color w:val="000000"/>
                    <w:sz w:val="24"/>
                    <w:szCs w:val="24"/>
                    <w:highlight w:val="white"/>
                  </w:rPr>
                  <w:t>◻</w:t>
                </w:r>
              </w:sdtContent>
            </w:sdt>
          </w:p>
        </w:tc>
        <w:tc>
          <w:tcPr>
            <w:tcW w:w="921" w:type="dxa"/>
            <w:tcBorders>
              <w:top w:val="single" w:sz="4" w:space="0" w:color="000000"/>
              <w:left w:val="single" w:sz="4" w:space="0" w:color="000000"/>
              <w:bottom w:val="single" w:sz="4" w:space="0" w:color="000000"/>
              <w:right w:val="single" w:sz="4" w:space="0" w:color="000000"/>
            </w:tcBorders>
          </w:tcPr>
          <w:p w14:paraId="00001029"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92"/>
                <w:id w:val="618420019"/>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2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93"/>
                <w:id w:val="-2051985600"/>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2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94"/>
                <w:id w:val="-106196558"/>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2C"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95"/>
                <w:id w:val="-1477911211"/>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2D"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96"/>
                <w:id w:val="1686791944"/>
              </w:sdtPr>
              <w:sdtEndPr/>
              <w:sdtContent>
                <w:r w:rsidR="000530B4">
                  <w:rPr>
                    <w:rFonts w:ascii="Arial Unicode MS" w:eastAsia="Arial Unicode MS" w:hAnsi="Arial Unicode MS" w:cs="Arial Unicode MS"/>
                    <w:color w:val="000000"/>
                    <w:sz w:val="24"/>
                    <w:szCs w:val="24"/>
                    <w:highlight w:val="white"/>
                  </w:rPr>
                  <w:t>◻</w:t>
                </w:r>
              </w:sdtContent>
            </w:sdt>
          </w:p>
        </w:tc>
        <w:tc>
          <w:tcPr>
            <w:tcW w:w="569" w:type="dxa"/>
            <w:tcBorders>
              <w:top w:val="single" w:sz="4" w:space="0" w:color="000000"/>
              <w:left w:val="single" w:sz="4" w:space="0" w:color="000000"/>
              <w:bottom w:val="single" w:sz="4" w:space="0" w:color="000000"/>
              <w:right w:val="single" w:sz="4" w:space="0" w:color="000000"/>
            </w:tcBorders>
          </w:tcPr>
          <w:p w14:paraId="0000102E"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97"/>
                <w:id w:val="852611376"/>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57D2793C" w14:textId="77777777">
        <w:trPr>
          <w:trHeight w:val="827"/>
          <w:jc w:val="center"/>
        </w:trPr>
        <w:tc>
          <w:tcPr>
            <w:tcW w:w="2328" w:type="dxa"/>
            <w:tcBorders>
              <w:top w:val="single" w:sz="4" w:space="0" w:color="000000"/>
              <w:left w:val="single" w:sz="4" w:space="0" w:color="000000"/>
              <w:bottom w:val="single" w:sz="4" w:space="0" w:color="000000"/>
              <w:right w:val="single" w:sz="4" w:space="0" w:color="000000"/>
            </w:tcBorders>
          </w:tcPr>
          <w:p w14:paraId="0000102F"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Beans or pulses like baked beans, chickpeas, dahl</w:t>
            </w:r>
          </w:p>
        </w:tc>
        <w:tc>
          <w:tcPr>
            <w:tcW w:w="917" w:type="dxa"/>
            <w:tcBorders>
              <w:top w:val="single" w:sz="4" w:space="0" w:color="000000"/>
              <w:left w:val="single" w:sz="4" w:space="0" w:color="000000"/>
              <w:bottom w:val="single" w:sz="4" w:space="0" w:color="000000"/>
              <w:right w:val="single" w:sz="4" w:space="0" w:color="000000"/>
            </w:tcBorders>
          </w:tcPr>
          <w:p w14:paraId="00001030"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98"/>
                <w:id w:val="-1224521757"/>
              </w:sdtPr>
              <w:sdtEndPr/>
              <w:sdtContent>
                <w:r w:rsidR="000530B4">
                  <w:rPr>
                    <w:rFonts w:ascii="Arial Unicode MS" w:eastAsia="Arial Unicode MS" w:hAnsi="Arial Unicode MS" w:cs="Arial Unicode MS"/>
                    <w:color w:val="000000"/>
                    <w:sz w:val="24"/>
                    <w:szCs w:val="24"/>
                    <w:highlight w:val="white"/>
                  </w:rPr>
                  <w:t>◻</w:t>
                </w:r>
              </w:sdtContent>
            </w:sdt>
          </w:p>
        </w:tc>
        <w:tc>
          <w:tcPr>
            <w:tcW w:w="972" w:type="dxa"/>
            <w:tcBorders>
              <w:top w:val="single" w:sz="4" w:space="0" w:color="000000"/>
              <w:left w:val="single" w:sz="4" w:space="0" w:color="000000"/>
              <w:bottom w:val="single" w:sz="4" w:space="0" w:color="000000"/>
              <w:right w:val="single" w:sz="4" w:space="0" w:color="000000"/>
            </w:tcBorders>
          </w:tcPr>
          <w:p w14:paraId="00001031"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99"/>
                <w:id w:val="676469688"/>
              </w:sdtPr>
              <w:sdtEndPr/>
              <w:sdtContent>
                <w:r w:rsidR="000530B4">
                  <w:rPr>
                    <w:rFonts w:ascii="Arial Unicode MS" w:eastAsia="Arial Unicode MS" w:hAnsi="Arial Unicode MS" w:cs="Arial Unicode MS"/>
                    <w:color w:val="000000"/>
                    <w:sz w:val="24"/>
                    <w:szCs w:val="24"/>
                    <w:highlight w:val="white"/>
                  </w:rPr>
                  <w:t>◻</w:t>
                </w:r>
              </w:sdtContent>
            </w:sdt>
          </w:p>
        </w:tc>
        <w:tc>
          <w:tcPr>
            <w:tcW w:w="921" w:type="dxa"/>
            <w:tcBorders>
              <w:top w:val="single" w:sz="4" w:space="0" w:color="000000"/>
              <w:left w:val="single" w:sz="4" w:space="0" w:color="000000"/>
              <w:bottom w:val="single" w:sz="4" w:space="0" w:color="000000"/>
              <w:right w:val="single" w:sz="4" w:space="0" w:color="000000"/>
            </w:tcBorders>
          </w:tcPr>
          <w:p w14:paraId="00001032"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00"/>
                <w:id w:val="-1486166716"/>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33"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01"/>
                <w:id w:val="-769932635"/>
              </w:sdtPr>
              <w:sdtEndPr/>
              <w:sdtContent>
                <w:r w:rsidR="000530B4">
                  <w:rPr>
                    <w:rFonts w:ascii="Arial Unicode MS" w:eastAsia="Arial Unicode MS" w:hAnsi="Arial Unicode MS" w:cs="Arial Unicode MS"/>
                    <w:color w:val="000000"/>
                    <w:sz w:val="24"/>
                    <w:szCs w:val="24"/>
                    <w:highlight w:val="white"/>
                  </w:rPr>
                  <w:t>◻</w:t>
                </w:r>
              </w:sdtContent>
            </w:sdt>
          </w:p>
        </w:tc>
        <w:tc>
          <w:tcPr>
            <w:tcW w:w="925" w:type="dxa"/>
            <w:tcBorders>
              <w:top w:val="single" w:sz="4" w:space="0" w:color="000000"/>
              <w:left w:val="single" w:sz="4" w:space="0" w:color="000000"/>
              <w:bottom w:val="single" w:sz="4" w:space="0" w:color="000000"/>
              <w:right w:val="single" w:sz="4" w:space="0" w:color="000000"/>
            </w:tcBorders>
          </w:tcPr>
          <w:p w14:paraId="00001034"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02"/>
                <w:id w:val="-1528555349"/>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35"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03"/>
                <w:id w:val="-1427263953"/>
              </w:sdtPr>
              <w:sdtEndPr/>
              <w:sdtContent>
                <w:r w:rsidR="000530B4">
                  <w:rPr>
                    <w:rFonts w:ascii="Arial Unicode MS" w:eastAsia="Arial Unicode MS" w:hAnsi="Arial Unicode MS" w:cs="Arial Unicode MS"/>
                    <w:color w:val="000000"/>
                    <w:sz w:val="24"/>
                    <w:szCs w:val="24"/>
                    <w:highlight w:val="white"/>
                  </w:rPr>
                  <w:t>◻</w:t>
                </w:r>
              </w:sdtContent>
            </w:sdt>
          </w:p>
        </w:tc>
        <w:tc>
          <w:tcPr>
            <w:tcW w:w="731" w:type="dxa"/>
            <w:tcBorders>
              <w:top w:val="single" w:sz="4" w:space="0" w:color="000000"/>
              <w:left w:val="single" w:sz="4" w:space="0" w:color="000000"/>
              <w:bottom w:val="single" w:sz="4" w:space="0" w:color="000000"/>
              <w:right w:val="single" w:sz="4" w:space="0" w:color="000000"/>
            </w:tcBorders>
          </w:tcPr>
          <w:p w14:paraId="0000103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04"/>
                <w:id w:val="-1579123506"/>
              </w:sdtPr>
              <w:sdtEndPr/>
              <w:sdtContent>
                <w:r w:rsidR="000530B4">
                  <w:rPr>
                    <w:rFonts w:ascii="Arial Unicode MS" w:eastAsia="Arial Unicode MS" w:hAnsi="Arial Unicode MS" w:cs="Arial Unicode MS"/>
                    <w:color w:val="000000"/>
                    <w:sz w:val="24"/>
                    <w:szCs w:val="24"/>
                    <w:highlight w:val="white"/>
                  </w:rPr>
                  <w:t>◻</w:t>
                </w:r>
              </w:sdtContent>
            </w:sdt>
          </w:p>
        </w:tc>
        <w:tc>
          <w:tcPr>
            <w:tcW w:w="569" w:type="dxa"/>
            <w:tcBorders>
              <w:top w:val="single" w:sz="4" w:space="0" w:color="000000"/>
              <w:left w:val="single" w:sz="4" w:space="0" w:color="000000"/>
              <w:bottom w:val="single" w:sz="4" w:space="0" w:color="000000"/>
              <w:right w:val="single" w:sz="4" w:space="0" w:color="000000"/>
            </w:tcBorders>
          </w:tcPr>
          <w:p w14:paraId="0000103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05"/>
                <w:id w:val="1251929031"/>
              </w:sdtPr>
              <w:sdtEndPr/>
              <w:sdtContent>
                <w:r w:rsidR="000530B4">
                  <w:rPr>
                    <w:rFonts w:ascii="Arial Unicode MS" w:eastAsia="Arial Unicode MS" w:hAnsi="Arial Unicode MS" w:cs="Arial Unicode MS"/>
                    <w:color w:val="000000"/>
                    <w:sz w:val="24"/>
                    <w:szCs w:val="24"/>
                    <w:highlight w:val="white"/>
                  </w:rPr>
                  <w:t>◻</w:t>
                </w:r>
              </w:sdtContent>
            </w:sdt>
          </w:p>
        </w:tc>
      </w:tr>
    </w:tbl>
    <w:p w14:paraId="00001038"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bl>
      <w:tblPr>
        <w:tblStyle w:val="af6"/>
        <w:tblW w:w="9019" w:type="dxa"/>
        <w:jc w:val="center"/>
        <w:tblLayout w:type="fixed"/>
        <w:tblLook w:val="0400" w:firstRow="0" w:lastRow="0" w:firstColumn="0" w:lastColumn="0" w:noHBand="0" w:noVBand="1"/>
      </w:tblPr>
      <w:tblGrid>
        <w:gridCol w:w="2595"/>
        <w:gridCol w:w="876"/>
        <w:gridCol w:w="909"/>
        <w:gridCol w:w="894"/>
        <w:gridCol w:w="897"/>
        <w:gridCol w:w="897"/>
        <w:gridCol w:w="702"/>
        <w:gridCol w:w="702"/>
        <w:gridCol w:w="547"/>
      </w:tblGrid>
      <w:tr w:rsidR="00CB4215" w14:paraId="4081C78B" w14:textId="77777777">
        <w:trPr>
          <w:trHeight w:val="1103"/>
          <w:jc w:val="center"/>
        </w:trPr>
        <w:tc>
          <w:tcPr>
            <w:tcW w:w="2595" w:type="dxa"/>
            <w:tcBorders>
              <w:top w:val="single" w:sz="4" w:space="0" w:color="000000"/>
              <w:left w:val="single" w:sz="4" w:space="0" w:color="000000"/>
              <w:bottom w:val="single" w:sz="4" w:space="0" w:color="000000"/>
            </w:tcBorders>
          </w:tcPr>
          <w:p w14:paraId="00001039"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876" w:type="dxa"/>
            <w:tcBorders>
              <w:top w:val="single" w:sz="4" w:space="0" w:color="000000"/>
              <w:bottom w:val="single" w:sz="4" w:space="0" w:color="000000"/>
            </w:tcBorders>
          </w:tcPr>
          <w:p w14:paraId="0000103A"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Rarely or never</w:t>
            </w:r>
          </w:p>
        </w:tc>
        <w:tc>
          <w:tcPr>
            <w:tcW w:w="909" w:type="dxa"/>
            <w:tcBorders>
              <w:top w:val="single" w:sz="4" w:space="0" w:color="000000"/>
              <w:bottom w:val="single" w:sz="4" w:space="0" w:color="000000"/>
            </w:tcBorders>
          </w:tcPr>
          <w:p w14:paraId="0000103B"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Less than 1 a Week</w:t>
            </w:r>
          </w:p>
        </w:tc>
        <w:tc>
          <w:tcPr>
            <w:tcW w:w="894" w:type="dxa"/>
            <w:tcBorders>
              <w:top w:val="single" w:sz="4" w:space="0" w:color="000000"/>
              <w:bottom w:val="single" w:sz="4" w:space="0" w:color="000000"/>
            </w:tcBorders>
          </w:tcPr>
          <w:p w14:paraId="0000103C"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Once a Week</w:t>
            </w:r>
          </w:p>
        </w:tc>
        <w:tc>
          <w:tcPr>
            <w:tcW w:w="897" w:type="dxa"/>
            <w:tcBorders>
              <w:top w:val="single" w:sz="4" w:space="0" w:color="000000"/>
              <w:bottom w:val="single" w:sz="4" w:space="0" w:color="000000"/>
            </w:tcBorders>
          </w:tcPr>
          <w:p w14:paraId="0000103D"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2-3</w:t>
            </w:r>
          </w:p>
          <w:p w14:paraId="0000103E"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Week</w:t>
            </w:r>
          </w:p>
        </w:tc>
        <w:tc>
          <w:tcPr>
            <w:tcW w:w="897" w:type="dxa"/>
            <w:tcBorders>
              <w:top w:val="single" w:sz="4" w:space="0" w:color="000000"/>
              <w:bottom w:val="single" w:sz="4" w:space="0" w:color="000000"/>
            </w:tcBorders>
          </w:tcPr>
          <w:p w14:paraId="0000103F"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4-6</w:t>
            </w:r>
          </w:p>
          <w:p w14:paraId="00001040"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Week</w:t>
            </w:r>
          </w:p>
        </w:tc>
        <w:tc>
          <w:tcPr>
            <w:tcW w:w="702" w:type="dxa"/>
            <w:tcBorders>
              <w:top w:val="single" w:sz="4" w:space="0" w:color="000000"/>
              <w:bottom w:val="single" w:sz="4" w:space="0" w:color="000000"/>
            </w:tcBorders>
          </w:tcPr>
          <w:p w14:paraId="00001041"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w:t>
            </w:r>
          </w:p>
          <w:p w14:paraId="00001042"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Day</w:t>
            </w:r>
          </w:p>
        </w:tc>
        <w:tc>
          <w:tcPr>
            <w:tcW w:w="702" w:type="dxa"/>
            <w:tcBorders>
              <w:top w:val="single" w:sz="4" w:space="0" w:color="000000"/>
              <w:bottom w:val="single" w:sz="4" w:space="0" w:color="000000"/>
            </w:tcBorders>
          </w:tcPr>
          <w:p w14:paraId="00001043"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3-4</w:t>
            </w:r>
          </w:p>
          <w:p w14:paraId="00001044"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Day</w:t>
            </w:r>
          </w:p>
        </w:tc>
        <w:tc>
          <w:tcPr>
            <w:tcW w:w="547" w:type="dxa"/>
            <w:tcBorders>
              <w:top w:val="single" w:sz="4" w:space="0" w:color="000000"/>
              <w:bottom w:val="single" w:sz="4" w:space="0" w:color="000000"/>
              <w:right w:val="single" w:sz="4" w:space="0" w:color="000000"/>
            </w:tcBorders>
          </w:tcPr>
          <w:p w14:paraId="00001045"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 a Day</w:t>
            </w:r>
          </w:p>
        </w:tc>
      </w:tr>
      <w:tr w:rsidR="00CB4215" w14:paraId="242D43BA" w14:textId="77777777">
        <w:trPr>
          <w:trHeight w:val="746"/>
          <w:jc w:val="center"/>
        </w:trPr>
        <w:tc>
          <w:tcPr>
            <w:tcW w:w="2595" w:type="dxa"/>
            <w:tcBorders>
              <w:top w:val="single" w:sz="4" w:space="0" w:color="000000"/>
              <w:left w:val="single" w:sz="4" w:space="0" w:color="000000"/>
              <w:bottom w:val="single" w:sz="4" w:space="0" w:color="000000"/>
              <w:right w:val="single" w:sz="4" w:space="0" w:color="000000"/>
            </w:tcBorders>
          </w:tcPr>
          <w:p w14:paraId="00001046"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Fibre-rich breakfast cereal, like Weetabix, Fruit ‘n Fibre, Porridge, Muesli</w:t>
            </w:r>
          </w:p>
        </w:tc>
        <w:tc>
          <w:tcPr>
            <w:tcW w:w="876" w:type="dxa"/>
            <w:tcBorders>
              <w:top w:val="single" w:sz="4" w:space="0" w:color="000000"/>
              <w:left w:val="single" w:sz="4" w:space="0" w:color="000000"/>
              <w:bottom w:val="single" w:sz="4" w:space="0" w:color="000000"/>
              <w:right w:val="single" w:sz="4" w:space="0" w:color="000000"/>
            </w:tcBorders>
          </w:tcPr>
          <w:p w14:paraId="00001047"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04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06"/>
                <w:id w:val="-1683897482"/>
              </w:sdtPr>
              <w:sdtEndPr/>
              <w:sdtContent>
                <w:r w:rsidR="000530B4">
                  <w:rPr>
                    <w:rFonts w:ascii="Arial Unicode MS" w:eastAsia="Arial Unicode MS" w:hAnsi="Arial Unicode MS" w:cs="Arial Unicode MS"/>
                    <w:color w:val="000000"/>
                    <w:sz w:val="24"/>
                    <w:szCs w:val="24"/>
                    <w:highlight w:val="white"/>
                  </w:rPr>
                  <w:t>◻</w:t>
                </w:r>
              </w:sdtContent>
            </w:sdt>
          </w:p>
        </w:tc>
        <w:tc>
          <w:tcPr>
            <w:tcW w:w="909" w:type="dxa"/>
            <w:tcBorders>
              <w:top w:val="single" w:sz="4" w:space="0" w:color="000000"/>
              <w:left w:val="single" w:sz="4" w:space="0" w:color="000000"/>
              <w:bottom w:val="single" w:sz="4" w:space="0" w:color="000000"/>
              <w:right w:val="single" w:sz="4" w:space="0" w:color="000000"/>
            </w:tcBorders>
          </w:tcPr>
          <w:p w14:paraId="00001049"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04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07"/>
                <w:id w:val="-581837424"/>
              </w:sdtPr>
              <w:sdtEndPr/>
              <w:sdtContent>
                <w:r w:rsidR="000530B4">
                  <w:rPr>
                    <w:rFonts w:ascii="Arial Unicode MS" w:eastAsia="Arial Unicode MS" w:hAnsi="Arial Unicode MS" w:cs="Arial Unicode MS"/>
                    <w:color w:val="000000"/>
                    <w:sz w:val="24"/>
                    <w:szCs w:val="24"/>
                    <w:highlight w:val="white"/>
                  </w:rPr>
                  <w:t>◻</w:t>
                </w:r>
              </w:sdtContent>
            </w:sdt>
          </w:p>
        </w:tc>
        <w:tc>
          <w:tcPr>
            <w:tcW w:w="894" w:type="dxa"/>
            <w:tcBorders>
              <w:top w:val="single" w:sz="4" w:space="0" w:color="000000"/>
              <w:left w:val="single" w:sz="4" w:space="0" w:color="000000"/>
              <w:bottom w:val="single" w:sz="4" w:space="0" w:color="000000"/>
              <w:right w:val="single" w:sz="4" w:space="0" w:color="000000"/>
            </w:tcBorders>
          </w:tcPr>
          <w:p w14:paraId="0000104B"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04C"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08"/>
                <w:id w:val="1289544677"/>
              </w:sdtPr>
              <w:sdtEndPr/>
              <w:sdtContent>
                <w:r w:rsidR="000530B4">
                  <w:rPr>
                    <w:rFonts w:ascii="Arial Unicode MS" w:eastAsia="Arial Unicode MS" w:hAnsi="Arial Unicode MS" w:cs="Arial Unicode MS"/>
                    <w:color w:val="000000"/>
                    <w:sz w:val="24"/>
                    <w:szCs w:val="24"/>
                    <w:highlight w:val="white"/>
                  </w:rPr>
                  <w:t>◻</w:t>
                </w:r>
              </w:sdtContent>
            </w:sdt>
          </w:p>
        </w:tc>
        <w:tc>
          <w:tcPr>
            <w:tcW w:w="897" w:type="dxa"/>
            <w:tcBorders>
              <w:top w:val="single" w:sz="4" w:space="0" w:color="000000"/>
              <w:left w:val="single" w:sz="4" w:space="0" w:color="000000"/>
              <w:bottom w:val="single" w:sz="4" w:space="0" w:color="000000"/>
              <w:right w:val="single" w:sz="4" w:space="0" w:color="000000"/>
            </w:tcBorders>
          </w:tcPr>
          <w:p w14:paraId="0000104D"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04E"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09"/>
                <w:id w:val="985120204"/>
              </w:sdtPr>
              <w:sdtEndPr/>
              <w:sdtContent>
                <w:r w:rsidR="000530B4">
                  <w:rPr>
                    <w:rFonts w:ascii="Arial Unicode MS" w:eastAsia="Arial Unicode MS" w:hAnsi="Arial Unicode MS" w:cs="Arial Unicode MS"/>
                    <w:color w:val="000000"/>
                    <w:sz w:val="24"/>
                    <w:szCs w:val="24"/>
                    <w:highlight w:val="white"/>
                  </w:rPr>
                  <w:t>◻</w:t>
                </w:r>
              </w:sdtContent>
            </w:sdt>
          </w:p>
        </w:tc>
        <w:tc>
          <w:tcPr>
            <w:tcW w:w="897" w:type="dxa"/>
            <w:tcBorders>
              <w:top w:val="single" w:sz="4" w:space="0" w:color="000000"/>
              <w:left w:val="single" w:sz="4" w:space="0" w:color="000000"/>
              <w:bottom w:val="single" w:sz="4" w:space="0" w:color="000000"/>
              <w:right w:val="single" w:sz="4" w:space="0" w:color="000000"/>
            </w:tcBorders>
          </w:tcPr>
          <w:p w14:paraId="0000104F"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050"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10"/>
                <w:id w:val="-1516069459"/>
              </w:sdtPr>
              <w:sdtEndPr/>
              <w:sdtContent>
                <w:r w:rsidR="000530B4">
                  <w:rPr>
                    <w:rFonts w:ascii="Arial Unicode MS" w:eastAsia="Arial Unicode MS" w:hAnsi="Arial Unicode MS" w:cs="Arial Unicode MS"/>
                    <w:color w:val="000000"/>
                    <w:sz w:val="24"/>
                    <w:szCs w:val="24"/>
                    <w:highlight w:val="white"/>
                  </w:rPr>
                  <w:t>◻</w:t>
                </w:r>
              </w:sdtContent>
            </w:sdt>
          </w:p>
        </w:tc>
        <w:tc>
          <w:tcPr>
            <w:tcW w:w="702" w:type="dxa"/>
            <w:tcBorders>
              <w:top w:val="single" w:sz="4" w:space="0" w:color="000000"/>
              <w:left w:val="single" w:sz="4" w:space="0" w:color="000000"/>
              <w:bottom w:val="single" w:sz="4" w:space="0" w:color="000000"/>
              <w:right w:val="single" w:sz="4" w:space="0" w:color="000000"/>
            </w:tcBorders>
          </w:tcPr>
          <w:p w14:paraId="00001051"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052"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11"/>
                <w:id w:val="1684316503"/>
              </w:sdtPr>
              <w:sdtEndPr/>
              <w:sdtContent>
                <w:r w:rsidR="000530B4">
                  <w:rPr>
                    <w:rFonts w:ascii="Arial Unicode MS" w:eastAsia="Arial Unicode MS" w:hAnsi="Arial Unicode MS" w:cs="Arial Unicode MS"/>
                    <w:color w:val="000000"/>
                    <w:sz w:val="24"/>
                    <w:szCs w:val="24"/>
                    <w:highlight w:val="white"/>
                  </w:rPr>
                  <w:t>◻</w:t>
                </w:r>
              </w:sdtContent>
            </w:sdt>
          </w:p>
        </w:tc>
        <w:tc>
          <w:tcPr>
            <w:tcW w:w="702" w:type="dxa"/>
            <w:tcBorders>
              <w:top w:val="single" w:sz="4" w:space="0" w:color="000000"/>
              <w:left w:val="single" w:sz="4" w:space="0" w:color="000000"/>
              <w:bottom w:val="single" w:sz="4" w:space="0" w:color="000000"/>
              <w:right w:val="single" w:sz="4" w:space="0" w:color="000000"/>
            </w:tcBorders>
          </w:tcPr>
          <w:p w14:paraId="00001053"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054"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12"/>
                <w:id w:val="-576436498"/>
              </w:sdtPr>
              <w:sdtEndPr/>
              <w:sdtContent>
                <w:r w:rsidR="000530B4">
                  <w:rPr>
                    <w:rFonts w:ascii="Arial Unicode MS" w:eastAsia="Arial Unicode MS" w:hAnsi="Arial Unicode MS" w:cs="Arial Unicode MS"/>
                    <w:color w:val="000000"/>
                    <w:sz w:val="24"/>
                    <w:szCs w:val="24"/>
                    <w:highlight w:val="white"/>
                  </w:rPr>
                  <w:t>◻</w:t>
                </w:r>
              </w:sdtContent>
            </w:sdt>
          </w:p>
        </w:tc>
        <w:tc>
          <w:tcPr>
            <w:tcW w:w="547" w:type="dxa"/>
            <w:tcBorders>
              <w:top w:val="single" w:sz="4" w:space="0" w:color="000000"/>
              <w:left w:val="single" w:sz="4" w:space="0" w:color="000000"/>
              <w:bottom w:val="single" w:sz="4" w:space="0" w:color="000000"/>
              <w:right w:val="single" w:sz="4" w:space="0" w:color="000000"/>
            </w:tcBorders>
          </w:tcPr>
          <w:p w14:paraId="00001055"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05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13"/>
                <w:id w:val="2127888404"/>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05A0903E" w14:textId="77777777">
        <w:trPr>
          <w:trHeight w:val="551"/>
          <w:jc w:val="center"/>
        </w:trPr>
        <w:tc>
          <w:tcPr>
            <w:tcW w:w="2595" w:type="dxa"/>
            <w:tcBorders>
              <w:top w:val="single" w:sz="4" w:space="0" w:color="000000"/>
              <w:left w:val="single" w:sz="4" w:space="0" w:color="000000"/>
              <w:bottom w:val="single" w:sz="4" w:space="0" w:color="000000"/>
              <w:right w:val="single" w:sz="4" w:space="0" w:color="000000"/>
            </w:tcBorders>
          </w:tcPr>
          <w:p w14:paraId="00001057"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Wholemeal bread or chapatis </w:t>
            </w:r>
          </w:p>
        </w:tc>
        <w:tc>
          <w:tcPr>
            <w:tcW w:w="876" w:type="dxa"/>
            <w:tcBorders>
              <w:top w:val="single" w:sz="4" w:space="0" w:color="000000"/>
              <w:left w:val="single" w:sz="4" w:space="0" w:color="000000"/>
              <w:bottom w:val="single" w:sz="4" w:space="0" w:color="000000"/>
              <w:right w:val="single" w:sz="4" w:space="0" w:color="000000"/>
            </w:tcBorders>
          </w:tcPr>
          <w:p w14:paraId="0000105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14"/>
                <w:id w:val="-283664161"/>
              </w:sdtPr>
              <w:sdtEndPr/>
              <w:sdtContent>
                <w:r w:rsidR="000530B4">
                  <w:rPr>
                    <w:rFonts w:ascii="Arial Unicode MS" w:eastAsia="Arial Unicode MS" w:hAnsi="Arial Unicode MS" w:cs="Arial Unicode MS"/>
                    <w:color w:val="000000"/>
                    <w:sz w:val="24"/>
                    <w:szCs w:val="24"/>
                    <w:highlight w:val="white"/>
                  </w:rPr>
                  <w:t>◻</w:t>
                </w:r>
              </w:sdtContent>
            </w:sdt>
          </w:p>
        </w:tc>
        <w:tc>
          <w:tcPr>
            <w:tcW w:w="909" w:type="dxa"/>
            <w:tcBorders>
              <w:top w:val="single" w:sz="4" w:space="0" w:color="000000"/>
              <w:left w:val="single" w:sz="4" w:space="0" w:color="000000"/>
              <w:bottom w:val="single" w:sz="4" w:space="0" w:color="000000"/>
              <w:right w:val="single" w:sz="4" w:space="0" w:color="000000"/>
            </w:tcBorders>
          </w:tcPr>
          <w:p w14:paraId="00001059"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15"/>
                <w:id w:val="-184211179"/>
              </w:sdtPr>
              <w:sdtEndPr/>
              <w:sdtContent>
                <w:r w:rsidR="000530B4">
                  <w:rPr>
                    <w:rFonts w:ascii="Arial Unicode MS" w:eastAsia="Arial Unicode MS" w:hAnsi="Arial Unicode MS" w:cs="Arial Unicode MS"/>
                    <w:color w:val="000000"/>
                    <w:sz w:val="24"/>
                    <w:szCs w:val="24"/>
                    <w:highlight w:val="white"/>
                  </w:rPr>
                  <w:t>◻</w:t>
                </w:r>
              </w:sdtContent>
            </w:sdt>
          </w:p>
        </w:tc>
        <w:tc>
          <w:tcPr>
            <w:tcW w:w="894" w:type="dxa"/>
            <w:tcBorders>
              <w:top w:val="single" w:sz="4" w:space="0" w:color="000000"/>
              <w:left w:val="single" w:sz="4" w:space="0" w:color="000000"/>
              <w:bottom w:val="single" w:sz="4" w:space="0" w:color="000000"/>
              <w:right w:val="single" w:sz="4" w:space="0" w:color="000000"/>
            </w:tcBorders>
          </w:tcPr>
          <w:p w14:paraId="0000105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16"/>
                <w:id w:val="1692876726"/>
              </w:sdtPr>
              <w:sdtEndPr/>
              <w:sdtContent>
                <w:r w:rsidR="000530B4">
                  <w:rPr>
                    <w:rFonts w:ascii="Arial Unicode MS" w:eastAsia="Arial Unicode MS" w:hAnsi="Arial Unicode MS" w:cs="Arial Unicode MS"/>
                    <w:color w:val="000000"/>
                    <w:sz w:val="24"/>
                    <w:szCs w:val="24"/>
                    <w:highlight w:val="white"/>
                  </w:rPr>
                  <w:t>◻</w:t>
                </w:r>
              </w:sdtContent>
            </w:sdt>
          </w:p>
        </w:tc>
        <w:tc>
          <w:tcPr>
            <w:tcW w:w="897" w:type="dxa"/>
            <w:tcBorders>
              <w:top w:val="single" w:sz="4" w:space="0" w:color="000000"/>
              <w:left w:val="single" w:sz="4" w:space="0" w:color="000000"/>
              <w:bottom w:val="single" w:sz="4" w:space="0" w:color="000000"/>
              <w:right w:val="single" w:sz="4" w:space="0" w:color="000000"/>
            </w:tcBorders>
          </w:tcPr>
          <w:p w14:paraId="0000105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17"/>
                <w:id w:val="1882742659"/>
              </w:sdtPr>
              <w:sdtEndPr/>
              <w:sdtContent>
                <w:r w:rsidR="000530B4">
                  <w:rPr>
                    <w:rFonts w:ascii="Arial Unicode MS" w:eastAsia="Arial Unicode MS" w:hAnsi="Arial Unicode MS" w:cs="Arial Unicode MS"/>
                    <w:color w:val="000000"/>
                    <w:sz w:val="24"/>
                    <w:szCs w:val="24"/>
                    <w:highlight w:val="white"/>
                  </w:rPr>
                  <w:t>◻</w:t>
                </w:r>
              </w:sdtContent>
            </w:sdt>
          </w:p>
        </w:tc>
        <w:tc>
          <w:tcPr>
            <w:tcW w:w="897" w:type="dxa"/>
            <w:tcBorders>
              <w:top w:val="single" w:sz="4" w:space="0" w:color="000000"/>
              <w:left w:val="single" w:sz="4" w:space="0" w:color="000000"/>
              <w:bottom w:val="single" w:sz="4" w:space="0" w:color="000000"/>
              <w:right w:val="single" w:sz="4" w:space="0" w:color="000000"/>
            </w:tcBorders>
          </w:tcPr>
          <w:p w14:paraId="0000105C"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18"/>
                <w:id w:val="-1971424089"/>
              </w:sdtPr>
              <w:sdtEndPr/>
              <w:sdtContent>
                <w:r w:rsidR="000530B4">
                  <w:rPr>
                    <w:rFonts w:ascii="Arial Unicode MS" w:eastAsia="Arial Unicode MS" w:hAnsi="Arial Unicode MS" w:cs="Arial Unicode MS"/>
                    <w:color w:val="000000"/>
                    <w:sz w:val="24"/>
                    <w:szCs w:val="24"/>
                    <w:highlight w:val="white"/>
                  </w:rPr>
                  <w:t>◻</w:t>
                </w:r>
              </w:sdtContent>
            </w:sdt>
          </w:p>
        </w:tc>
        <w:tc>
          <w:tcPr>
            <w:tcW w:w="702" w:type="dxa"/>
            <w:tcBorders>
              <w:top w:val="single" w:sz="4" w:space="0" w:color="000000"/>
              <w:left w:val="single" w:sz="4" w:space="0" w:color="000000"/>
              <w:bottom w:val="single" w:sz="4" w:space="0" w:color="000000"/>
              <w:right w:val="single" w:sz="4" w:space="0" w:color="000000"/>
            </w:tcBorders>
          </w:tcPr>
          <w:p w14:paraId="0000105D"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19"/>
                <w:id w:val="1994533127"/>
              </w:sdtPr>
              <w:sdtEndPr/>
              <w:sdtContent>
                <w:r w:rsidR="000530B4">
                  <w:rPr>
                    <w:rFonts w:ascii="Arial Unicode MS" w:eastAsia="Arial Unicode MS" w:hAnsi="Arial Unicode MS" w:cs="Arial Unicode MS"/>
                    <w:color w:val="000000"/>
                    <w:sz w:val="24"/>
                    <w:szCs w:val="24"/>
                    <w:highlight w:val="white"/>
                  </w:rPr>
                  <w:t>◻</w:t>
                </w:r>
              </w:sdtContent>
            </w:sdt>
          </w:p>
        </w:tc>
        <w:tc>
          <w:tcPr>
            <w:tcW w:w="702" w:type="dxa"/>
            <w:tcBorders>
              <w:top w:val="single" w:sz="4" w:space="0" w:color="000000"/>
              <w:left w:val="single" w:sz="4" w:space="0" w:color="000000"/>
              <w:bottom w:val="single" w:sz="4" w:space="0" w:color="000000"/>
              <w:right w:val="single" w:sz="4" w:space="0" w:color="000000"/>
            </w:tcBorders>
          </w:tcPr>
          <w:p w14:paraId="0000105E"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20"/>
                <w:id w:val="922306735"/>
              </w:sdtPr>
              <w:sdtEndPr/>
              <w:sdtContent>
                <w:r w:rsidR="000530B4">
                  <w:rPr>
                    <w:rFonts w:ascii="Arial Unicode MS" w:eastAsia="Arial Unicode MS" w:hAnsi="Arial Unicode MS" w:cs="Arial Unicode MS"/>
                    <w:color w:val="000000"/>
                    <w:sz w:val="24"/>
                    <w:szCs w:val="24"/>
                    <w:highlight w:val="white"/>
                  </w:rPr>
                  <w:t>◻</w:t>
                </w:r>
              </w:sdtContent>
            </w:sdt>
          </w:p>
        </w:tc>
        <w:tc>
          <w:tcPr>
            <w:tcW w:w="547" w:type="dxa"/>
            <w:tcBorders>
              <w:top w:val="single" w:sz="4" w:space="0" w:color="000000"/>
              <w:left w:val="single" w:sz="4" w:space="0" w:color="000000"/>
              <w:bottom w:val="single" w:sz="4" w:space="0" w:color="000000"/>
              <w:right w:val="single" w:sz="4" w:space="0" w:color="000000"/>
            </w:tcBorders>
          </w:tcPr>
          <w:p w14:paraId="0000105F"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21"/>
                <w:id w:val="-1238785237"/>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496C8558" w14:textId="77777777">
        <w:trPr>
          <w:trHeight w:val="558"/>
          <w:jc w:val="center"/>
        </w:trPr>
        <w:tc>
          <w:tcPr>
            <w:tcW w:w="2595" w:type="dxa"/>
            <w:tcBorders>
              <w:top w:val="single" w:sz="4" w:space="0" w:color="000000"/>
              <w:left w:val="single" w:sz="4" w:space="0" w:color="000000"/>
              <w:bottom w:val="single" w:sz="4" w:space="0" w:color="000000"/>
              <w:right w:val="single" w:sz="4" w:space="0" w:color="000000"/>
            </w:tcBorders>
          </w:tcPr>
          <w:p w14:paraId="00001060"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Cheese / yoghurt</w:t>
            </w:r>
          </w:p>
        </w:tc>
        <w:tc>
          <w:tcPr>
            <w:tcW w:w="876" w:type="dxa"/>
            <w:tcBorders>
              <w:top w:val="single" w:sz="4" w:space="0" w:color="000000"/>
              <w:left w:val="single" w:sz="4" w:space="0" w:color="000000"/>
              <w:bottom w:val="single" w:sz="4" w:space="0" w:color="000000"/>
              <w:right w:val="single" w:sz="4" w:space="0" w:color="000000"/>
            </w:tcBorders>
          </w:tcPr>
          <w:p w14:paraId="00001061"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22"/>
                <w:id w:val="-141346766"/>
              </w:sdtPr>
              <w:sdtEndPr/>
              <w:sdtContent>
                <w:r w:rsidR="000530B4">
                  <w:rPr>
                    <w:rFonts w:ascii="Arial Unicode MS" w:eastAsia="Arial Unicode MS" w:hAnsi="Arial Unicode MS" w:cs="Arial Unicode MS"/>
                    <w:color w:val="000000"/>
                    <w:sz w:val="24"/>
                    <w:szCs w:val="24"/>
                    <w:highlight w:val="white"/>
                  </w:rPr>
                  <w:t>◻</w:t>
                </w:r>
              </w:sdtContent>
            </w:sdt>
          </w:p>
        </w:tc>
        <w:tc>
          <w:tcPr>
            <w:tcW w:w="909" w:type="dxa"/>
            <w:tcBorders>
              <w:top w:val="single" w:sz="4" w:space="0" w:color="000000"/>
              <w:left w:val="single" w:sz="4" w:space="0" w:color="000000"/>
              <w:bottom w:val="single" w:sz="4" w:space="0" w:color="000000"/>
              <w:right w:val="single" w:sz="4" w:space="0" w:color="000000"/>
            </w:tcBorders>
          </w:tcPr>
          <w:p w14:paraId="00001062"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23"/>
                <w:id w:val="509570565"/>
              </w:sdtPr>
              <w:sdtEndPr/>
              <w:sdtContent>
                <w:r w:rsidR="000530B4">
                  <w:rPr>
                    <w:rFonts w:ascii="Arial Unicode MS" w:eastAsia="Arial Unicode MS" w:hAnsi="Arial Unicode MS" w:cs="Arial Unicode MS"/>
                    <w:color w:val="000000"/>
                    <w:sz w:val="24"/>
                    <w:szCs w:val="24"/>
                    <w:highlight w:val="white"/>
                  </w:rPr>
                  <w:t>◻</w:t>
                </w:r>
              </w:sdtContent>
            </w:sdt>
          </w:p>
        </w:tc>
        <w:tc>
          <w:tcPr>
            <w:tcW w:w="894" w:type="dxa"/>
            <w:tcBorders>
              <w:top w:val="single" w:sz="4" w:space="0" w:color="000000"/>
              <w:left w:val="single" w:sz="4" w:space="0" w:color="000000"/>
              <w:bottom w:val="single" w:sz="4" w:space="0" w:color="000000"/>
              <w:right w:val="single" w:sz="4" w:space="0" w:color="000000"/>
            </w:tcBorders>
          </w:tcPr>
          <w:p w14:paraId="00001063"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24"/>
                <w:id w:val="161437174"/>
              </w:sdtPr>
              <w:sdtEndPr/>
              <w:sdtContent>
                <w:r w:rsidR="000530B4">
                  <w:rPr>
                    <w:rFonts w:ascii="Arial Unicode MS" w:eastAsia="Arial Unicode MS" w:hAnsi="Arial Unicode MS" w:cs="Arial Unicode MS"/>
                    <w:color w:val="000000"/>
                    <w:sz w:val="24"/>
                    <w:szCs w:val="24"/>
                    <w:highlight w:val="white"/>
                  </w:rPr>
                  <w:t>◻</w:t>
                </w:r>
              </w:sdtContent>
            </w:sdt>
          </w:p>
        </w:tc>
        <w:tc>
          <w:tcPr>
            <w:tcW w:w="897" w:type="dxa"/>
            <w:tcBorders>
              <w:top w:val="single" w:sz="4" w:space="0" w:color="000000"/>
              <w:left w:val="single" w:sz="4" w:space="0" w:color="000000"/>
              <w:bottom w:val="single" w:sz="4" w:space="0" w:color="000000"/>
              <w:right w:val="single" w:sz="4" w:space="0" w:color="000000"/>
            </w:tcBorders>
          </w:tcPr>
          <w:p w14:paraId="00001064"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25"/>
                <w:id w:val="88437928"/>
              </w:sdtPr>
              <w:sdtEndPr/>
              <w:sdtContent>
                <w:r w:rsidR="000530B4">
                  <w:rPr>
                    <w:rFonts w:ascii="Arial Unicode MS" w:eastAsia="Arial Unicode MS" w:hAnsi="Arial Unicode MS" w:cs="Arial Unicode MS"/>
                    <w:color w:val="000000"/>
                    <w:sz w:val="24"/>
                    <w:szCs w:val="24"/>
                    <w:highlight w:val="white"/>
                  </w:rPr>
                  <w:t>◻</w:t>
                </w:r>
              </w:sdtContent>
            </w:sdt>
          </w:p>
        </w:tc>
        <w:tc>
          <w:tcPr>
            <w:tcW w:w="897" w:type="dxa"/>
            <w:tcBorders>
              <w:top w:val="single" w:sz="4" w:space="0" w:color="000000"/>
              <w:left w:val="single" w:sz="4" w:space="0" w:color="000000"/>
              <w:bottom w:val="single" w:sz="4" w:space="0" w:color="000000"/>
              <w:right w:val="single" w:sz="4" w:space="0" w:color="000000"/>
            </w:tcBorders>
          </w:tcPr>
          <w:p w14:paraId="00001065"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26"/>
                <w:id w:val="-1250417167"/>
              </w:sdtPr>
              <w:sdtEndPr/>
              <w:sdtContent>
                <w:r w:rsidR="000530B4">
                  <w:rPr>
                    <w:rFonts w:ascii="Arial Unicode MS" w:eastAsia="Arial Unicode MS" w:hAnsi="Arial Unicode MS" w:cs="Arial Unicode MS"/>
                    <w:color w:val="000000"/>
                    <w:sz w:val="24"/>
                    <w:szCs w:val="24"/>
                    <w:highlight w:val="white"/>
                  </w:rPr>
                  <w:t>◻</w:t>
                </w:r>
              </w:sdtContent>
            </w:sdt>
          </w:p>
        </w:tc>
        <w:tc>
          <w:tcPr>
            <w:tcW w:w="702" w:type="dxa"/>
            <w:tcBorders>
              <w:top w:val="single" w:sz="4" w:space="0" w:color="000000"/>
              <w:left w:val="single" w:sz="4" w:space="0" w:color="000000"/>
              <w:bottom w:val="single" w:sz="4" w:space="0" w:color="000000"/>
              <w:right w:val="single" w:sz="4" w:space="0" w:color="000000"/>
            </w:tcBorders>
          </w:tcPr>
          <w:p w14:paraId="0000106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27"/>
                <w:id w:val="-774709131"/>
              </w:sdtPr>
              <w:sdtEndPr/>
              <w:sdtContent>
                <w:r w:rsidR="000530B4">
                  <w:rPr>
                    <w:rFonts w:ascii="Arial Unicode MS" w:eastAsia="Arial Unicode MS" w:hAnsi="Arial Unicode MS" w:cs="Arial Unicode MS"/>
                    <w:color w:val="000000"/>
                    <w:sz w:val="24"/>
                    <w:szCs w:val="24"/>
                    <w:highlight w:val="white"/>
                  </w:rPr>
                  <w:t>◻</w:t>
                </w:r>
              </w:sdtContent>
            </w:sdt>
          </w:p>
        </w:tc>
        <w:tc>
          <w:tcPr>
            <w:tcW w:w="702" w:type="dxa"/>
            <w:tcBorders>
              <w:top w:val="single" w:sz="4" w:space="0" w:color="000000"/>
              <w:left w:val="single" w:sz="4" w:space="0" w:color="000000"/>
              <w:bottom w:val="single" w:sz="4" w:space="0" w:color="000000"/>
              <w:right w:val="single" w:sz="4" w:space="0" w:color="000000"/>
            </w:tcBorders>
          </w:tcPr>
          <w:p w14:paraId="0000106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28"/>
                <w:id w:val="1503317740"/>
              </w:sdtPr>
              <w:sdtEndPr/>
              <w:sdtContent>
                <w:r w:rsidR="000530B4">
                  <w:rPr>
                    <w:rFonts w:ascii="Arial Unicode MS" w:eastAsia="Arial Unicode MS" w:hAnsi="Arial Unicode MS" w:cs="Arial Unicode MS"/>
                    <w:color w:val="000000"/>
                    <w:sz w:val="24"/>
                    <w:szCs w:val="24"/>
                    <w:highlight w:val="white"/>
                  </w:rPr>
                  <w:t>◻</w:t>
                </w:r>
              </w:sdtContent>
            </w:sdt>
          </w:p>
        </w:tc>
        <w:tc>
          <w:tcPr>
            <w:tcW w:w="547" w:type="dxa"/>
            <w:tcBorders>
              <w:top w:val="single" w:sz="4" w:space="0" w:color="000000"/>
              <w:left w:val="single" w:sz="4" w:space="0" w:color="000000"/>
              <w:bottom w:val="single" w:sz="4" w:space="0" w:color="000000"/>
              <w:right w:val="single" w:sz="4" w:space="0" w:color="000000"/>
            </w:tcBorders>
          </w:tcPr>
          <w:p w14:paraId="0000106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29"/>
                <w:id w:val="-1479606578"/>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150DB348" w14:textId="77777777">
        <w:trPr>
          <w:trHeight w:val="935"/>
          <w:jc w:val="center"/>
        </w:trPr>
        <w:tc>
          <w:tcPr>
            <w:tcW w:w="2595" w:type="dxa"/>
            <w:tcBorders>
              <w:top w:val="single" w:sz="4" w:space="0" w:color="000000"/>
              <w:left w:val="single" w:sz="4" w:space="0" w:color="000000"/>
              <w:bottom w:val="single" w:sz="4" w:space="0" w:color="000000"/>
              <w:right w:val="single" w:sz="4" w:space="0" w:color="000000"/>
            </w:tcBorders>
          </w:tcPr>
          <w:p w14:paraId="00001069"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Crisps / savoury snacks</w:t>
            </w:r>
          </w:p>
        </w:tc>
        <w:tc>
          <w:tcPr>
            <w:tcW w:w="876" w:type="dxa"/>
            <w:tcBorders>
              <w:top w:val="single" w:sz="4" w:space="0" w:color="000000"/>
              <w:left w:val="single" w:sz="4" w:space="0" w:color="000000"/>
              <w:bottom w:val="single" w:sz="4" w:space="0" w:color="000000"/>
              <w:right w:val="single" w:sz="4" w:space="0" w:color="000000"/>
            </w:tcBorders>
          </w:tcPr>
          <w:p w14:paraId="0000106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30"/>
                <w:id w:val="-964189794"/>
              </w:sdtPr>
              <w:sdtEndPr/>
              <w:sdtContent>
                <w:r w:rsidR="000530B4">
                  <w:rPr>
                    <w:rFonts w:ascii="Arial Unicode MS" w:eastAsia="Arial Unicode MS" w:hAnsi="Arial Unicode MS" w:cs="Arial Unicode MS"/>
                    <w:color w:val="000000"/>
                    <w:sz w:val="24"/>
                    <w:szCs w:val="24"/>
                    <w:highlight w:val="white"/>
                  </w:rPr>
                  <w:t>◻</w:t>
                </w:r>
              </w:sdtContent>
            </w:sdt>
          </w:p>
        </w:tc>
        <w:tc>
          <w:tcPr>
            <w:tcW w:w="909" w:type="dxa"/>
            <w:tcBorders>
              <w:top w:val="single" w:sz="4" w:space="0" w:color="000000"/>
              <w:left w:val="single" w:sz="4" w:space="0" w:color="000000"/>
              <w:bottom w:val="single" w:sz="4" w:space="0" w:color="000000"/>
              <w:right w:val="single" w:sz="4" w:space="0" w:color="000000"/>
            </w:tcBorders>
          </w:tcPr>
          <w:p w14:paraId="0000106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31"/>
                <w:id w:val="-2013824004"/>
              </w:sdtPr>
              <w:sdtEndPr/>
              <w:sdtContent>
                <w:r w:rsidR="000530B4">
                  <w:rPr>
                    <w:rFonts w:ascii="Arial Unicode MS" w:eastAsia="Arial Unicode MS" w:hAnsi="Arial Unicode MS" w:cs="Arial Unicode MS"/>
                    <w:color w:val="000000"/>
                    <w:sz w:val="24"/>
                    <w:szCs w:val="24"/>
                    <w:highlight w:val="white"/>
                  </w:rPr>
                  <w:t>◻</w:t>
                </w:r>
              </w:sdtContent>
            </w:sdt>
          </w:p>
        </w:tc>
        <w:tc>
          <w:tcPr>
            <w:tcW w:w="894" w:type="dxa"/>
            <w:tcBorders>
              <w:top w:val="single" w:sz="4" w:space="0" w:color="000000"/>
              <w:left w:val="single" w:sz="4" w:space="0" w:color="000000"/>
              <w:bottom w:val="single" w:sz="4" w:space="0" w:color="000000"/>
              <w:right w:val="single" w:sz="4" w:space="0" w:color="000000"/>
            </w:tcBorders>
          </w:tcPr>
          <w:p w14:paraId="0000106C"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32"/>
                <w:id w:val="-1134945280"/>
              </w:sdtPr>
              <w:sdtEndPr/>
              <w:sdtContent>
                <w:r w:rsidR="000530B4">
                  <w:rPr>
                    <w:rFonts w:ascii="Arial Unicode MS" w:eastAsia="Arial Unicode MS" w:hAnsi="Arial Unicode MS" w:cs="Arial Unicode MS"/>
                    <w:color w:val="000000"/>
                    <w:sz w:val="24"/>
                    <w:szCs w:val="24"/>
                    <w:highlight w:val="white"/>
                  </w:rPr>
                  <w:t>◻</w:t>
                </w:r>
              </w:sdtContent>
            </w:sdt>
          </w:p>
        </w:tc>
        <w:tc>
          <w:tcPr>
            <w:tcW w:w="897" w:type="dxa"/>
            <w:tcBorders>
              <w:top w:val="single" w:sz="4" w:space="0" w:color="000000"/>
              <w:left w:val="single" w:sz="4" w:space="0" w:color="000000"/>
              <w:bottom w:val="single" w:sz="4" w:space="0" w:color="000000"/>
              <w:right w:val="single" w:sz="4" w:space="0" w:color="000000"/>
            </w:tcBorders>
          </w:tcPr>
          <w:p w14:paraId="0000106D"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33"/>
                <w:id w:val="-2011054328"/>
              </w:sdtPr>
              <w:sdtEndPr/>
              <w:sdtContent>
                <w:r w:rsidR="000530B4">
                  <w:rPr>
                    <w:rFonts w:ascii="Arial Unicode MS" w:eastAsia="Arial Unicode MS" w:hAnsi="Arial Unicode MS" w:cs="Arial Unicode MS"/>
                    <w:color w:val="000000"/>
                    <w:sz w:val="24"/>
                    <w:szCs w:val="24"/>
                    <w:highlight w:val="white"/>
                  </w:rPr>
                  <w:t>◻</w:t>
                </w:r>
              </w:sdtContent>
            </w:sdt>
          </w:p>
        </w:tc>
        <w:tc>
          <w:tcPr>
            <w:tcW w:w="897" w:type="dxa"/>
            <w:tcBorders>
              <w:top w:val="single" w:sz="4" w:space="0" w:color="000000"/>
              <w:left w:val="single" w:sz="4" w:space="0" w:color="000000"/>
              <w:bottom w:val="single" w:sz="4" w:space="0" w:color="000000"/>
              <w:right w:val="single" w:sz="4" w:space="0" w:color="000000"/>
            </w:tcBorders>
          </w:tcPr>
          <w:p w14:paraId="0000106E"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34"/>
                <w:id w:val="-197009460"/>
              </w:sdtPr>
              <w:sdtEndPr/>
              <w:sdtContent>
                <w:r w:rsidR="000530B4">
                  <w:rPr>
                    <w:rFonts w:ascii="Arial Unicode MS" w:eastAsia="Arial Unicode MS" w:hAnsi="Arial Unicode MS" w:cs="Arial Unicode MS"/>
                    <w:color w:val="000000"/>
                    <w:sz w:val="24"/>
                    <w:szCs w:val="24"/>
                    <w:highlight w:val="white"/>
                  </w:rPr>
                  <w:t>◻</w:t>
                </w:r>
              </w:sdtContent>
            </w:sdt>
          </w:p>
        </w:tc>
        <w:tc>
          <w:tcPr>
            <w:tcW w:w="702" w:type="dxa"/>
            <w:tcBorders>
              <w:top w:val="single" w:sz="4" w:space="0" w:color="000000"/>
              <w:left w:val="single" w:sz="4" w:space="0" w:color="000000"/>
              <w:bottom w:val="single" w:sz="4" w:space="0" w:color="000000"/>
              <w:right w:val="single" w:sz="4" w:space="0" w:color="000000"/>
            </w:tcBorders>
          </w:tcPr>
          <w:p w14:paraId="0000106F"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35"/>
                <w:id w:val="-208106499"/>
              </w:sdtPr>
              <w:sdtEndPr/>
              <w:sdtContent>
                <w:r w:rsidR="000530B4">
                  <w:rPr>
                    <w:rFonts w:ascii="Arial Unicode MS" w:eastAsia="Arial Unicode MS" w:hAnsi="Arial Unicode MS" w:cs="Arial Unicode MS"/>
                    <w:color w:val="000000"/>
                    <w:sz w:val="24"/>
                    <w:szCs w:val="24"/>
                    <w:highlight w:val="white"/>
                  </w:rPr>
                  <w:t>◻</w:t>
                </w:r>
              </w:sdtContent>
            </w:sdt>
          </w:p>
        </w:tc>
        <w:tc>
          <w:tcPr>
            <w:tcW w:w="702" w:type="dxa"/>
            <w:tcBorders>
              <w:top w:val="single" w:sz="4" w:space="0" w:color="000000"/>
              <w:left w:val="single" w:sz="4" w:space="0" w:color="000000"/>
              <w:bottom w:val="single" w:sz="4" w:space="0" w:color="000000"/>
              <w:right w:val="single" w:sz="4" w:space="0" w:color="000000"/>
            </w:tcBorders>
          </w:tcPr>
          <w:p w14:paraId="00001070"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36"/>
                <w:id w:val="-1201004428"/>
              </w:sdtPr>
              <w:sdtEndPr/>
              <w:sdtContent>
                <w:r w:rsidR="000530B4">
                  <w:rPr>
                    <w:rFonts w:ascii="Arial Unicode MS" w:eastAsia="Arial Unicode MS" w:hAnsi="Arial Unicode MS" w:cs="Arial Unicode MS"/>
                    <w:color w:val="000000"/>
                    <w:sz w:val="24"/>
                    <w:szCs w:val="24"/>
                    <w:highlight w:val="white"/>
                  </w:rPr>
                  <w:t>◻</w:t>
                </w:r>
              </w:sdtContent>
            </w:sdt>
          </w:p>
        </w:tc>
        <w:tc>
          <w:tcPr>
            <w:tcW w:w="547" w:type="dxa"/>
            <w:tcBorders>
              <w:top w:val="single" w:sz="4" w:space="0" w:color="000000"/>
              <w:left w:val="single" w:sz="4" w:space="0" w:color="000000"/>
              <w:bottom w:val="single" w:sz="4" w:space="0" w:color="000000"/>
              <w:right w:val="single" w:sz="4" w:space="0" w:color="000000"/>
            </w:tcBorders>
          </w:tcPr>
          <w:p w14:paraId="00001071"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37"/>
                <w:id w:val="1539245706"/>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1C3EA9DB" w14:textId="77777777">
        <w:trPr>
          <w:trHeight w:val="551"/>
          <w:jc w:val="center"/>
        </w:trPr>
        <w:tc>
          <w:tcPr>
            <w:tcW w:w="2595" w:type="dxa"/>
            <w:tcBorders>
              <w:top w:val="single" w:sz="4" w:space="0" w:color="000000"/>
              <w:left w:val="single" w:sz="4" w:space="0" w:color="000000"/>
              <w:bottom w:val="single" w:sz="4" w:space="0" w:color="000000"/>
              <w:right w:val="single" w:sz="4" w:space="0" w:color="000000"/>
            </w:tcBorders>
          </w:tcPr>
          <w:p w14:paraId="00001072"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Sweet biscuits, cakes,</w:t>
            </w:r>
          </w:p>
          <w:p w14:paraId="00001073"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chocolate, sweets</w:t>
            </w:r>
          </w:p>
        </w:tc>
        <w:tc>
          <w:tcPr>
            <w:tcW w:w="876" w:type="dxa"/>
            <w:tcBorders>
              <w:top w:val="single" w:sz="4" w:space="0" w:color="000000"/>
              <w:left w:val="single" w:sz="4" w:space="0" w:color="000000"/>
              <w:bottom w:val="single" w:sz="4" w:space="0" w:color="000000"/>
              <w:right w:val="single" w:sz="4" w:space="0" w:color="000000"/>
            </w:tcBorders>
          </w:tcPr>
          <w:p w14:paraId="00001074"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38"/>
                <w:id w:val="-1824112637"/>
              </w:sdtPr>
              <w:sdtEndPr/>
              <w:sdtContent>
                <w:r w:rsidR="000530B4">
                  <w:rPr>
                    <w:rFonts w:ascii="Arial Unicode MS" w:eastAsia="Arial Unicode MS" w:hAnsi="Arial Unicode MS" w:cs="Arial Unicode MS"/>
                    <w:color w:val="000000"/>
                    <w:sz w:val="24"/>
                    <w:szCs w:val="24"/>
                    <w:highlight w:val="white"/>
                  </w:rPr>
                  <w:t>◻</w:t>
                </w:r>
              </w:sdtContent>
            </w:sdt>
          </w:p>
        </w:tc>
        <w:tc>
          <w:tcPr>
            <w:tcW w:w="909" w:type="dxa"/>
            <w:tcBorders>
              <w:top w:val="single" w:sz="4" w:space="0" w:color="000000"/>
              <w:left w:val="single" w:sz="4" w:space="0" w:color="000000"/>
              <w:bottom w:val="single" w:sz="4" w:space="0" w:color="000000"/>
              <w:right w:val="single" w:sz="4" w:space="0" w:color="000000"/>
            </w:tcBorders>
          </w:tcPr>
          <w:p w14:paraId="00001075"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39"/>
                <w:id w:val="22528432"/>
              </w:sdtPr>
              <w:sdtEndPr/>
              <w:sdtContent>
                <w:r w:rsidR="000530B4">
                  <w:rPr>
                    <w:rFonts w:ascii="Arial Unicode MS" w:eastAsia="Arial Unicode MS" w:hAnsi="Arial Unicode MS" w:cs="Arial Unicode MS"/>
                    <w:color w:val="000000"/>
                    <w:sz w:val="24"/>
                    <w:szCs w:val="24"/>
                    <w:highlight w:val="white"/>
                  </w:rPr>
                  <w:t>◻</w:t>
                </w:r>
              </w:sdtContent>
            </w:sdt>
          </w:p>
        </w:tc>
        <w:tc>
          <w:tcPr>
            <w:tcW w:w="894" w:type="dxa"/>
            <w:tcBorders>
              <w:top w:val="single" w:sz="4" w:space="0" w:color="000000"/>
              <w:left w:val="single" w:sz="4" w:space="0" w:color="000000"/>
              <w:bottom w:val="single" w:sz="4" w:space="0" w:color="000000"/>
              <w:right w:val="single" w:sz="4" w:space="0" w:color="000000"/>
            </w:tcBorders>
          </w:tcPr>
          <w:p w14:paraId="0000107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40"/>
                <w:id w:val="-352349292"/>
              </w:sdtPr>
              <w:sdtEndPr/>
              <w:sdtContent>
                <w:r w:rsidR="000530B4">
                  <w:rPr>
                    <w:rFonts w:ascii="Arial Unicode MS" w:eastAsia="Arial Unicode MS" w:hAnsi="Arial Unicode MS" w:cs="Arial Unicode MS"/>
                    <w:color w:val="000000"/>
                    <w:sz w:val="24"/>
                    <w:szCs w:val="24"/>
                    <w:highlight w:val="white"/>
                  </w:rPr>
                  <w:t>◻</w:t>
                </w:r>
              </w:sdtContent>
            </w:sdt>
          </w:p>
        </w:tc>
        <w:tc>
          <w:tcPr>
            <w:tcW w:w="897" w:type="dxa"/>
            <w:tcBorders>
              <w:top w:val="single" w:sz="4" w:space="0" w:color="000000"/>
              <w:left w:val="single" w:sz="4" w:space="0" w:color="000000"/>
              <w:bottom w:val="single" w:sz="4" w:space="0" w:color="000000"/>
              <w:right w:val="single" w:sz="4" w:space="0" w:color="000000"/>
            </w:tcBorders>
          </w:tcPr>
          <w:p w14:paraId="0000107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41"/>
                <w:id w:val="-71039962"/>
              </w:sdtPr>
              <w:sdtEndPr/>
              <w:sdtContent>
                <w:r w:rsidR="000530B4">
                  <w:rPr>
                    <w:rFonts w:ascii="Arial Unicode MS" w:eastAsia="Arial Unicode MS" w:hAnsi="Arial Unicode MS" w:cs="Arial Unicode MS"/>
                    <w:color w:val="000000"/>
                    <w:sz w:val="24"/>
                    <w:szCs w:val="24"/>
                    <w:highlight w:val="white"/>
                  </w:rPr>
                  <w:t>◻</w:t>
                </w:r>
              </w:sdtContent>
            </w:sdt>
          </w:p>
        </w:tc>
        <w:tc>
          <w:tcPr>
            <w:tcW w:w="897" w:type="dxa"/>
            <w:tcBorders>
              <w:top w:val="single" w:sz="4" w:space="0" w:color="000000"/>
              <w:left w:val="single" w:sz="4" w:space="0" w:color="000000"/>
              <w:bottom w:val="single" w:sz="4" w:space="0" w:color="000000"/>
              <w:right w:val="single" w:sz="4" w:space="0" w:color="000000"/>
            </w:tcBorders>
          </w:tcPr>
          <w:p w14:paraId="0000107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42"/>
                <w:id w:val="2085029522"/>
              </w:sdtPr>
              <w:sdtEndPr/>
              <w:sdtContent>
                <w:r w:rsidR="000530B4">
                  <w:rPr>
                    <w:rFonts w:ascii="Arial Unicode MS" w:eastAsia="Arial Unicode MS" w:hAnsi="Arial Unicode MS" w:cs="Arial Unicode MS"/>
                    <w:color w:val="000000"/>
                    <w:sz w:val="24"/>
                    <w:szCs w:val="24"/>
                    <w:highlight w:val="white"/>
                  </w:rPr>
                  <w:t>◻</w:t>
                </w:r>
              </w:sdtContent>
            </w:sdt>
          </w:p>
        </w:tc>
        <w:tc>
          <w:tcPr>
            <w:tcW w:w="702" w:type="dxa"/>
            <w:tcBorders>
              <w:top w:val="single" w:sz="4" w:space="0" w:color="000000"/>
              <w:left w:val="single" w:sz="4" w:space="0" w:color="000000"/>
              <w:bottom w:val="single" w:sz="4" w:space="0" w:color="000000"/>
              <w:right w:val="single" w:sz="4" w:space="0" w:color="000000"/>
            </w:tcBorders>
          </w:tcPr>
          <w:p w14:paraId="00001079"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43"/>
                <w:id w:val="1438260079"/>
              </w:sdtPr>
              <w:sdtEndPr/>
              <w:sdtContent>
                <w:r w:rsidR="000530B4">
                  <w:rPr>
                    <w:rFonts w:ascii="Arial Unicode MS" w:eastAsia="Arial Unicode MS" w:hAnsi="Arial Unicode MS" w:cs="Arial Unicode MS"/>
                    <w:color w:val="000000"/>
                    <w:sz w:val="24"/>
                    <w:szCs w:val="24"/>
                    <w:highlight w:val="white"/>
                  </w:rPr>
                  <w:t>◻</w:t>
                </w:r>
              </w:sdtContent>
            </w:sdt>
          </w:p>
        </w:tc>
        <w:tc>
          <w:tcPr>
            <w:tcW w:w="702" w:type="dxa"/>
            <w:tcBorders>
              <w:top w:val="single" w:sz="4" w:space="0" w:color="000000"/>
              <w:left w:val="single" w:sz="4" w:space="0" w:color="000000"/>
              <w:bottom w:val="single" w:sz="4" w:space="0" w:color="000000"/>
              <w:right w:val="single" w:sz="4" w:space="0" w:color="000000"/>
            </w:tcBorders>
          </w:tcPr>
          <w:p w14:paraId="0000107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44"/>
                <w:id w:val="-1006136208"/>
              </w:sdtPr>
              <w:sdtEndPr/>
              <w:sdtContent>
                <w:r w:rsidR="000530B4">
                  <w:rPr>
                    <w:rFonts w:ascii="Arial Unicode MS" w:eastAsia="Arial Unicode MS" w:hAnsi="Arial Unicode MS" w:cs="Arial Unicode MS"/>
                    <w:color w:val="000000"/>
                    <w:sz w:val="24"/>
                    <w:szCs w:val="24"/>
                    <w:highlight w:val="white"/>
                  </w:rPr>
                  <w:t>◻</w:t>
                </w:r>
              </w:sdtContent>
            </w:sdt>
          </w:p>
        </w:tc>
        <w:tc>
          <w:tcPr>
            <w:tcW w:w="547" w:type="dxa"/>
            <w:tcBorders>
              <w:top w:val="single" w:sz="4" w:space="0" w:color="000000"/>
              <w:left w:val="single" w:sz="4" w:space="0" w:color="000000"/>
              <w:bottom w:val="single" w:sz="4" w:space="0" w:color="000000"/>
              <w:right w:val="single" w:sz="4" w:space="0" w:color="000000"/>
            </w:tcBorders>
          </w:tcPr>
          <w:p w14:paraId="0000107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45"/>
                <w:id w:val="-610271199"/>
              </w:sdtPr>
              <w:sdtEndPr/>
              <w:sdtContent>
                <w:r w:rsidR="000530B4">
                  <w:rPr>
                    <w:rFonts w:ascii="Arial Unicode MS" w:eastAsia="Arial Unicode MS" w:hAnsi="Arial Unicode MS" w:cs="Arial Unicode MS"/>
                    <w:color w:val="000000"/>
                    <w:sz w:val="24"/>
                    <w:szCs w:val="24"/>
                    <w:highlight w:val="white"/>
                  </w:rPr>
                  <w:t>◻</w:t>
                </w:r>
              </w:sdtContent>
            </w:sdt>
          </w:p>
        </w:tc>
      </w:tr>
    </w:tbl>
    <w:p w14:paraId="0000107C"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bl>
      <w:tblPr>
        <w:tblStyle w:val="af7"/>
        <w:tblW w:w="9342" w:type="dxa"/>
        <w:tblLayout w:type="fixed"/>
        <w:tblLook w:val="0400" w:firstRow="0" w:lastRow="0" w:firstColumn="0" w:lastColumn="0" w:noHBand="0" w:noVBand="1"/>
      </w:tblPr>
      <w:tblGrid>
        <w:gridCol w:w="2830"/>
        <w:gridCol w:w="851"/>
        <w:gridCol w:w="1134"/>
        <w:gridCol w:w="1134"/>
        <w:gridCol w:w="992"/>
        <w:gridCol w:w="992"/>
        <w:gridCol w:w="1134"/>
        <w:gridCol w:w="50"/>
        <w:gridCol w:w="225"/>
      </w:tblGrid>
      <w:tr w:rsidR="00CB4215" w14:paraId="34631291" w14:textId="77777777">
        <w:trPr>
          <w:gridAfter w:val="2"/>
          <w:wAfter w:w="275" w:type="dxa"/>
          <w:trHeight w:val="525"/>
        </w:trPr>
        <w:tc>
          <w:tcPr>
            <w:tcW w:w="2830" w:type="dxa"/>
            <w:tcBorders>
              <w:top w:val="single" w:sz="4" w:space="0" w:color="000000"/>
              <w:left w:val="single" w:sz="4" w:space="0" w:color="000000"/>
              <w:bottom w:val="single" w:sz="4" w:space="0" w:color="000000"/>
              <w:right w:val="single" w:sz="4" w:space="0" w:color="000000"/>
            </w:tcBorders>
          </w:tcPr>
          <w:p w14:paraId="0000107D"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Ice cream / cream</w:t>
            </w:r>
          </w:p>
        </w:tc>
        <w:tc>
          <w:tcPr>
            <w:tcW w:w="851" w:type="dxa"/>
            <w:tcBorders>
              <w:top w:val="single" w:sz="4" w:space="0" w:color="000000"/>
              <w:left w:val="single" w:sz="4" w:space="0" w:color="000000"/>
              <w:bottom w:val="single" w:sz="4" w:space="0" w:color="000000"/>
              <w:right w:val="single" w:sz="4" w:space="0" w:color="000000"/>
            </w:tcBorders>
          </w:tcPr>
          <w:p w14:paraId="0000107E"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46"/>
                <w:id w:val="1443728030"/>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7F"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47"/>
                <w:id w:val="1074934778"/>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80"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48"/>
                <w:id w:val="1123348273"/>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81"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49"/>
                <w:id w:val="-1860965408"/>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82"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50"/>
                <w:id w:val="1513571773"/>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83"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51"/>
                <w:id w:val="-914315411"/>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0A547DE7" w14:textId="77777777">
        <w:trPr>
          <w:gridAfter w:val="2"/>
          <w:wAfter w:w="275" w:type="dxa"/>
          <w:trHeight w:val="827"/>
        </w:trPr>
        <w:tc>
          <w:tcPr>
            <w:tcW w:w="2830" w:type="dxa"/>
            <w:tcBorders>
              <w:top w:val="single" w:sz="4" w:space="0" w:color="000000"/>
              <w:left w:val="single" w:sz="4" w:space="0" w:color="000000"/>
              <w:bottom w:val="single" w:sz="4" w:space="0" w:color="000000"/>
              <w:right w:val="single" w:sz="4" w:space="0" w:color="000000"/>
            </w:tcBorders>
          </w:tcPr>
          <w:p w14:paraId="00001084"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Non-alcoholic fizzy drinks/pop</w:t>
            </w:r>
          </w:p>
          <w:p w14:paraId="00001085"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(not sugar free or diet)</w:t>
            </w:r>
          </w:p>
        </w:tc>
        <w:tc>
          <w:tcPr>
            <w:tcW w:w="851" w:type="dxa"/>
            <w:tcBorders>
              <w:top w:val="single" w:sz="4" w:space="0" w:color="000000"/>
              <w:left w:val="single" w:sz="4" w:space="0" w:color="000000"/>
              <w:bottom w:val="single" w:sz="4" w:space="0" w:color="000000"/>
              <w:right w:val="single" w:sz="4" w:space="0" w:color="000000"/>
            </w:tcBorders>
          </w:tcPr>
          <w:p w14:paraId="0000108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52"/>
                <w:id w:val="-1349019734"/>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8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53"/>
                <w:id w:val="-1271552025"/>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8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54"/>
                <w:id w:val="-1661379840"/>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89"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55"/>
                <w:id w:val="1464531045"/>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8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56"/>
                <w:id w:val="-1274396217"/>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8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57"/>
                <w:id w:val="-1252812210"/>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666EAACE" w14:textId="77777777">
        <w:trPr>
          <w:trHeight w:val="1103"/>
        </w:trPr>
        <w:tc>
          <w:tcPr>
            <w:tcW w:w="2830" w:type="dxa"/>
            <w:tcBorders>
              <w:top w:val="single" w:sz="4" w:space="0" w:color="000000"/>
              <w:left w:val="single" w:sz="4" w:space="0" w:color="000000"/>
              <w:bottom w:val="single" w:sz="4" w:space="0" w:color="000000"/>
              <w:right w:val="single" w:sz="4" w:space="0" w:color="FFFFFF"/>
            </w:tcBorders>
          </w:tcPr>
          <w:p w14:paraId="0000108C"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851" w:type="dxa"/>
            <w:tcBorders>
              <w:top w:val="single" w:sz="4" w:space="0" w:color="000000"/>
              <w:left w:val="single" w:sz="4" w:space="0" w:color="FFFFFF"/>
              <w:bottom w:val="single" w:sz="4" w:space="0" w:color="000000"/>
              <w:right w:val="single" w:sz="4" w:space="0" w:color="FFFFFF"/>
            </w:tcBorders>
          </w:tcPr>
          <w:p w14:paraId="0000108D"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Rarely or never</w:t>
            </w:r>
          </w:p>
        </w:tc>
        <w:tc>
          <w:tcPr>
            <w:tcW w:w="1134" w:type="dxa"/>
            <w:tcBorders>
              <w:top w:val="single" w:sz="4" w:space="0" w:color="000000"/>
              <w:left w:val="single" w:sz="4" w:space="0" w:color="FFFFFF"/>
              <w:bottom w:val="single" w:sz="4" w:space="0" w:color="000000"/>
              <w:right w:val="single" w:sz="4" w:space="0" w:color="FFFFFF"/>
            </w:tcBorders>
          </w:tcPr>
          <w:p w14:paraId="0000108E"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Less than 1 a Week</w:t>
            </w:r>
          </w:p>
        </w:tc>
        <w:tc>
          <w:tcPr>
            <w:tcW w:w="1134" w:type="dxa"/>
            <w:tcBorders>
              <w:top w:val="single" w:sz="4" w:space="0" w:color="000000"/>
              <w:left w:val="single" w:sz="4" w:space="0" w:color="FFFFFF"/>
              <w:bottom w:val="single" w:sz="4" w:space="0" w:color="000000"/>
              <w:right w:val="single" w:sz="4" w:space="0" w:color="FFFFFF"/>
            </w:tcBorders>
          </w:tcPr>
          <w:p w14:paraId="0000108F"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Once a Week</w:t>
            </w:r>
          </w:p>
        </w:tc>
        <w:tc>
          <w:tcPr>
            <w:tcW w:w="992" w:type="dxa"/>
            <w:tcBorders>
              <w:top w:val="single" w:sz="4" w:space="0" w:color="000000"/>
              <w:left w:val="single" w:sz="4" w:space="0" w:color="FFFFFF"/>
              <w:bottom w:val="single" w:sz="4" w:space="0" w:color="000000"/>
              <w:right w:val="single" w:sz="4" w:space="0" w:color="FFFFFF"/>
            </w:tcBorders>
          </w:tcPr>
          <w:p w14:paraId="00001090"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2-3</w:t>
            </w:r>
          </w:p>
          <w:p w14:paraId="00001091"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Week</w:t>
            </w:r>
          </w:p>
        </w:tc>
        <w:tc>
          <w:tcPr>
            <w:tcW w:w="992" w:type="dxa"/>
            <w:tcBorders>
              <w:top w:val="single" w:sz="4" w:space="0" w:color="000000"/>
              <w:left w:val="single" w:sz="4" w:space="0" w:color="FFFFFF"/>
              <w:bottom w:val="single" w:sz="4" w:space="0" w:color="000000"/>
              <w:right w:val="single" w:sz="4" w:space="0" w:color="FFFFFF"/>
            </w:tcBorders>
          </w:tcPr>
          <w:p w14:paraId="00001092"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4-6</w:t>
            </w:r>
          </w:p>
          <w:p w14:paraId="00001093"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Week</w:t>
            </w:r>
          </w:p>
        </w:tc>
        <w:tc>
          <w:tcPr>
            <w:tcW w:w="1134" w:type="dxa"/>
            <w:tcBorders>
              <w:top w:val="single" w:sz="4" w:space="0" w:color="000000"/>
              <w:left w:val="single" w:sz="4" w:space="0" w:color="FFFFFF"/>
              <w:bottom w:val="single" w:sz="4" w:space="0" w:color="000000"/>
              <w:right w:val="single" w:sz="4" w:space="0" w:color="000000"/>
            </w:tcBorders>
          </w:tcPr>
          <w:p w14:paraId="00001094"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w:t>
            </w:r>
          </w:p>
          <w:p w14:paraId="00001095"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times a week</w:t>
            </w:r>
          </w:p>
        </w:tc>
        <w:tc>
          <w:tcPr>
            <w:tcW w:w="50" w:type="dxa"/>
            <w:vAlign w:val="center"/>
          </w:tcPr>
          <w:p w14:paraId="00001096"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97"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r w:rsidR="00CB4215" w14:paraId="3E9BA143" w14:textId="77777777">
        <w:trPr>
          <w:trHeight w:val="455"/>
        </w:trPr>
        <w:tc>
          <w:tcPr>
            <w:tcW w:w="9067" w:type="dxa"/>
            <w:gridSpan w:val="7"/>
            <w:tcBorders>
              <w:top w:val="single" w:sz="4" w:space="0" w:color="000000"/>
              <w:left w:val="single" w:sz="4" w:space="0" w:color="000000"/>
              <w:bottom w:val="single" w:sz="4" w:space="0" w:color="000000"/>
              <w:right w:val="single" w:sz="4" w:space="0" w:color="000000"/>
            </w:tcBorders>
          </w:tcPr>
          <w:p w14:paraId="00001098"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Whole meats:</w:t>
            </w:r>
          </w:p>
        </w:tc>
        <w:tc>
          <w:tcPr>
            <w:tcW w:w="50" w:type="dxa"/>
            <w:vAlign w:val="center"/>
          </w:tcPr>
          <w:p w14:paraId="0000109F"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A0"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r w:rsidR="00CB4215" w14:paraId="7CA7C4F0" w14:textId="77777777">
        <w:trPr>
          <w:trHeight w:val="551"/>
        </w:trPr>
        <w:tc>
          <w:tcPr>
            <w:tcW w:w="2830" w:type="dxa"/>
            <w:tcBorders>
              <w:top w:val="single" w:sz="4" w:space="0" w:color="000000"/>
              <w:left w:val="single" w:sz="4" w:space="0" w:color="000000"/>
              <w:bottom w:val="single" w:sz="4" w:space="0" w:color="000000"/>
              <w:right w:val="single" w:sz="4" w:space="0" w:color="000000"/>
            </w:tcBorders>
          </w:tcPr>
          <w:p w14:paraId="000010A1"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Beef, Lamb, Pork, Ham – </w:t>
            </w:r>
            <w:proofErr w:type="gramStart"/>
            <w:r>
              <w:rPr>
                <w:rFonts w:ascii="Times New Roman" w:eastAsia="Times New Roman" w:hAnsi="Times New Roman" w:cs="Times New Roman"/>
                <w:color w:val="000000"/>
                <w:sz w:val="24"/>
                <w:szCs w:val="24"/>
                <w:highlight w:val="white"/>
              </w:rPr>
              <w:t>steaks ,roasts</w:t>
            </w:r>
            <w:proofErr w:type="gramEnd"/>
            <w:r>
              <w:rPr>
                <w:rFonts w:ascii="Times New Roman" w:eastAsia="Times New Roman" w:hAnsi="Times New Roman" w:cs="Times New Roman"/>
                <w:color w:val="000000"/>
                <w:sz w:val="24"/>
                <w:szCs w:val="24"/>
                <w:highlight w:val="white"/>
              </w:rPr>
              <w:t>, joints, mince or chops</w:t>
            </w:r>
          </w:p>
        </w:tc>
        <w:tc>
          <w:tcPr>
            <w:tcW w:w="851" w:type="dxa"/>
            <w:tcBorders>
              <w:top w:val="single" w:sz="4" w:space="0" w:color="000000"/>
              <w:left w:val="single" w:sz="4" w:space="0" w:color="000000"/>
              <w:bottom w:val="single" w:sz="4" w:space="0" w:color="000000"/>
              <w:right w:val="single" w:sz="4" w:space="0" w:color="000000"/>
            </w:tcBorders>
          </w:tcPr>
          <w:p w14:paraId="000010A2"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58"/>
                <w:id w:val="-418705817"/>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A3"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59"/>
                <w:id w:val="-1001190752"/>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A4"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60"/>
                <w:id w:val="-345792869"/>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A5"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61"/>
                <w:id w:val="120206008"/>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A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62"/>
                <w:id w:val="7797692"/>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A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63"/>
                <w:id w:val="-724456367"/>
              </w:sdtPr>
              <w:sdtEndPr/>
              <w:sdtContent>
                <w:r w:rsidR="000530B4">
                  <w:rPr>
                    <w:rFonts w:ascii="Arial Unicode MS" w:eastAsia="Arial Unicode MS" w:hAnsi="Arial Unicode MS" w:cs="Arial Unicode MS"/>
                    <w:color w:val="000000"/>
                    <w:sz w:val="24"/>
                    <w:szCs w:val="24"/>
                    <w:highlight w:val="white"/>
                  </w:rPr>
                  <w:t>◻</w:t>
                </w:r>
              </w:sdtContent>
            </w:sdt>
          </w:p>
        </w:tc>
        <w:tc>
          <w:tcPr>
            <w:tcW w:w="50" w:type="dxa"/>
            <w:vAlign w:val="center"/>
          </w:tcPr>
          <w:p w14:paraId="000010A8"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A9"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r w:rsidR="00CB4215" w14:paraId="424C6EC6" w14:textId="77777777">
        <w:trPr>
          <w:trHeight w:val="828"/>
        </w:trPr>
        <w:tc>
          <w:tcPr>
            <w:tcW w:w="2830" w:type="dxa"/>
            <w:tcBorders>
              <w:top w:val="single" w:sz="4" w:space="0" w:color="000000"/>
              <w:left w:val="single" w:sz="4" w:space="0" w:color="000000"/>
              <w:bottom w:val="single" w:sz="4" w:space="0" w:color="000000"/>
              <w:right w:val="single" w:sz="4" w:space="0" w:color="000000"/>
            </w:tcBorders>
          </w:tcPr>
          <w:p w14:paraId="000010AA"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Chicken or Turkey – steaks, roasts, joints, mince or portions (not in batter or breadcrumbs)</w:t>
            </w:r>
          </w:p>
        </w:tc>
        <w:tc>
          <w:tcPr>
            <w:tcW w:w="851" w:type="dxa"/>
            <w:tcBorders>
              <w:top w:val="single" w:sz="4" w:space="0" w:color="000000"/>
              <w:left w:val="single" w:sz="4" w:space="0" w:color="000000"/>
              <w:bottom w:val="single" w:sz="4" w:space="0" w:color="000000"/>
              <w:right w:val="single" w:sz="4" w:space="0" w:color="000000"/>
            </w:tcBorders>
          </w:tcPr>
          <w:p w14:paraId="000010A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64"/>
                <w:id w:val="-1770687635"/>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AC"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65"/>
                <w:id w:val="-2137404502"/>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AD"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66"/>
                <w:id w:val="-1320494534"/>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AE"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67"/>
                <w:id w:val="1264730466"/>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AF"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68"/>
                <w:id w:val="-1624849074"/>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B0"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69"/>
                <w:id w:val="-1267846883"/>
              </w:sdtPr>
              <w:sdtEndPr/>
              <w:sdtContent>
                <w:r w:rsidR="000530B4">
                  <w:rPr>
                    <w:rFonts w:ascii="Arial Unicode MS" w:eastAsia="Arial Unicode MS" w:hAnsi="Arial Unicode MS" w:cs="Arial Unicode MS"/>
                    <w:color w:val="000000"/>
                    <w:sz w:val="24"/>
                    <w:szCs w:val="24"/>
                    <w:highlight w:val="white"/>
                  </w:rPr>
                  <w:t>◻</w:t>
                </w:r>
              </w:sdtContent>
            </w:sdt>
          </w:p>
        </w:tc>
        <w:tc>
          <w:tcPr>
            <w:tcW w:w="50" w:type="dxa"/>
            <w:vAlign w:val="center"/>
          </w:tcPr>
          <w:p w14:paraId="000010B1"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B2"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r w:rsidR="00CB4215" w14:paraId="094275EE" w14:textId="77777777">
        <w:trPr>
          <w:trHeight w:val="395"/>
        </w:trPr>
        <w:tc>
          <w:tcPr>
            <w:tcW w:w="9067" w:type="dxa"/>
            <w:gridSpan w:val="7"/>
            <w:tcBorders>
              <w:top w:val="single" w:sz="4" w:space="0" w:color="000000"/>
              <w:left w:val="single" w:sz="4" w:space="0" w:color="000000"/>
              <w:bottom w:val="single" w:sz="4" w:space="0" w:color="000000"/>
              <w:right w:val="single" w:sz="4" w:space="0" w:color="000000"/>
            </w:tcBorders>
          </w:tcPr>
          <w:p w14:paraId="000010B3"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Processed meats/ meat products</w:t>
            </w:r>
          </w:p>
        </w:tc>
        <w:tc>
          <w:tcPr>
            <w:tcW w:w="50" w:type="dxa"/>
            <w:vAlign w:val="center"/>
          </w:tcPr>
          <w:p w14:paraId="000010BA"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BB"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r w:rsidR="00CB4215" w14:paraId="2AE106B6" w14:textId="77777777">
        <w:trPr>
          <w:trHeight w:val="791"/>
        </w:trPr>
        <w:tc>
          <w:tcPr>
            <w:tcW w:w="2830" w:type="dxa"/>
            <w:tcBorders>
              <w:top w:val="single" w:sz="4" w:space="0" w:color="000000"/>
              <w:left w:val="single" w:sz="4" w:space="0" w:color="000000"/>
              <w:bottom w:val="single" w:sz="4" w:space="0" w:color="000000"/>
              <w:right w:val="single" w:sz="4" w:space="0" w:color="000000"/>
            </w:tcBorders>
          </w:tcPr>
          <w:p w14:paraId="000010BC"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Sausages, bacon, corned beef, meat pies/pasties, burgers</w:t>
            </w:r>
          </w:p>
        </w:tc>
        <w:tc>
          <w:tcPr>
            <w:tcW w:w="851" w:type="dxa"/>
            <w:tcBorders>
              <w:top w:val="single" w:sz="4" w:space="0" w:color="000000"/>
              <w:left w:val="single" w:sz="4" w:space="0" w:color="000000"/>
              <w:bottom w:val="single" w:sz="4" w:space="0" w:color="000000"/>
              <w:right w:val="single" w:sz="4" w:space="0" w:color="000000"/>
            </w:tcBorders>
          </w:tcPr>
          <w:p w14:paraId="000010BD"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70"/>
                <w:id w:val="-1419472931"/>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BE"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71"/>
                <w:id w:val="1720941323"/>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BF"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72"/>
                <w:id w:val="-1324039730"/>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C0"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73"/>
                <w:id w:val="1654562542"/>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C1"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74"/>
                <w:id w:val="-2069871251"/>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C2"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75"/>
                <w:id w:val="-1107115497"/>
              </w:sdtPr>
              <w:sdtEndPr/>
              <w:sdtContent>
                <w:r w:rsidR="000530B4">
                  <w:rPr>
                    <w:rFonts w:ascii="Arial Unicode MS" w:eastAsia="Arial Unicode MS" w:hAnsi="Arial Unicode MS" w:cs="Arial Unicode MS"/>
                    <w:color w:val="000000"/>
                    <w:sz w:val="24"/>
                    <w:szCs w:val="24"/>
                    <w:highlight w:val="white"/>
                  </w:rPr>
                  <w:t>◻</w:t>
                </w:r>
              </w:sdtContent>
            </w:sdt>
          </w:p>
        </w:tc>
        <w:tc>
          <w:tcPr>
            <w:tcW w:w="50" w:type="dxa"/>
            <w:vAlign w:val="center"/>
          </w:tcPr>
          <w:p w14:paraId="000010C3"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C4"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r w:rsidR="00CB4215" w14:paraId="78115CA1" w14:textId="77777777">
        <w:trPr>
          <w:trHeight w:val="827"/>
        </w:trPr>
        <w:tc>
          <w:tcPr>
            <w:tcW w:w="2830" w:type="dxa"/>
            <w:tcBorders>
              <w:top w:val="single" w:sz="4" w:space="0" w:color="000000"/>
              <w:left w:val="single" w:sz="4" w:space="0" w:color="000000"/>
              <w:bottom w:val="single" w:sz="4" w:space="0" w:color="000000"/>
              <w:right w:val="single" w:sz="4" w:space="0" w:color="000000"/>
            </w:tcBorders>
          </w:tcPr>
          <w:p w14:paraId="000010C5"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Chicken/turkey nuggets/twizzles, turkey burgers, chicken pies, or in batter or breadcrumbs</w:t>
            </w:r>
          </w:p>
        </w:tc>
        <w:tc>
          <w:tcPr>
            <w:tcW w:w="851" w:type="dxa"/>
            <w:tcBorders>
              <w:top w:val="single" w:sz="4" w:space="0" w:color="000000"/>
              <w:left w:val="single" w:sz="4" w:space="0" w:color="000000"/>
              <w:bottom w:val="single" w:sz="4" w:space="0" w:color="000000"/>
              <w:right w:val="single" w:sz="4" w:space="0" w:color="000000"/>
            </w:tcBorders>
          </w:tcPr>
          <w:p w14:paraId="000010C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76"/>
                <w:id w:val="731274883"/>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C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77"/>
                <w:id w:val="214235595"/>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C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78"/>
                <w:id w:val="1495295565"/>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C9"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79"/>
                <w:id w:val="-475296040"/>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C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80"/>
                <w:id w:val="1500153221"/>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C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81"/>
                <w:id w:val="-1350638040"/>
              </w:sdtPr>
              <w:sdtEndPr/>
              <w:sdtContent>
                <w:r w:rsidR="000530B4">
                  <w:rPr>
                    <w:rFonts w:ascii="Arial Unicode MS" w:eastAsia="Arial Unicode MS" w:hAnsi="Arial Unicode MS" w:cs="Arial Unicode MS"/>
                    <w:color w:val="000000"/>
                    <w:sz w:val="24"/>
                    <w:szCs w:val="24"/>
                    <w:highlight w:val="white"/>
                  </w:rPr>
                  <w:t>◻</w:t>
                </w:r>
              </w:sdtContent>
            </w:sdt>
          </w:p>
        </w:tc>
        <w:tc>
          <w:tcPr>
            <w:tcW w:w="50" w:type="dxa"/>
            <w:vAlign w:val="center"/>
          </w:tcPr>
          <w:p w14:paraId="000010CC"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CD"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r w:rsidR="00CB4215" w14:paraId="4D1B8ABE" w14:textId="77777777">
        <w:trPr>
          <w:trHeight w:val="366"/>
        </w:trPr>
        <w:tc>
          <w:tcPr>
            <w:tcW w:w="9067" w:type="dxa"/>
            <w:gridSpan w:val="7"/>
            <w:tcBorders>
              <w:top w:val="single" w:sz="4" w:space="0" w:color="000000"/>
              <w:left w:val="single" w:sz="4" w:space="0" w:color="000000"/>
              <w:bottom w:val="single" w:sz="4" w:space="0" w:color="000000"/>
              <w:right w:val="single" w:sz="4" w:space="0" w:color="000000"/>
            </w:tcBorders>
          </w:tcPr>
          <w:p w14:paraId="000010CE"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Fish:</w:t>
            </w:r>
          </w:p>
        </w:tc>
        <w:tc>
          <w:tcPr>
            <w:tcW w:w="50" w:type="dxa"/>
            <w:vAlign w:val="center"/>
          </w:tcPr>
          <w:p w14:paraId="000010D5"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D6"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r w:rsidR="00CB4215" w14:paraId="13C8FF39" w14:textId="77777777">
        <w:trPr>
          <w:trHeight w:val="553"/>
        </w:trPr>
        <w:tc>
          <w:tcPr>
            <w:tcW w:w="2830" w:type="dxa"/>
            <w:tcBorders>
              <w:top w:val="single" w:sz="4" w:space="0" w:color="000000"/>
              <w:left w:val="single" w:sz="4" w:space="0" w:color="000000"/>
              <w:bottom w:val="single" w:sz="4" w:space="0" w:color="000000"/>
              <w:right w:val="single" w:sz="4" w:space="0" w:color="000000"/>
            </w:tcBorders>
          </w:tcPr>
          <w:p w14:paraId="000010D7"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White fish in batter or breadcrumbs – like ‘fish ‘n chips’</w:t>
            </w:r>
          </w:p>
        </w:tc>
        <w:tc>
          <w:tcPr>
            <w:tcW w:w="851" w:type="dxa"/>
            <w:tcBorders>
              <w:top w:val="single" w:sz="4" w:space="0" w:color="000000"/>
              <w:left w:val="single" w:sz="4" w:space="0" w:color="000000"/>
              <w:bottom w:val="single" w:sz="4" w:space="0" w:color="000000"/>
              <w:right w:val="single" w:sz="4" w:space="0" w:color="000000"/>
            </w:tcBorders>
          </w:tcPr>
          <w:p w14:paraId="000010D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82"/>
                <w:id w:val="1766646398"/>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D9"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83"/>
                <w:id w:val="1880362503"/>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D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84"/>
                <w:id w:val="1903943858"/>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D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85"/>
                <w:id w:val="2077079482"/>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DC"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86"/>
                <w:id w:val="-875778406"/>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DD"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87"/>
                <w:id w:val="-1478453064"/>
              </w:sdtPr>
              <w:sdtEndPr/>
              <w:sdtContent>
                <w:r w:rsidR="000530B4">
                  <w:rPr>
                    <w:rFonts w:ascii="Arial Unicode MS" w:eastAsia="Arial Unicode MS" w:hAnsi="Arial Unicode MS" w:cs="Arial Unicode MS"/>
                    <w:color w:val="000000"/>
                    <w:sz w:val="24"/>
                    <w:szCs w:val="24"/>
                    <w:highlight w:val="white"/>
                  </w:rPr>
                  <w:t>◻</w:t>
                </w:r>
              </w:sdtContent>
            </w:sdt>
          </w:p>
        </w:tc>
        <w:tc>
          <w:tcPr>
            <w:tcW w:w="50" w:type="dxa"/>
            <w:vAlign w:val="center"/>
          </w:tcPr>
          <w:p w14:paraId="000010DE"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DF"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r w:rsidR="00CB4215" w14:paraId="0C78CAEC" w14:textId="77777777">
        <w:trPr>
          <w:trHeight w:val="552"/>
        </w:trPr>
        <w:tc>
          <w:tcPr>
            <w:tcW w:w="2830" w:type="dxa"/>
            <w:tcBorders>
              <w:top w:val="single" w:sz="4" w:space="0" w:color="000000"/>
              <w:left w:val="single" w:sz="4" w:space="0" w:color="000000"/>
              <w:bottom w:val="single" w:sz="4" w:space="0" w:color="000000"/>
              <w:right w:val="single" w:sz="4" w:space="0" w:color="000000"/>
            </w:tcBorders>
          </w:tcPr>
          <w:p w14:paraId="000010E0"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White fish not in batter or</w:t>
            </w:r>
          </w:p>
          <w:p w14:paraId="000010E1"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breadcrumbs</w:t>
            </w:r>
          </w:p>
        </w:tc>
        <w:tc>
          <w:tcPr>
            <w:tcW w:w="851" w:type="dxa"/>
            <w:tcBorders>
              <w:top w:val="single" w:sz="4" w:space="0" w:color="000000"/>
              <w:left w:val="single" w:sz="4" w:space="0" w:color="000000"/>
              <w:bottom w:val="single" w:sz="4" w:space="0" w:color="000000"/>
              <w:right w:val="single" w:sz="4" w:space="0" w:color="000000"/>
            </w:tcBorders>
          </w:tcPr>
          <w:p w14:paraId="000010E2"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88"/>
                <w:id w:val="1105695083"/>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E3"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89"/>
                <w:id w:val="663905343"/>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E4"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90"/>
                <w:id w:val="675774347"/>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E5"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91"/>
                <w:id w:val="1538620351"/>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E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92"/>
                <w:id w:val="-1720116467"/>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E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93"/>
                <w:id w:val="255181520"/>
              </w:sdtPr>
              <w:sdtEndPr/>
              <w:sdtContent>
                <w:r w:rsidR="000530B4">
                  <w:rPr>
                    <w:rFonts w:ascii="Arial Unicode MS" w:eastAsia="Arial Unicode MS" w:hAnsi="Arial Unicode MS" w:cs="Arial Unicode MS"/>
                    <w:color w:val="000000"/>
                    <w:sz w:val="24"/>
                    <w:szCs w:val="24"/>
                    <w:highlight w:val="white"/>
                  </w:rPr>
                  <w:t>◻</w:t>
                </w:r>
              </w:sdtContent>
            </w:sdt>
          </w:p>
        </w:tc>
        <w:tc>
          <w:tcPr>
            <w:tcW w:w="50" w:type="dxa"/>
            <w:vAlign w:val="center"/>
          </w:tcPr>
          <w:p w14:paraId="000010E8"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E9"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r w:rsidR="00CB4215" w14:paraId="34301AAC" w14:textId="77777777">
        <w:trPr>
          <w:trHeight w:val="827"/>
        </w:trPr>
        <w:tc>
          <w:tcPr>
            <w:tcW w:w="2830" w:type="dxa"/>
            <w:tcBorders>
              <w:top w:val="single" w:sz="4" w:space="0" w:color="000000"/>
              <w:left w:val="single" w:sz="4" w:space="0" w:color="000000"/>
              <w:bottom w:val="single" w:sz="4" w:space="0" w:color="000000"/>
              <w:right w:val="single" w:sz="4" w:space="0" w:color="000000"/>
            </w:tcBorders>
          </w:tcPr>
          <w:p w14:paraId="000010EA"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Oily fish – like herrings, sardines, salmon, trout, mackerel, fresh tuna (not tinned tuna)</w:t>
            </w:r>
          </w:p>
        </w:tc>
        <w:tc>
          <w:tcPr>
            <w:tcW w:w="851" w:type="dxa"/>
            <w:tcBorders>
              <w:top w:val="single" w:sz="4" w:space="0" w:color="000000"/>
              <w:left w:val="single" w:sz="4" w:space="0" w:color="000000"/>
              <w:bottom w:val="single" w:sz="4" w:space="0" w:color="000000"/>
              <w:right w:val="single" w:sz="4" w:space="0" w:color="000000"/>
            </w:tcBorders>
          </w:tcPr>
          <w:p w14:paraId="000010E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94"/>
                <w:id w:val="572169458"/>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EC"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95"/>
                <w:id w:val="1222176072"/>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ED"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96"/>
                <w:id w:val="1266800027"/>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EE"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97"/>
                <w:id w:val="-393194518"/>
              </w:sdtPr>
              <w:sdtEndPr/>
              <w:sdtContent>
                <w:r w:rsidR="000530B4">
                  <w:rPr>
                    <w:rFonts w:ascii="Arial Unicode MS" w:eastAsia="Arial Unicode MS" w:hAnsi="Arial Unicode MS" w:cs="Arial Unicode MS"/>
                    <w:color w:val="000000"/>
                    <w:sz w:val="24"/>
                    <w:szCs w:val="24"/>
                    <w:highlight w:val="white"/>
                  </w:rPr>
                  <w:t>◻</w:t>
                </w:r>
              </w:sdtContent>
            </w:sdt>
          </w:p>
        </w:tc>
        <w:tc>
          <w:tcPr>
            <w:tcW w:w="992" w:type="dxa"/>
            <w:tcBorders>
              <w:top w:val="single" w:sz="4" w:space="0" w:color="000000"/>
              <w:left w:val="single" w:sz="4" w:space="0" w:color="000000"/>
              <w:bottom w:val="single" w:sz="4" w:space="0" w:color="000000"/>
              <w:right w:val="single" w:sz="4" w:space="0" w:color="000000"/>
            </w:tcBorders>
          </w:tcPr>
          <w:p w14:paraId="000010EF"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98"/>
                <w:id w:val="-1681962926"/>
              </w:sdtPr>
              <w:sdtEndPr/>
              <w:sdtContent>
                <w:r w:rsidR="000530B4">
                  <w:rPr>
                    <w:rFonts w:ascii="Arial Unicode MS" w:eastAsia="Arial Unicode MS" w:hAnsi="Arial Unicode MS" w:cs="Arial Unicode MS"/>
                    <w:color w:val="000000"/>
                    <w:sz w:val="24"/>
                    <w:szCs w:val="24"/>
                    <w:highlight w:val="white"/>
                  </w:rPr>
                  <w:t>◻</w:t>
                </w:r>
              </w:sdtContent>
            </w:sdt>
          </w:p>
        </w:tc>
        <w:tc>
          <w:tcPr>
            <w:tcW w:w="1134" w:type="dxa"/>
            <w:tcBorders>
              <w:top w:val="single" w:sz="4" w:space="0" w:color="000000"/>
              <w:left w:val="single" w:sz="4" w:space="0" w:color="000000"/>
              <w:bottom w:val="single" w:sz="4" w:space="0" w:color="000000"/>
              <w:right w:val="single" w:sz="4" w:space="0" w:color="000000"/>
            </w:tcBorders>
          </w:tcPr>
          <w:p w14:paraId="000010F0"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199"/>
                <w:id w:val="-956790633"/>
              </w:sdtPr>
              <w:sdtEndPr/>
              <w:sdtContent>
                <w:r w:rsidR="000530B4">
                  <w:rPr>
                    <w:rFonts w:ascii="Arial Unicode MS" w:eastAsia="Arial Unicode MS" w:hAnsi="Arial Unicode MS" w:cs="Arial Unicode MS"/>
                    <w:color w:val="000000"/>
                    <w:sz w:val="24"/>
                    <w:szCs w:val="24"/>
                    <w:highlight w:val="white"/>
                  </w:rPr>
                  <w:t>◻</w:t>
                </w:r>
              </w:sdtContent>
            </w:sdt>
          </w:p>
        </w:tc>
        <w:tc>
          <w:tcPr>
            <w:tcW w:w="50" w:type="dxa"/>
            <w:vAlign w:val="center"/>
          </w:tcPr>
          <w:p w14:paraId="000010F1"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c>
          <w:tcPr>
            <w:tcW w:w="225" w:type="dxa"/>
            <w:vAlign w:val="center"/>
          </w:tcPr>
          <w:p w14:paraId="000010F2"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tc>
      </w:tr>
    </w:tbl>
    <w:p w14:paraId="000010F3"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br/>
      </w:r>
      <w:r>
        <w:rPr>
          <w:rFonts w:ascii="Times New Roman" w:eastAsia="Times New Roman" w:hAnsi="Times New Roman" w:cs="Times New Roman"/>
          <w:b/>
          <w:color w:val="000000"/>
          <w:sz w:val="24"/>
          <w:szCs w:val="24"/>
          <w:highlight w:val="white"/>
        </w:rPr>
        <w:t xml:space="preserve">On average, how many portions of FRUIT do you eat a </w:t>
      </w:r>
      <w:proofErr w:type="gramStart"/>
      <w:r>
        <w:rPr>
          <w:rFonts w:ascii="Times New Roman" w:eastAsia="Times New Roman" w:hAnsi="Times New Roman" w:cs="Times New Roman"/>
          <w:b/>
          <w:color w:val="000000"/>
          <w:sz w:val="24"/>
          <w:szCs w:val="24"/>
          <w:highlight w:val="white"/>
        </w:rPr>
        <w:t>day?</w:t>
      </w:r>
      <w:r>
        <w:rPr>
          <w:rFonts w:ascii="Times New Roman" w:eastAsia="Times New Roman" w:hAnsi="Times New Roman" w:cs="Times New Roman"/>
          <w:color w:val="000000"/>
          <w:sz w:val="24"/>
          <w:szCs w:val="24"/>
          <w:highlight w:val="white"/>
        </w:rPr>
        <w:t>(</w:t>
      </w:r>
      <w:proofErr w:type="gramEnd"/>
      <w:r>
        <w:rPr>
          <w:rFonts w:ascii="Times New Roman" w:eastAsia="Times New Roman" w:hAnsi="Times New Roman" w:cs="Times New Roman"/>
          <w:color w:val="000000"/>
          <w:sz w:val="24"/>
          <w:szCs w:val="24"/>
          <w:highlight w:val="white"/>
        </w:rPr>
        <w:t xml:space="preserve">examples include a handful of grapes, an orange, a glass of fruit juice, a handful of dried fruits). </w:t>
      </w:r>
      <w:r>
        <w:rPr>
          <w:rFonts w:ascii="Times New Roman" w:eastAsia="Times New Roman" w:hAnsi="Times New Roman" w:cs="Times New Roman"/>
          <w:color w:val="000000"/>
          <w:sz w:val="24"/>
          <w:szCs w:val="24"/>
          <w:highlight w:val="white"/>
          <w:u w:val="single"/>
        </w:rPr>
        <w:t> </w:t>
      </w:r>
      <w:r>
        <w:rPr>
          <w:rFonts w:ascii="Times New Roman" w:eastAsia="Times New Roman" w:hAnsi="Times New Roman" w:cs="Times New Roman"/>
          <w:color w:val="000000"/>
          <w:sz w:val="24"/>
          <w:szCs w:val="24"/>
          <w:highlight w:val="white"/>
          <w:u w:val="single"/>
        </w:rPr>
        <w:tab/>
      </w:r>
    </w:p>
    <w:p w14:paraId="000010F4"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br/>
      </w:r>
      <w:r>
        <w:rPr>
          <w:rFonts w:ascii="Times New Roman" w:eastAsia="Times New Roman" w:hAnsi="Times New Roman" w:cs="Times New Roman"/>
          <w:b/>
          <w:color w:val="000000"/>
          <w:sz w:val="24"/>
          <w:szCs w:val="24"/>
          <w:highlight w:val="white"/>
        </w:rPr>
        <w:t xml:space="preserve">On average, how many portions of VEGETABLES do you eat a day? </w:t>
      </w:r>
      <w:r>
        <w:rPr>
          <w:rFonts w:ascii="Times New Roman" w:eastAsia="Times New Roman" w:hAnsi="Times New Roman" w:cs="Times New Roman"/>
          <w:color w:val="000000"/>
          <w:sz w:val="24"/>
          <w:szCs w:val="24"/>
          <w:highlight w:val="white"/>
        </w:rPr>
        <w:t>(examples include: 3 heaped tablespoons of carrots, a side salad, 2 spears of broccoli).</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u w:val="single"/>
        </w:rPr>
        <w:t xml:space="preserve"> </w:t>
      </w:r>
      <w:r>
        <w:rPr>
          <w:rFonts w:ascii="Times New Roman" w:eastAsia="Times New Roman" w:hAnsi="Times New Roman" w:cs="Times New Roman"/>
          <w:color w:val="000000"/>
          <w:sz w:val="24"/>
          <w:szCs w:val="24"/>
          <w:highlight w:val="white"/>
          <w:u w:val="single"/>
        </w:rPr>
        <w:tab/>
      </w:r>
    </w:p>
    <w:p w14:paraId="000010F5"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br/>
      </w:r>
      <w:r>
        <w:rPr>
          <w:rFonts w:ascii="Times New Roman" w:eastAsia="Times New Roman" w:hAnsi="Times New Roman" w:cs="Times New Roman"/>
          <w:b/>
          <w:color w:val="000000"/>
          <w:sz w:val="24"/>
          <w:szCs w:val="24"/>
          <w:highlight w:val="white"/>
        </w:rPr>
        <w:t xml:space="preserve">What milk do you </w:t>
      </w:r>
      <w:r>
        <w:rPr>
          <w:rFonts w:ascii="Times New Roman" w:eastAsia="Times New Roman" w:hAnsi="Times New Roman" w:cs="Times New Roman"/>
          <w:b/>
          <w:color w:val="000000"/>
          <w:sz w:val="24"/>
          <w:szCs w:val="24"/>
          <w:highlight w:val="white"/>
          <w:u w:val="single"/>
        </w:rPr>
        <w:t>usually</w:t>
      </w:r>
      <w:r>
        <w:rPr>
          <w:rFonts w:ascii="Times New Roman" w:eastAsia="Times New Roman" w:hAnsi="Times New Roman" w:cs="Times New Roman"/>
          <w:b/>
          <w:color w:val="000000"/>
          <w:sz w:val="24"/>
          <w:szCs w:val="24"/>
          <w:highlight w:val="white"/>
        </w:rPr>
        <w:t xml:space="preserve"> use or drink, such as in hot &amp; cold drinks or on cereal? </w:t>
      </w:r>
      <w:r>
        <w:rPr>
          <w:rFonts w:ascii="Times New Roman" w:eastAsia="Times New Roman" w:hAnsi="Times New Roman" w:cs="Times New Roman"/>
          <w:color w:val="000000"/>
          <w:sz w:val="24"/>
          <w:szCs w:val="24"/>
          <w:highlight w:val="white"/>
        </w:rPr>
        <w:t>(including tea, coffee, hot milk, milk shakes, or on cereal)</w:t>
      </w:r>
    </w:p>
    <w:tbl>
      <w:tblPr>
        <w:tblStyle w:val="af8"/>
        <w:tblW w:w="5098" w:type="dxa"/>
        <w:tblLayout w:type="fixed"/>
        <w:tblLook w:val="0400" w:firstRow="0" w:lastRow="0" w:firstColumn="0" w:lastColumn="0" w:noHBand="0" w:noVBand="1"/>
      </w:tblPr>
      <w:tblGrid>
        <w:gridCol w:w="2023"/>
        <w:gridCol w:w="524"/>
        <w:gridCol w:w="2268"/>
        <w:gridCol w:w="283"/>
      </w:tblGrid>
      <w:tr w:rsidR="00CB4215" w14:paraId="65371723" w14:textId="77777777">
        <w:trPr>
          <w:trHeight w:val="535"/>
        </w:trPr>
        <w:tc>
          <w:tcPr>
            <w:tcW w:w="2023" w:type="dxa"/>
            <w:tcBorders>
              <w:top w:val="single" w:sz="4" w:space="0" w:color="000000"/>
              <w:left w:val="single" w:sz="4" w:space="0" w:color="000000"/>
              <w:bottom w:val="single" w:sz="4" w:space="0" w:color="000000"/>
              <w:right w:val="single" w:sz="4" w:space="0" w:color="000000"/>
            </w:tcBorders>
          </w:tcPr>
          <w:p w14:paraId="000010F6"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Whole / full-fat milk</w:t>
            </w:r>
          </w:p>
        </w:tc>
        <w:tc>
          <w:tcPr>
            <w:tcW w:w="524" w:type="dxa"/>
            <w:tcBorders>
              <w:top w:val="single" w:sz="4" w:space="0" w:color="000000"/>
              <w:left w:val="single" w:sz="4" w:space="0" w:color="000000"/>
              <w:bottom w:val="single" w:sz="4" w:space="0" w:color="000000"/>
              <w:right w:val="single" w:sz="4" w:space="0" w:color="000000"/>
            </w:tcBorders>
          </w:tcPr>
          <w:p w14:paraId="000010F7"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200"/>
                <w:id w:val="1761029499"/>
              </w:sdtPr>
              <w:sdtEndPr/>
              <w:sdtContent>
                <w:r w:rsidR="000530B4">
                  <w:rPr>
                    <w:rFonts w:ascii="Arial Unicode MS" w:eastAsia="Arial Unicode MS" w:hAnsi="Arial Unicode MS" w:cs="Arial Unicode MS"/>
                    <w:color w:val="000000"/>
                    <w:sz w:val="24"/>
                    <w:szCs w:val="24"/>
                    <w:highlight w:val="white"/>
                  </w:rPr>
                  <w:t>◻</w:t>
                </w:r>
              </w:sdtContent>
            </w:sdt>
          </w:p>
        </w:tc>
        <w:tc>
          <w:tcPr>
            <w:tcW w:w="2268" w:type="dxa"/>
            <w:tcBorders>
              <w:top w:val="single" w:sz="4" w:space="0" w:color="000000"/>
              <w:left w:val="single" w:sz="4" w:space="0" w:color="000000"/>
              <w:bottom w:val="single" w:sz="4" w:space="0" w:color="000000"/>
              <w:right w:val="single" w:sz="4" w:space="0" w:color="000000"/>
            </w:tcBorders>
          </w:tcPr>
          <w:p w14:paraId="000010F8"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Semi-skimmed milk</w:t>
            </w:r>
          </w:p>
        </w:tc>
        <w:tc>
          <w:tcPr>
            <w:tcW w:w="283" w:type="dxa"/>
            <w:tcBorders>
              <w:top w:val="single" w:sz="4" w:space="0" w:color="000000"/>
              <w:left w:val="single" w:sz="4" w:space="0" w:color="000000"/>
              <w:bottom w:val="single" w:sz="4" w:space="0" w:color="000000"/>
              <w:right w:val="single" w:sz="4" w:space="0" w:color="000000"/>
            </w:tcBorders>
          </w:tcPr>
          <w:p w14:paraId="000010F9"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201"/>
                <w:id w:val="510809928"/>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39AE3ECC" w14:textId="77777777">
        <w:trPr>
          <w:trHeight w:val="530"/>
        </w:trPr>
        <w:tc>
          <w:tcPr>
            <w:tcW w:w="2023" w:type="dxa"/>
            <w:tcBorders>
              <w:top w:val="single" w:sz="4" w:space="0" w:color="000000"/>
              <w:left w:val="single" w:sz="4" w:space="0" w:color="000000"/>
              <w:bottom w:val="single" w:sz="4" w:space="0" w:color="000000"/>
              <w:right w:val="single" w:sz="4" w:space="0" w:color="000000"/>
            </w:tcBorders>
          </w:tcPr>
          <w:p w14:paraId="000010FA"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Skimmed milk</w:t>
            </w:r>
          </w:p>
        </w:tc>
        <w:tc>
          <w:tcPr>
            <w:tcW w:w="524" w:type="dxa"/>
            <w:tcBorders>
              <w:top w:val="single" w:sz="4" w:space="0" w:color="000000"/>
              <w:left w:val="single" w:sz="4" w:space="0" w:color="000000"/>
              <w:bottom w:val="single" w:sz="4" w:space="0" w:color="000000"/>
              <w:right w:val="single" w:sz="4" w:space="0" w:color="000000"/>
            </w:tcBorders>
          </w:tcPr>
          <w:p w14:paraId="000010FB"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202"/>
                <w:id w:val="452911216"/>
              </w:sdtPr>
              <w:sdtEndPr/>
              <w:sdtContent>
                <w:r w:rsidR="000530B4">
                  <w:rPr>
                    <w:rFonts w:ascii="Arial Unicode MS" w:eastAsia="Arial Unicode MS" w:hAnsi="Arial Unicode MS" w:cs="Arial Unicode MS"/>
                    <w:color w:val="000000"/>
                    <w:sz w:val="24"/>
                    <w:szCs w:val="24"/>
                    <w:highlight w:val="white"/>
                  </w:rPr>
                  <w:t>◻</w:t>
                </w:r>
              </w:sdtContent>
            </w:sdt>
          </w:p>
        </w:tc>
        <w:tc>
          <w:tcPr>
            <w:tcW w:w="2268" w:type="dxa"/>
            <w:tcBorders>
              <w:top w:val="single" w:sz="4" w:space="0" w:color="000000"/>
              <w:left w:val="single" w:sz="4" w:space="0" w:color="000000"/>
              <w:bottom w:val="single" w:sz="4" w:space="0" w:color="000000"/>
              <w:right w:val="single" w:sz="4" w:space="0" w:color="000000"/>
            </w:tcBorders>
          </w:tcPr>
          <w:p w14:paraId="000010FC"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Rarely/never use milk</w:t>
            </w:r>
          </w:p>
        </w:tc>
        <w:tc>
          <w:tcPr>
            <w:tcW w:w="283" w:type="dxa"/>
            <w:tcBorders>
              <w:top w:val="single" w:sz="4" w:space="0" w:color="000000"/>
              <w:left w:val="single" w:sz="4" w:space="0" w:color="000000"/>
              <w:bottom w:val="single" w:sz="4" w:space="0" w:color="000000"/>
              <w:right w:val="single" w:sz="4" w:space="0" w:color="000000"/>
            </w:tcBorders>
          </w:tcPr>
          <w:p w14:paraId="000010FD"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203"/>
                <w:id w:val="-2056298434"/>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6CABE0B6" w14:textId="77777777">
        <w:trPr>
          <w:trHeight w:val="361"/>
        </w:trPr>
        <w:tc>
          <w:tcPr>
            <w:tcW w:w="5098" w:type="dxa"/>
            <w:gridSpan w:val="4"/>
            <w:tcBorders>
              <w:top w:val="single" w:sz="4" w:space="0" w:color="000000"/>
              <w:left w:val="single" w:sz="4" w:space="0" w:color="000000"/>
              <w:bottom w:val="single" w:sz="4" w:space="0" w:color="000000"/>
              <w:right w:val="single" w:sz="4" w:space="0" w:color="000000"/>
            </w:tcBorders>
          </w:tcPr>
          <w:p w14:paraId="000010FE"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Other (please write its name)</w:t>
            </w:r>
          </w:p>
        </w:tc>
      </w:tr>
    </w:tbl>
    <w:p w14:paraId="00001102"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103"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On average, how much alcohol do you drink over a complete seven-day week?</w:t>
      </w:r>
    </w:p>
    <w:p w14:paraId="00001104"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(One unit is a standard glass of wine, half a pint of beer or lager, a single measure of spirits, a measure of sherry)</w:t>
      </w:r>
    </w:p>
    <w:tbl>
      <w:tblPr>
        <w:tblStyle w:val="af9"/>
        <w:tblW w:w="5807" w:type="dxa"/>
        <w:tblLayout w:type="fixed"/>
        <w:tblLook w:val="0400" w:firstRow="0" w:lastRow="0" w:firstColumn="0" w:lastColumn="0" w:noHBand="0" w:noVBand="1"/>
      </w:tblPr>
      <w:tblGrid>
        <w:gridCol w:w="2830"/>
        <w:gridCol w:w="567"/>
        <w:gridCol w:w="1850"/>
        <w:gridCol w:w="560"/>
      </w:tblGrid>
      <w:tr w:rsidR="00CB4215" w14:paraId="58834A7D" w14:textId="77777777">
        <w:trPr>
          <w:trHeight w:val="464"/>
        </w:trPr>
        <w:tc>
          <w:tcPr>
            <w:tcW w:w="2830" w:type="dxa"/>
            <w:tcBorders>
              <w:top w:val="single" w:sz="4" w:space="0" w:color="000000"/>
              <w:left w:val="single" w:sz="4" w:space="0" w:color="000000"/>
              <w:bottom w:val="single" w:sz="6" w:space="0" w:color="000000"/>
              <w:right w:val="single" w:sz="4" w:space="0" w:color="000000"/>
            </w:tcBorders>
          </w:tcPr>
          <w:p w14:paraId="00001105"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 rarely/never drink alcohol</w:t>
            </w:r>
          </w:p>
        </w:tc>
        <w:tc>
          <w:tcPr>
            <w:tcW w:w="567" w:type="dxa"/>
            <w:tcBorders>
              <w:top w:val="single" w:sz="4" w:space="0" w:color="000000"/>
              <w:left w:val="single" w:sz="4" w:space="0" w:color="000000"/>
              <w:bottom w:val="single" w:sz="6" w:space="0" w:color="000000"/>
              <w:right w:val="single" w:sz="4" w:space="0" w:color="000000"/>
            </w:tcBorders>
          </w:tcPr>
          <w:p w14:paraId="00001106"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204"/>
                <w:id w:val="833721598"/>
              </w:sdtPr>
              <w:sdtEndPr/>
              <w:sdtContent>
                <w:r w:rsidR="000530B4">
                  <w:rPr>
                    <w:rFonts w:ascii="Arial Unicode MS" w:eastAsia="Arial Unicode MS" w:hAnsi="Arial Unicode MS" w:cs="Arial Unicode MS"/>
                    <w:color w:val="000000"/>
                    <w:sz w:val="24"/>
                    <w:szCs w:val="24"/>
                    <w:highlight w:val="white"/>
                  </w:rPr>
                  <w:t>◻</w:t>
                </w:r>
              </w:sdtContent>
            </w:sdt>
          </w:p>
        </w:tc>
        <w:tc>
          <w:tcPr>
            <w:tcW w:w="1850" w:type="dxa"/>
            <w:tcBorders>
              <w:top w:val="single" w:sz="4" w:space="0" w:color="000000"/>
              <w:left w:val="single" w:sz="4" w:space="0" w:color="000000"/>
              <w:bottom w:val="single" w:sz="6" w:space="0" w:color="000000"/>
              <w:right w:val="single" w:sz="4" w:space="0" w:color="000000"/>
            </w:tcBorders>
          </w:tcPr>
          <w:p w14:paraId="00001107"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Less than 14 units</w:t>
            </w:r>
          </w:p>
        </w:tc>
        <w:tc>
          <w:tcPr>
            <w:tcW w:w="560" w:type="dxa"/>
            <w:tcBorders>
              <w:top w:val="single" w:sz="4" w:space="0" w:color="000000"/>
              <w:left w:val="single" w:sz="4" w:space="0" w:color="000000"/>
              <w:bottom w:val="single" w:sz="6" w:space="0" w:color="000000"/>
              <w:right w:val="single" w:sz="4" w:space="0" w:color="000000"/>
            </w:tcBorders>
          </w:tcPr>
          <w:p w14:paraId="00001108"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205"/>
                <w:id w:val="1183786200"/>
              </w:sdtPr>
              <w:sdtEndPr/>
              <w:sdtContent>
                <w:r w:rsidR="000530B4">
                  <w:rPr>
                    <w:rFonts w:ascii="Arial Unicode MS" w:eastAsia="Arial Unicode MS" w:hAnsi="Arial Unicode MS" w:cs="Arial Unicode MS"/>
                    <w:color w:val="000000"/>
                    <w:sz w:val="24"/>
                    <w:szCs w:val="24"/>
                    <w:highlight w:val="white"/>
                  </w:rPr>
                  <w:t>◻</w:t>
                </w:r>
              </w:sdtContent>
            </w:sdt>
          </w:p>
        </w:tc>
      </w:tr>
      <w:tr w:rsidR="00CB4215" w14:paraId="4AF93918" w14:textId="77777777">
        <w:trPr>
          <w:trHeight w:val="445"/>
        </w:trPr>
        <w:tc>
          <w:tcPr>
            <w:tcW w:w="2830" w:type="dxa"/>
            <w:tcBorders>
              <w:top w:val="single" w:sz="6" w:space="0" w:color="000000"/>
              <w:left w:val="single" w:sz="4" w:space="0" w:color="000000"/>
              <w:bottom w:val="single" w:sz="4" w:space="0" w:color="000000"/>
              <w:right w:val="single" w:sz="4" w:space="0" w:color="000000"/>
            </w:tcBorders>
          </w:tcPr>
          <w:p w14:paraId="00001109"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Between 14 &amp; 21 units</w:t>
            </w:r>
          </w:p>
        </w:tc>
        <w:tc>
          <w:tcPr>
            <w:tcW w:w="567" w:type="dxa"/>
            <w:tcBorders>
              <w:top w:val="single" w:sz="6" w:space="0" w:color="000000"/>
              <w:left w:val="single" w:sz="4" w:space="0" w:color="000000"/>
              <w:bottom w:val="single" w:sz="4" w:space="0" w:color="000000"/>
              <w:right w:val="single" w:sz="4" w:space="0" w:color="000000"/>
            </w:tcBorders>
          </w:tcPr>
          <w:p w14:paraId="0000110A"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206"/>
                <w:id w:val="2140835902"/>
              </w:sdtPr>
              <w:sdtEndPr/>
              <w:sdtContent>
                <w:r w:rsidR="000530B4">
                  <w:rPr>
                    <w:rFonts w:ascii="Arial Unicode MS" w:eastAsia="Arial Unicode MS" w:hAnsi="Arial Unicode MS" w:cs="Arial Unicode MS"/>
                    <w:color w:val="000000"/>
                    <w:sz w:val="24"/>
                    <w:szCs w:val="24"/>
                    <w:highlight w:val="white"/>
                  </w:rPr>
                  <w:t>◻</w:t>
                </w:r>
              </w:sdtContent>
            </w:sdt>
          </w:p>
        </w:tc>
        <w:tc>
          <w:tcPr>
            <w:tcW w:w="1850" w:type="dxa"/>
            <w:tcBorders>
              <w:top w:val="single" w:sz="6" w:space="0" w:color="000000"/>
              <w:left w:val="single" w:sz="4" w:space="0" w:color="000000"/>
              <w:bottom w:val="single" w:sz="4" w:space="0" w:color="000000"/>
              <w:right w:val="single" w:sz="4" w:space="0" w:color="000000"/>
            </w:tcBorders>
          </w:tcPr>
          <w:p w14:paraId="0000110B"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More than 21 units</w:t>
            </w:r>
          </w:p>
        </w:tc>
        <w:tc>
          <w:tcPr>
            <w:tcW w:w="560" w:type="dxa"/>
            <w:tcBorders>
              <w:top w:val="single" w:sz="6" w:space="0" w:color="000000"/>
              <w:left w:val="single" w:sz="4" w:space="0" w:color="000000"/>
              <w:bottom w:val="single" w:sz="4" w:space="0" w:color="000000"/>
              <w:right w:val="single" w:sz="4" w:space="0" w:color="000000"/>
            </w:tcBorders>
          </w:tcPr>
          <w:p w14:paraId="0000110C" w14:textId="77777777" w:rsidR="00CB4215" w:rsidRDefault="007E2DD6">
            <w:pPr>
              <w:spacing w:after="160" w:line="259" w:lineRule="auto"/>
              <w:rPr>
                <w:rFonts w:ascii="Times New Roman" w:eastAsia="Times New Roman" w:hAnsi="Times New Roman" w:cs="Times New Roman"/>
                <w:color w:val="000000"/>
                <w:sz w:val="24"/>
                <w:szCs w:val="24"/>
                <w:highlight w:val="white"/>
              </w:rPr>
            </w:pPr>
            <w:sdt>
              <w:sdtPr>
                <w:tag w:val="goog_rdk_207"/>
                <w:id w:val="44968421"/>
              </w:sdtPr>
              <w:sdtEndPr/>
              <w:sdtContent>
                <w:r w:rsidR="000530B4">
                  <w:rPr>
                    <w:rFonts w:ascii="Arial Unicode MS" w:eastAsia="Arial Unicode MS" w:hAnsi="Arial Unicode MS" w:cs="Arial Unicode MS"/>
                    <w:color w:val="000000"/>
                    <w:sz w:val="24"/>
                    <w:szCs w:val="24"/>
                    <w:highlight w:val="white"/>
                  </w:rPr>
                  <w:t>◻</w:t>
                </w:r>
              </w:sdtContent>
            </w:sdt>
          </w:p>
        </w:tc>
      </w:tr>
    </w:tbl>
    <w:p w14:paraId="0000110D"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10E"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Cleghorn, C. L., Harrison, R. A., </w:t>
      </w:r>
      <w:proofErr w:type="spellStart"/>
      <w:r>
        <w:rPr>
          <w:rFonts w:ascii="Times New Roman" w:eastAsia="Times New Roman" w:hAnsi="Times New Roman" w:cs="Times New Roman"/>
          <w:color w:val="000000"/>
          <w:sz w:val="24"/>
          <w:szCs w:val="24"/>
          <w:highlight w:val="white"/>
        </w:rPr>
        <w:t>Ransley</w:t>
      </w:r>
      <w:proofErr w:type="spellEnd"/>
      <w:r>
        <w:rPr>
          <w:rFonts w:ascii="Times New Roman" w:eastAsia="Times New Roman" w:hAnsi="Times New Roman" w:cs="Times New Roman"/>
          <w:color w:val="000000"/>
          <w:sz w:val="24"/>
          <w:szCs w:val="24"/>
          <w:highlight w:val="white"/>
        </w:rPr>
        <w:t xml:space="preserve">, J. K., Wilkinson, S., Thomas, J., &amp; Cade, J. E. (2016). Can a dietary quality score derived from a short-form FFQ assess dietary quality in UK adult population surveys? </w:t>
      </w:r>
      <w:r>
        <w:rPr>
          <w:rFonts w:ascii="Times New Roman" w:eastAsia="Times New Roman" w:hAnsi="Times New Roman" w:cs="Times New Roman"/>
          <w:i/>
          <w:color w:val="000000"/>
          <w:sz w:val="24"/>
          <w:szCs w:val="24"/>
          <w:highlight w:val="white"/>
        </w:rPr>
        <w:t>Public Health Nutrition</w:t>
      </w:r>
      <w:r>
        <w:rPr>
          <w:rFonts w:ascii="Times New Roman" w:eastAsia="Times New Roman" w:hAnsi="Times New Roman" w:cs="Times New Roman"/>
          <w:color w:val="000000"/>
          <w:sz w:val="24"/>
          <w:szCs w:val="24"/>
          <w:highlight w:val="white"/>
        </w:rPr>
        <w:t>, 19, 2915-2923.</w:t>
      </w:r>
    </w:p>
    <w:p w14:paraId="0000110F" w14:textId="77777777" w:rsidR="00CB4215" w:rsidRDefault="000530B4">
      <w:pPr>
        <w:pStyle w:val="Heading2"/>
        <w:rPr>
          <w:rFonts w:ascii="Times New Roman" w:eastAsia="Times New Roman" w:hAnsi="Times New Roman" w:cs="Times New Roman"/>
          <w:b/>
          <w:color w:val="000000"/>
          <w:sz w:val="24"/>
          <w:szCs w:val="24"/>
          <w:highlight w:val="white"/>
        </w:rPr>
      </w:pPr>
      <w:bookmarkStart w:id="147" w:name="_heading=h.2uxtw84" w:colFirst="0" w:colLast="0"/>
      <w:bookmarkStart w:id="148" w:name="_Toc172984842"/>
      <w:bookmarkEnd w:id="147"/>
      <w:r>
        <w:rPr>
          <w:rFonts w:ascii="Times New Roman" w:eastAsia="Times New Roman" w:hAnsi="Times New Roman" w:cs="Times New Roman"/>
          <w:b/>
          <w:color w:val="000000"/>
          <w:sz w:val="24"/>
          <w:szCs w:val="24"/>
          <w:highlight w:val="white"/>
        </w:rPr>
        <w:t>7. Perceived Stress Scale</w:t>
      </w:r>
      <w:bookmarkEnd w:id="148"/>
    </w:p>
    <w:p w14:paraId="00001110" w14:textId="77777777" w:rsidR="00CB4215" w:rsidRDefault="000530B4">
      <w:pP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The following items will be rated on a 5-point scale (never, almost never, sometimes, </w:t>
      </w:r>
      <w:proofErr w:type="gramStart"/>
      <w:r>
        <w:rPr>
          <w:rFonts w:ascii="Times New Roman" w:eastAsia="Times New Roman" w:hAnsi="Times New Roman" w:cs="Times New Roman"/>
          <w:color w:val="000000"/>
          <w:sz w:val="24"/>
          <w:szCs w:val="24"/>
          <w:highlight w:val="white"/>
        </w:rPr>
        <w:t>fairly often</w:t>
      </w:r>
      <w:proofErr w:type="gramEnd"/>
      <w:r>
        <w:rPr>
          <w:rFonts w:ascii="Times New Roman" w:eastAsia="Times New Roman" w:hAnsi="Times New Roman" w:cs="Times New Roman"/>
          <w:color w:val="000000"/>
          <w:sz w:val="24"/>
          <w:szCs w:val="24"/>
          <w:highlight w:val="white"/>
        </w:rPr>
        <w:t xml:space="preserve"> and very often). </w:t>
      </w:r>
    </w:p>
    <w:p w14:paraId="00001111" w14:textId="77777777" w:rsidR="00CB4215" w:rsidRDefault="000530B4">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 In the last two weeks, how often have you been upset because of something that happened unexpectedly? </w:t>
      </w:r>
    </w:p>
    <w:p w14:paraId="00001112" w14:textId="77777777" w:rsidR="00CB4215" w:rsidRDefault="000530B4">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 In the last two weeks, how often have you felt that you were unable to control the important things in your life?</w:t>
      </w:r>
    </w:p>
    <w:p w14:paraId="00001113" w14:textId="77777777" w:rsidR="00CB4215" w:rsidRDefault="000530B4">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 In the last two weeks, how often have you felt nervous and “stressed”?</w:t>
      </w:r>
    </w:p>
    <w:p w14:paraId="00001114" w14:textId="77777777" w:rsidR="00CB4215" w:rsidRDefault="000530B4">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 In the last two weeks, how often have you felt confident about your ability to handle your personal problems?</w:t>
      </w:r>
    </w:p>
    <w:p w14:paraId="00001115" w14:textId="77777777" w:rsidR="00CB4215" w:rsidRDefault="000530B4">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 In the last two weeks, how often have you felt that things were going your way?</w:t>
      </w:r>
    </w:p>
    <w:p w14:paraId="00001116" w14:textId="77777777" w:rsidR="00CB4215" w:rsidRDefault="000530B4">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6. In the last two weeks, how often have you found that you could not cope with all the things that you had to do?</w:t>
      </w:r>
    </w:p>
    <w:p w14:paraId="00001117" w14:textId="77777777" w:rsidR="00CB4215" w:rsidRDefault="000530B4">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 In the last two weeks, how often have you been able to control irritations in your life?</w:t>
      </w:r>
    </w:p>
    <w:p w14:paraId="00001118" w14:textId="77777777" w:rsidR="00CB4215" w:rsidRDefault="000530B4">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8. In the last two weeks, how often have you felt that you were on top of things?</w:t>
      </w:r>
    </w:p>
    <w:p w14:paraId="00001119" w14:textId="77777777" w:rsidR="00CB4215" w:rsidRDefault="000530B4">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9. In the last two weeks, how often have you been angered because of things that were outside of your control?</w:t>
      </w:r>
    </w:p>
    <w:p w14:paraId="0000111A" w14:textId="77777777" w:rsidR="00CB4215" w:rsidRDefault="000530B4">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10. In the last two weeks, how often have you felt difficulties were piling up so high that you could not overcome them?</w:t>
      </w:r>
    </w:p>
    <w:p w14:paraId="0000111B" w14:textId="77777777" w:rsidR="00CB4215" w:rsidRDefault="00CB4215">
      <w:pPr>
        <w:spacing w:after="160" w:line="259" w:lineRule="auto"/>
        <w:rPr>
          <w:rFonts w:ascii="Times New Roman" w:eastAsia="Times New Roman" w:hAnsi="Times New Roman" w:cs="Times New Roman"/>
          <w:color w:val="000000"/>
          <w:sz w:val="24"/>
          <w:szCs w:val="24"/>
          <w:highlight w:val="white"/>
        </w:rPr>
      </w:pPr>
    </w:p>
    <w:p w14:paraId="0000111C" w14:textId="77777777" w:rsidR="00CB4215" w:rsidRDefault="000530B4">
      <w:pP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Cohen, S., </w:t>
      </w:r>
      <w:proofErr w:type="spellStart"/>
      <w:r>
        <w:rPr>
          <w:rFonts w:ascii="Times New Roman" w:eastAsia="Times New Roman" w:hAnsi="Times New Roman" w:cs="Times New Roman"/>
          <w:color w:val="000000"/>
          <w:sz w:val="24"/>
          <w:szCs w:val="24"/>
          <w:highlight w:val="white"/>
        </w:rPr>
        <w:t>Kamarck</w:t>
      </w:r>
      <w:proofErr w:type="spellEnd"/>
      <w:r>
        <w:rPr>
          <w:rFonts w:ascii="Times New Roman" w:eastAsia="Times New Roman" w:hAnsi="Times New Roman" w:cs="Times New Roman"/>
          <w:color w:val="000000"/>
          <w:sz w:val="24"/>
          <w:szCs w:val="24"/>
          <w:highlight w:val="white"/>
        </w:rPr>
        <w:t xml:space="preserve">, T., &amp; </w:t>
      </w:r>
      <w:proofErr w:type="spellStart"/>
      <w:r>
        <w:rPr>
          <w:rFonts w:ascii="Times New Roman" w:eastAsia="Times New Roman" w:hAnsi="Times New Roman" w:cs="Times New Roman"/>
          <w:color w:val="000000"/>
          <w:sz w:val="24"/>
          <w:szCs w:val="24"/>
          <w:highlight w:val="white"/>
        </w:rPr>
        <w:t>Mermelstein</w:t>
      </w:r>
      <w:proofErr w:type="spellEnd"/>
      <w:r>
        <w:rPr>
          <w:rFonts w:ascii="Times New Roman" w:eastAsia="Times New Roman" w:hAnsi="Times New Roman" w:cs="Times New Roman"/>
          <w:color w:val="000000"/>
          <w:sz w:val="24"/>
          <w:szCs w:val="24"/>
          <w:highlight w:val="white"/>
        </w:rPr>
        <w:t>, R. (1983). Perceived stress scale [Database record]. </w:t>
      </w:r>
      <w:r>
        <w:rPr>
          <w:rFonts w:ascii="Times New Roman" w:eastAsia="Times New Roman" w:hAnsi="Times New Roman" w:cs="Times New Roman"/>
          <w:i/>
          <w:color w:val="000000"/>
          <w:sz w:val="24"/>
          <w:szCs w:val="24"/>
          <w:highlight w:val="white"/>
        </w:rPr>
        <w:t xml:space="preserve">APA </w:t>
      </w:r>
      <w:proofErr w:type="spellStart"/>
      <w:r>
        <w:rPr>
          <w:rFonts w:ascii="Times New Roman" w:eastAsia="Times New Roman" w:hAnsi="Times New Roman" w:cs="Times New Roman"/>
          <w:i/>
          <w:color w:val="000000"/>
          <w:sz w:val="24"/>
          <w:szCs w:val="24"/>
          <w:highlight w:val="white"/>
        </w:rPr>
        <w:t>PsycTests</w:t>
      </w:r>
      <w:proofErr w:type="spellEnd"/>
      <w:r>
        <w:rPr>
          <w:rFonts w:ascii="Times New Roman" w:eastAsia="Times New Roman" w:hAnsi="Times New Roman" w:cs="Times New Roman"/>
          <w:color w:val="000000"/>
          <w:sz w:val="24"/>
          <w:szCs w:val="24"/>
          <w:highlight w:val="white"/>
        </w:rPr>
        <w:t>, 10.</w:t>
      </w:r>
    </w:p>
    <w:p w14:paraId="0000111D" w14:textId="77777777" w:rsidR="00CB4215" w:rsidRDefault="000530B4">
      <w:pPr>
        <w:pStyle w:val="Heading2"/>
        <w:rPr>
          <w:rFonts w:ascii="Times New Roman" w:eastAsia="Times New Roman" w:hAnsi="Times New Roman" w:cs="Times New Roman"/>
          <w:b/>
          <w:color w:val="000000"/>
          <w:sz w:val="24"/>
          <w:szCs w:val="24"/>
        </w:rPr>
      </w:pPr>
      <w:bookmarkStart w:id="149" w:name="_heading=h.1a346fx" w:colFirst="0" w:colLast="0"/>
      <w:bookmarkStart w:id="150" w:name="_Toc172984843"/>
      <w:bookmarkEnd w:id="149"/>
      <w:r>
        <w:rPr>
          <w:rFonts w:ascii="Times New Roman" w:eastAsia="Times New Roman" w:hAnsi="Times New Roman" w:cs="Times New Roman"/>
          <w:b/>
          <w:color w:val="000000"/>
          <w:sz w:val="24"/>
          <w:szCs w:val="24"/>
        </w:rPr>
        <w:t>8. Night Eating Questionnaire</w:t>
      </w:r>
      <w:bookmarkEnd w:id="150"/>
    </w:p>
    <w:p w14:paraId="0000111E"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How hungry are you usually in the morning?</w:t>
      </w:r>
    </w:p>
    <w:p w14:paraId="0000111F"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20"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at all    A little       Somewhat        Moderately      Very</w:t>
      </w:r>
    </w:p>
    <w:p w14:paraId="00001121"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When do you usually eat for the first time?</w:t>
      </w:r>
    </w:p>
    <w:p w14:paraId="00001122"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23"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Before 9 am         9:01 to 12 pm       12:01 to 3 pm            3:01 to 6 pm           6:01 or later</w:t>
      </w:r>
    </w:p>
    <w:p w14:paraId="00001124"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Do you have cravings or urges to eat snacks after supper, but before bedtime?</w:t>
      </w:r>
    </w:p>
    <w:p w14:paraId="00001125"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26"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at all    A little        Somewhat          Very much so           Extremely so</w:t>
      </w:r>
    </w:p>
    <w:p w14:paraId="00001127"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How much control do you have over your eating between supper and bedtime?</w:t>
      </w:r>
    </w:p>
    <w:p w14:paraId="00001128"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29" w14:textId="77777777" w:rsidR="00CB4215" w:rsidRDefault="000530B4">
      <w:pPr>
        <w:spacing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None at all</w:t>
      </w:r>
      <w:proofErr w:type="gramEnd"/>
      <w:r>
        <w:rPr>
          <w:rFonts w:ascii="Times New Roman" w:eastAsia="Times New Roman" w:hAnsi="Times New Roman" w:cs="Times New Roman"/>
          <w:color w:val="000000"/>
          <w:sz w:val="24"/>
          <w:szCs w:val="24"/>
        </w:rPr>
        <w:t>      A little         Some             Very much                 Complete</w:t>
      </w:r>
    </w:p>
    <w:p w14:paraId="0000112A"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How much of your daily food intake do you consume after suppertime?</w:t>
      </w:r>
    </w:p>
    <w:p w14:paraId="0000112B"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2C"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1–25%           26–50%               51–75%            76–100%</w:t>
      </w:r>
    </w:p>
    <w:p w14:paraId="0000112D" w14:textId="42AD84F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proofErr w:type="gramStart"/>
      <w:r w:rsidR="00726876">
        <w:rPr>
          <w:rFonts w:ascii="Times New Roman" w:eastAsia="Times New Roman" w:hAnsi="Times New Roman" w:cs="Times New Roman"/>
          <w:color w:val="000000"/>
          <w:sz w:val="24"/>
          <w:szCs w:val="24"/>
        </w:rPr>
        <w:t xml:space="preserve">none)  </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(up to a quarter) (about half)      (more than half)   (almost all)</w:t>
      </w:r>
    </w:p>
    <w:p w14:paraId="0000112E"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Are you currently feeling blue or down in the dumps?</w:t>
      </w:r>
    </w:p>
    <w:p w14:paraId="0000112F"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30"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at all          A little            Somewhat        Very much so        Extremely</w:t>
      </w:r>
    </w:p>
    <w:p w14:paraId="00001131"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When you are feeling blue, is your mood lower in the:</w:t>
      </w:r>
    </w:p>
    <w:p w14:paraId="00001132"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33"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Early morning     Late morning          Afternoon           Early evening           Late evening/</w:t>
      </w:r>
      <w:proofErr w:type="spellStart"/>
      <w:r>
        <w:rPr>
          <w:rFonts w:ascii="Times New Roman" w:eastAsia="Times New Roman" w:hAnsi="Times New Roman" w:cs="Times New Roman"/>
          <w:color w:val="000000"/>
          <w:sz w:val="24"/>
          <w:szCs w:val="24"/>
        </w:rPr>
        <w:t>nighttime</w:t>
      </w:r>
      <w:proofErr w:type="spellEnd"/>
    </w:p>
    <w:p w14:paraId="00001134"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____check if your mood does not change during the day</w:t>
      </w:r>
    </w:p>
    <w:p w14:paraId="00001135"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How often do you have trouble getting to sleep?</w:t>
      </w:r>
    </w:p>
    <w:p w14:paraId="00001136"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37"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Never           Sometimes              About half </w:t>
      </w:r>
      <w:proofErr w:type="spellStart"/>
      <w:r>
        <w:rPr>
          <w:rFonts w:ascii="Times New Roman" w:eastAsia="Times New Roman" w:hAnsi="Times New Roman" w:cs="Times New Roman"/>
          <w:color w:val="000000"/>
          <w:sz w:val="24"/>
          <w:szCs w:val="24"/>
        </w:rPr>
        <w:t>thetime</w:t>
      </w:r>
      <w:proofErr w:type="spellEnd"/>
      <w:r>
        <w:rPr>
          <w:rFonts w:ascii="Times New Roman" w:eastAsia="Times New Roman" w:hAnsi="Times New Roman" w:cs="Times New Roman"/>
          <w:color w:val="000000"/>
          <w:sz w:val="24"/>
          <w:szCs w:val="24"/>
        </w:rPr>
        <w:t>            Usually              Always</w:t>
      </w:r>
    </w:p>
    <w:p w14:paraId="00001138"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Other than only to use the bathroom, how often do you get up at least once in the middle of the night?</w:t>
      </w:r>
    </w:p>
    <w:p w14:paraId="00001139"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3A"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Never        Less than once a week      About once a week       More than once a week   Every night</w:t>
      </w:r>
    </w:p>
    <w:p w14:paraId="0000113B"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IF 0 on #9, PLEASE STOP HERE ⁎⁎⁎⁎⁎⁎⁎⁎⁎⁎⁎⁎⁎⁎⁎⁎</w:t>
      </w:r>
    </w:p>
    <w:p w14:paraId="0000113C"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Do you have cravings or urges to eat snacks when you wake up at night?</w:t>
      </w:r>
    </w:p>
    <w:p w14:paraId="0000113D"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3E"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at all          A little         Somewhat            Very much so              Extremely so</w:t>
      </w:r>
    </w:p>
    <w:p w14:paraId="0000113F"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Do you need to eat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get back to sleep when you awake at night?</w:t>
      </w:r>
    </w:p>
    <w:p w14:paraId="00001140"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41"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at all          A little          Somewhat             Very much so              Extremely so</w:t>
      </w:r>
    </w:p>
    <w:p w14:paraId="00001142"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When you get up in the middle of the night, how often do you snack?</w:t>
      </w:r>
    </w:p>
    <w:p w14:paraId="00001143"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44"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Never            Sometimes       About half the time         Usually              Always</w:t>
      </w:r>
    </w:p>
    <w:p w14:paraId="00001145"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IF 0 on #12, PLEASE STOP HERE ⁎⁎⁎⁎⁎⁎⁎⁎⁎⁎⁎⁎⁎⁎⁎⁎</w:t>
      </w:r>
    </w:p>
    <w:p w14:paraId="00001146"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When you snack in the middle of the night, how aware are you of your eating?</w:t>
      </w:r>
    </w:p>
    <w:p w14:paraId="00001147"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48"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at all       A little         Somewhat            Very much so             Completely</w:t>
      </w:r>
    </w:p>
    <w:p w14:paraId="00001149"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How much control do you have over your eating while you are up at night?</w:t>
      </w:r>
    </w:p>
    <w:p w14:paraId="0000114A"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0                                 1                 2                          3                               4</w:t>
      </w:r>
    </w:p>
    <w:p w14:paraId="0000114B" w14:textId="77777777" w:rsidR="00CB4215" w:rsidRDefault="000530B4">
      <w:pPr>
        <w:spacing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None at all</w:t>
      </w:r>
      <w:proofErr w:type="gramEnd"/>
      <w:r>
        <w:rPr>
          <w:rFonts w:ascii="Times New Roman" w:eastAsia="Times New Roman" w:hAnsi="Times New Roman" w:cs="Times New Roman"/>
          <w:color w:val="000000"/>
          <w:sz w:val="24"/>
          <w:szCs w:val="24"/>
        </w:rPr>
        <w:t xml:space="preserve">           A little          Some              Very much              Complete</w:t>
      </w:r>
    </w:p>
    <w:p w14:paraId="0000114C"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long have your current difficulties with night eating been going </w:t>
      </w:r>
      <w:proofErr w:type="gramStart"/>
      <w:r>
        <w:rPr>
          <w:rFonts w:ascii="Times New Roman" w:eastAsia="Times New Roman" w:hAnsi="Times New Roman" w:cs="Times New Roman"/>
          <w:color w:val="000000"/>
          <w:sz w:val="24"/>
          <w:szCs w:val="24"/>
        </w:rPr>
        <w:t>on?⁎</w:t>
      </w:r>
      <w:proofErr w:type="gramEnd"/>
      <w:r>
        <w:rPr>
          <w:rFonts w:ascii="Times New Roman" w:eastAsia="Times New Roman" w:hAnsi="Times New Roman" w:cs="Times New Roman"/>
          <w:color w:val="000000"/>
          <w:sz w:val="24"/>
          <w:szCs w:val="24"/>
        </w:rPr>
        <w:t>⁎</w:t>
      </w:r>
    </w:p>
    <w:p w14:paraId="0000114D"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 mos. _____ years</w:t>
      </w:r>
    </w:p>
    <w:p w14:paraId="0000114E" w14:textId="77777777" w:rsidR="00CB4215" w:rsidRDefault="00CB4215">
      <w:pPr>
        <w:rPr>
          <w:rFonts w:ascii="Quattrocento Sans" w:eastAsia="Quattrocento Sans" w:hAnsi="Quattrocento Sans" w:cs="Quattrocento Sans"/>
          <w:color w:val="000000"/>
          <w:highlight w:val="white"/>
        </w:rPr>
      </w:pPr>
    </w:p>
    <w:p w14:paraId="0000114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Allison, K. C., Lundgren, J. D., </w:t>
      </w:r>
      <w:proofErr w:type="spellStart"/>
      <w:r>
        <w:rPr>
          <w:rFonts w:ascii="Times New Roman" w:eastAsia="Times New Roman" w:hAnsi="Times New Roman" w:cs="Times New Roman"/>
          <w:color w:val="000000"/>
          <w:sz w:val="24"/>
          <w:szCs w:val="24"/>
          <w:highlight w:val="white"/>
        </w:rPr>
        <w:t>O'Reardon</w:t>
      </w:r>
      <w:proofErr w:type="spellEnd"/>
      <w:r>
        <w:rPr>
          <w:rFonts w:ascii="Times New Roman" w:eastAsia="Times New Roman" w:hAnsi="Times New Roman" w:cs="Times New Roman"/>
          <w:color w:val="000000"/>
          <w:sz w:val="24"/>
          <w:szCs w:val="24"/>
          <w:highlight w:val="white"/>
        </w:rPr>
        <w:t xml:space="preserve">, J. P., Martino, N. S., </w:t>
      </w:r>
      <w:proofErr w:type="spellStart"/>
      <w:r>
        <w:rPr>
          <w:rFonts w:ascii="Times New Roman" w:eastAsia="Times New Roman" w:hAnsi="Times New Roman" w:cs="Times New Roman"/>
          <w:color w:val="000000"/>
          <w:sz w:val="24"/>
          <w:szCs w:val="24"/>
          <w:highlight w:val="white"/>
        </w:rPr>
        <w:t>Sarwer</w:t>
      </w:r>
      <w:proofErr w:type="spellEnd"/>
      <w:r>
        <w:rPr>
          <w:rFonts w:ascii="Times New Roman" w:eastAsia="Times New Roman" w:hAnsi="Times New Roman" w:cs="Times New Roman"/>
          <w:color w:val="000000"/>
          <w:sz w:val="24"/>
          <w:szCs w:val="24"/>
          <w:highlight w:val="white"/>
        </w:rPr>
        <w:t xml:space="preserve">, D. B., </w:t>
      </w:r>
      <w:proofErr w:type="spellStart"/>
      <w:r>
        <w:rPr>
          <w:rFonts w:ascii="Times New Roman" w:eastAsia="Times New Roman" w:hAnsi="Times New Roman" w:cs="Times New Roman"/>
          <w:color w:val="000000"/>
          <w:sz w:val="24"/>
          <w:szCs w:val="24"/>
          <w:highlight w:val="white"/>
        </w:rPr>
        <w:t>Wadden</w:t>
      </w:r>
      <w:proofErr w:type="spellEnd"/>
      <w:r>
        <w:rPr>
          <w:rFonts w:ascii="Times New Roman" w:eastAsia="Times New Roman" w:hAnsi="Times New Roman" w:cs="Times New Roman"/>
          <w:color w:val="000000"/>
          <w:sz w:val="24"/>
          <w:szCs w:val="24"/>
          <w:highlight w:val="white"/>
        </w:rPr>
        <w:t xml:space="preserve">, T. A., Crosby, R. D., Engel, S. G., &amp; </w:t>
      </w:r>
      <w:proofErr w:type="spellStart"/>
      <w:r>
        <w:rPr>
          <w:rFonts w:ascii="Times New Roman" w:eastAsia="Times New Roman" w:hAnsi="Times New Roman" w:cs="Times New Roman"/>
          <w:color w:val="000000"/>
          <w:sz w:val="24"/>
          <w:szCs w:val="24"/>
          <w:highlight w:val="white"/>
        </w:rPr>
        <w:t>Stunkard</w:t>
      </w:r>
      <w:proofErr w:type="spellEnd"/>
      <w:r>
        <w:rPr>
          <w:rFonts w:ascii="Times New Roman" w:eastAsia="Times New Roman" w:hAnsi="Times New Roman" w:cs="Times New Roman"/>
          <w:color w:val="000000"/>
          <w:sz w:val="24"/>
          <w:szCs w:val="24"/>
          <w:highlight w:val="white"/>
        </w:rPr>
        <w:t>, A. J. (2008). The Night Eating Questionnaire (NEQ): psychometric properties of a measure of severity of the Night Eating Syndrome. </w:t>
      </w:r>
      <w:r>
        <w:rPr>
          <w:rFonts w:ascii="Times New Roman" w:eastAsia="Times New Roman" w:hAnsi="Times New Roman" w:cs="Times New Roman"/>
          <w:i/>
          <w:color w:val="000000"/>
          <w:sz w:val="24"/>
          <w:szCs w:val="24"/>
          <w:highlight w:val="white"/>
        </w:rPr>
        <w:t xml:space="preserve">Eating </w:t>
      </w:r>
      <w:proofErr w:type="spellStart"/>
      <w:r>
        <w:rPr>
          <w:rFonts w:ascii="Times New Roman" w:eastAsia="Times New Roman" w:hAnsi="Times New Roman" w:cs="Times New Roman"/>
          <w:i/>
          <w:color w:val="000000"/>
          <w:sz w:val="24"/>
          <w:szCs w:val="24"/>
          <w:highlight w:val="white"/>
        </w:rPr>
        <w:t>behaviors</w:t>
      </w:r>
      <w:proofErr w:type="spellEnd"/>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9</w:t>
      </w:r>
      <w:r>
        <w:rPr>
          <w:rFonts w:ascii="Times New Roman" w:eastAsia="Times New Roman" w:hAnsi="Times New Roman" w:cs="Times New Roman"/>
          <w:color w:val="000000"/>
          <w:sz w:val="24"/>
          <w:szCs w:val="24"/>
          <w:highlight w:val="white"/>
        </w:rPr>
        <w:t>(1), 62–72.</w:t>
      </w:r>
    </w:p>
    <w:p w14:paraId="00001150" w14:textId="39765B6C" w:rsidR="00CB4215" w:rsidRDefault="00CB4215">
      <w:pPr>
        <w:spacing w:after="160" w:line="259" w:lineRule="auto"/>
        <w:rPr>
          <w:rFonts w:ascii="Times New Roman" w:eastAsia="Times New Roman" w:hAnsi="Times New Roman" w:cs="Times New Roman"/>
          <w:b/>
          <w:color w:val="000000"/>
          <w:sz w:val="24"/>
          <w:szCs w:val="24"/>
        </w:rPr>
      </w:pPr>
    </w:p>
    <w:p w14:paraId="0C9E1EBF" w14:textId="77777777" w:rsidR="000E4FE6" w:rsidRDefault="000E4FE6">
      <w:pPr>
        <w:spacing w:after="160" w:line="259" w:lineRule="auto"/>
        <w:rPr>
          <w:rFonts w:ascii="Times New Roman" w:eastAsia="Times New Roman" w:hAnsi="Times New Roman" w:cs="Times New Roman"/>
          <w:b/>
          <w:color w:val="000000"/>
          <w:sz w:val="24"/>
          <w:szCs w:val="24"/>
        </w:rPr>
      </w:pPr>
    </w:p>
    <w:p w14:paraId="00001152" w14:textId="225B175F" w:rsidR="00CB4215" w:rsidRPr="0064076D" w:rsidRDefault="000530B4" w:rsidP="0064076D">
      <w:pPr>
        <w:pStyle w:val="Heading1"/>
        <w:rPr>
          <w:rFonts w:ascii="Times New Roman" w:eastAsia="Times New Roman" w:hAnsi="Times New Roman" w:cs="Times New Roman"/>
          <w:b/>
          <w:color w:val="000000"/>
        </w:rPr>
      </w:pPr>
      <w:bookmarkStart w:id="151" w:name="_Toc172984844"/>
      <w:r>
        <w:rPr>
          <w:rFonts w:ascii="Times New Roman" w:eastAsia="Times New Roman" w:hAnsi="Times New Roman" w:cs="Times New Roman"/>
          <w:b/>
          <w:color w:val="000000"/>
        </w:rPr>
        <w:lastRenderedPageBreak/>
        <w:t>Appendix B Supplementary material for Study 1 (Chapter 4)</w:t>
      </w:r>
      <w:bookmarkEnd w:id="151"/>
    </w:p>
    <w:p w14:paraId="00001153" w14:textId="77777777" w:rsidR="00CB4215" w:rsidRDefault="00CB4215">
      <w:pPr>
        <w:spacing w:line="240" w:lineRule="auto"/>
        <w:rPr>
          <w:rFonts w:ascii="Times New Roman" w:eastAsia="Times New Roman" w:hAnsi="Times New Roman" w:cs="Times New Roman"/>
          <w:color w:val="000000"/>
          <w:sz w:val="24"/>
          <w:szCs w:val="24"/>
        </w:rPr>
      </w:pPr>
    </w:p>
    <w:p w14:paraId="00001154" w14:textId="77777777" w:rsidR="00CB4215" w:rsidRPr="0064076D" w:rsidRDefault="000530B4">
      <w:pPr>
        <w:spacing w:line="240" w:lineRule="auto"/>
        <w:rPr>
          <w:rFonts w:ascii="Times New Roman" w:eastAsia="Times New Roman" w:hAnsi="Times New Roman" w:cs="Times New Roman"/>
          <w:bCs/>
          <w:color w:val="000000"/>
          <w:sz w:val="20"/>
          <w:szCs w:val="20"/>
        </w:rPr>
      </w:pPr>
      <w:r w:rsidRPr="0064076D">
        <w:rPr>
          <w:rFonts w:ascii="Times New Roman" w:eastAsia="Times New Roman" w:hAnsi="Times New Roman" w:cs="Times New Roman"/>
          <w:bCs/>
          <w:i/>
          <w:iCs/>
          <w:color w:val="000000"/>
          <w:sz w:val="20"/>
          <w:szCs w:val="20"/>
        </w:rPr>
        <w:t>Table S1.</w:t>
      </w:r>
      <w:r w:rsidRPr="0064076D">
        <w:rPr>
          <w:rFonts w:ascii="Times New Roman" w:eastAsia="Times New Roman" w:hAnsi="Times New Roman" w:cs="Times New Roman"/>
          <w:bCs/>
          <w:color w:val="000000"/>
          <w:sz w:val="20"/>
          <w:szCs w:val="20"/>
        </w:rPr>
        <w:t> Comparison of eating behaviour traits in 3 snack chaotic eating groups </w:t>
      </w:r>
    </w:p>
    <w:tbl>
      <w:tblPr>
        <w:tblStyle w:val="afa"/>
        <w:tblW w:w="9029" w:type="dxa"/>
        <w:tblLayout w:type="fixed"/>
        <w:tblLook w:val="0400" w:firstRow="0" w:lastRow="0" w:firstColumn="0" w:lastColumn="0" w:noHBand="0" w:noVBand="1"/>
      </w:tblPr>
      <w:tblGrid>
        <w:gridCol w:w="1476"/>
        <w:gridCol w:w="585"/>
        <w:gridCol w:w="585"/>
        <w:gridCol w:w="695"/>
        <w:gridCol w:w="995"/>
        <w:gridCol w:w="987"/>
        <w:gridCol w:w="977"/>
        <w:gridCol w:w="887"/>
        <w:gridCol w:w="925"/>
        <w:gridCol w:w="917"/>
      </w:tblGrid>
      <w:tr w:rsidR="00CB4215" w14:paraId="56102100" w14:textId="77777777">
        <w:trPr>
          <w:trHeight w:val="420"/>
        </w:trPr>
        <w:tc>
          <w:tcPr>
            <w:tcW w:w="3341" w:type="dxa"/>
            <w:gridSpan w:val="4"/>
            <w:tcBorders>
              <w:top w:val="single" w:sz="4" w:space="0" w:color="000000"/>
            </w:tcBorders>
            <w:tcMar>
              <w:top w:w="100" w:type="dxa"/>
              <w:left w:w="100" w:type="dxa"/>
              <w:bottom w:w="100" w:type="dxa"/>
              <w:right w:w="100" w:type="dxa"/>
            </w:tcMar>
          </w:tcPr>
          <w:p w14:paraId="00001155" w14:textId="77777777" w:rsidR="00CB4215" w:rsidRDefault="00CB4215">
            <w:pPr>
              <w:spacing w:line="240" w:lineRule="auto"/>
              <w:rPr>
                <w:rFonts w:ascii="Times New Roman" w:eastAsia="Times New Roman" w:hAnsi="Times New Roman" w:cs="Times New Roman"/>
                <w:color w:val="000000"/>
              </w:rPr>
            </w:pPr>
          </w:p>
        </w:tc>
        <w:tc>
          <w:tcPr>
            <w:tcW w:w="1982" w:type="dxa"/>
            <w:gridSpan w:val="2"/>
            <w:tcBorders>
              <w:top w:val="single" w:sz="4" w:space="0" w:color="000000"/>
              <w:bottom w:val="single" w:sz="4" w:space="0" w:color="000000"/>
            </w:tcBorders>
            <w:tcMar>
              <w:top w:w="100" w:type="dxa"/>
              <w:left w:w="100" w:type="dxa"/>
              <w:bottom w:w="100" w:type="dxa"/>
              <w:right w:w="100" w:type="dxa"/>
            </w:tcMar>
          </w:tcPr>
          <w:p w14:paraId="0000115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snack consumption eaters</w:t>
            </w:r>
          </w:p>
          <w:p w14:paraId="0000115A"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(n=56)</w:t>
            </w:r>
          </w:p>
        </w:tc>
        <w:tc>
          <w:tcPr>
            <w:tcW w:w="1864" w:type="dxa"/>
            <w:gridSpan w:val="2"/>
            <w:tcBorders>
              <w:top w:val="single" w:sz="4" w:space="0" w:color="000000"/>
              <w:bottom w:val="single" w:sz="4" w:space="0" w:color="000000"/>
            </w:tcBorders>
            <w:tcMar>
              <w:top w:w="100" w:type="dxa"/>
              <w:left w:w="100" w:type="dxa"/>
              <w:bottom w:w="100" w:type="dxa"/>
              <w:right w:w="100" w:type="dxa"/>
            </w:tcMar>
          </w:tcPr>
          <w:p w14:paraId="0000115C"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Low snack chaotic eaters</w:t>
            </w:r>
          </w:p>
          <w:p w14:paraId="0000115D"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(0.5-1)</w:t>
            </w:r>
          </w:p>
          <w:p w14:paraId="0000115E"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(n=140)</w:t>
            </w:r>
          </w:p>
        </w:tc>
        <w:tc>
          <w:tcPr>
            <w:tcW w:w="1842" w:type="dxa"/>
            <w:gridSpan w:val="2"/>
            <w:tcBorders>
              <w:top w:val="single" w:sz="4" w:space="0" w:color="000000"/>
              <w:bottom w:val="single" w:sz="4" w:space="0" w:color="000000"/>
            </w:tcBorders>
            <w:tcMar>
              <w:top w:w="100" w:type="dxa"/>
              <w:left w:w="100" w:type="dxa"/>
              <w:bottom w:w="100" w:type="dxa"/>
              <w:right w:w="100" w:type="dxa"/>
            </w:tcMar>
          </w:tcPr>
          <w:p w14:paraId="00001160"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snack chaotic eaters</w:t>
            </w:r>
          </w:p>
          <w:p w14:paraId="00001161"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(1.25-4)</w:t>
            </w:r>
          </w:p>
          <w:p w14:paraId="00001162"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(n=56)</w:t>
            </w:r>
          </w:p>
        </w:tc>
      </w:tr>
      <w:tr w:rsidR="00CB4215" w14:paraId="43CEE5E6" w14:textId="77777777">
        <w:tc>
          <w:tcPr>
            <w:tcW w:w="1476" w:type="dxa"/>
            <w:tcBorders>
              <w:bottom w:val="single" w:sz="4" w:space="0" w:color="000000"/>
            </w:tcBorders>
            <w:tcMar>
              <w:top w:w="100" w:type="dxa"/>
              <w:left w:w="100" w:type="dxa"/>
              <w:bottom w:w="100" w:type="dxa"/>
              <w:right w:w="100" w:type="dxa"/>
            </w:tcMar>
          </w:tcPr>
          <w:p w14:paraId="00001164"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Dependent variable</w:t>
            </w:r>
          </w:p>
        </w:tc>
        <w:tc>
          <w:tcPr>
            <w:tcW w:w="585" w:type="dxa"/>
            <w:tcBorders>
              <w:bottom w:val="single" w:sz="4" w:space="0" w:color="000000"/>
            </w:tcBorders>
            <w:tcMar>
              <w:top w:w="100" w:type="dxa"/>
              <w:left w:w="100" w:type="dxa"/>
              <w:bottom w:w="100" w:type="dxa"/>
              <w:right w:w="100" w:type="dxa"/>
            </w:tcMar>
          </w:tcPr>
          <w:p w14:paraId="00001165"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w:t>
            </w:r>
          </w:p>
        </w:tc>
        <w:tc>
          <w:tcPr>
            <w:tcW w:w="585" w:type="dxa"/>
            <w:tcBorders>
              <w:bottom w:val="single" w:sz="4" w:space="0" w:color="000000"/>
            </w:tcBorders>
            <w:tcMar>
              <w:top w:w="100" w:type="dxa"/>
              <w:left w:w="100" w:type="dxa"/>
              <w:bottom w:w="100" w:type="dxa"/>
              <w:right w:w="100" w:type="dxa"/>
            </w:tcMar>
          </w:tcPr>
          <w:p w14:paraId="00001166"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p>
        </w:tc>
        <w:tc>
          <w:tcPr>
            <w:tcW w:w="695" w:type="dxa"/>
            <w:tcBorders>
              <w:bottom w:val="single" w:sz="4" w:space="0" w:color="000000"/>
            </w:tcBorders>
            <w:tcMar>
              <w:top w:w="100" w:type="dxa"/>
              <w:left w:w="100" w:type="dxa"/>
              <w:bottom w:w="100" w:type="dxa"/>
              <w:right w:w="100" w:type="dxa"/>
            </w:tcMar>
          </w:tcPr>
          <w:p w14:paraId="00001167"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i/>
                <w:color w:val="000000"/>
                <w:highlight w:val="white"/>
              </w:rPr>
              <w:t>η2</w:t>
            </w:r>
          </w:p>
        </w:tc>
        <w:tc>
          <w:tcPr>
            <w:tcW w:w="995" w:type="dxa"/>
            <w:tcBorders>
              <w:top w:val="single" w:sz="4" w:space="0" w:color="000000"/>
              <w:bottom w:val="single" w:sz="4" w:space="0" w:color="000000"/>
            </w:tcBorders>
            <w:tcMar>
              <w:top w:w="100" w:type="dxa"/>
              <w:left w:w="100" w:type="dxa"/>
              <w:bottom w:w="100" w:type="dxa"/>
              <w:right w:w="100" w:type="dxa"/>
            </w:tcMar>
          </w:tcPr>
          <w:p w14:paraId="00001168"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987" w:type="dxa"/>
            <w:tcBorders>
              <w:top w:val="single" w:sz="4" w:space="0" w:color="000000"/>
              <w:bottom w:val="single" w:sz="4" w:space="0" w:color="000000"/>
            </w:tcBorders>
            <w:tcMar>
              <w:top w:w="100" w:type="dxa"/>
              <w:left w:w="100" w:type="dxa"/>
              <w:bottom w:w="100" w:type="dxa"/>
              <w:right w:w="100" w:type="dxa"/>
            </w:tcMar>
          </w:tcPr>
          <w:p w14:paraId="0000116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c>
          <w:tcPr>
            <w:tcW w:w="977" w:type="dxa"/>
            <w:tcBorders>
              <w:top w:val="single" w:sz="4" w:space="0" w:color="000000"/>
              <w:bottom w:val="single" w:sz="4" w:space="0" w:color="000000"/>
            </w:tcBorders>
            <w:tcMar>
              <w:top w:w="100" w:type="dxa"/>
              <w:left w:w="100" w:type="dxa"/>
              <w:bottom w:w="100" w:type="dxa"/>
              <w:right w:w="100" w:type="dxa"/>
            </w:tcMar>
          </w:tcPr>
          <w:p w14:paraId="0000116A"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887" w:type="dxa"/>
            <w:tcBorders>
              <w:top w:val="single" w:sz="4" w:space="0" w:color="000000"/>
              <w:bottom w:val="single" w:sz="4" w:space="0" w:color="000000"/>
            </w:tcBorders>
            <w:tcMar>
              <w:top w:w="100" w:type="dxa"/>
              <w:left w:w="100" w:type="dxa"/>
              <w:bottom w:w="100" w:type="dxa"/>
              <w:right w:w="100" w:type="dxa"/>
            </w:tcMar>
          </w:tcPr>
          <w:p w14:paraId="0000116B"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c>
          <w:tcPr>
            <w:tcW w:w="925" w:type="dxa"/>
            <w:tcBorders>
              <w:top w:val="single" w:sz="4" w:space="0" w:color="000000"/>
              <w:bottom w:val="single" w:sz="4" w:space="0" w:color="000000"/>
            </w:tcBorders>
            <w:tcMar>
              <w:top w:w="100" w:type="dxa"/>
              <w:left w:w="100" w:type="dxa"/>
              <w:bottom w:w="100" w:type="dxa"/>
              <w:right w:w="100" w:type="dxa"/>
            </w:tcMar>
          </w:tcPr>
          <w:p w14:paraId="0000116C"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917" w:type="dxa"/>
            <w:tcBorders>
              <w:top w:val="single" w:sz="4" w:space="0" w:color="000000"/>
              <w:bottom w:val="single" w:sz="4" w:space="0" w:color="000000"/>
            </w:tcBorders>
            <w:tcMar>
              <w:top w:w="100" w:type="dxa"/>
              <w:left w:w="100" w:type="dxa"/>
              <w:bottom w:w="100" w:type="dxa"/>
              <w:right w:w="100" w:type="dxa"/>
            </w:tcMar>
          </w:tcPr>
          <w:p w14:paraId="0000116D"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r>
      <w:tr w:rsidR="00CB4215" w:rsidRPr="00487DB1" w14:paraId="73568DC8" w14:textId="77777777" w:rsidTr="00487DB1">
        <w:trPr>
          <w:trHeight w:val="65"/>
        </w:trPr>
        <w:tc>
          <w:tcPr>
            <w:tcW w:w="1476" w:type="dxa"/>
            <w:tcBorders>
              <w:top w:val="single" w:sz="4" w:space="0" w:color="000000"/>
            </w:tcBorders>
            <w:shd w:val="clear" w:color="auto" w:fill="FFFF00"/>
            <w:tcMar>
              <w:top w:w="100" w:type="dxa"/>
              <w:left w:w="100" w:type="dxa"/>
              <w:bottom w:w="100" w:type="dxa"/>
              <w:right w:w="100" w:type="dxa"/>
            </w:tcMar>
          </w:tcPr>
          <w:p w14:paraId="0000116E" w14:textId="153BFD70" w:rsidR="00CB4215" w:rsidRPr="00487DB1" w:rsidRDefault="000530B4">
            <w:pPr>
              <w:spacing w:line="240" w:lineRule="auto"/>
              <w:rPr>
                <w:rFonts w:ascii="Times New Roman" w:eastAsia="Times New Roman" w:hAnsi="Times New Roman" w:cs="Times New Roman"/>
                <w:b/>
                <w:bCs/>
                <w:color w:val="000000"/>
              </w:rPr>
            </w:pPr>
            <w:r w:rsidRPr="00487DB1">
              <w:rPr>
                <w:rFonts w:ascii="Times New Roman" w:eastAsia="Times New Roman" w:hAnsi="Times New Roman" w:cs="Times New Roman"/>
                <w:b/>
                <w:bCs/>
                <w:color w:val="000000"/>
              </w:rPr>
              <w:t>C</w:t>
            </w:r>
            <w:r w:rsidR="000E4FE6" w:rsidRPr="00487DB1">
              <w:rPr>
                <w:rFonts w:ascii="Times New Roman" w:eastAsia="Times New Roman" w:hAnsi="Times New Roman" w:cs="Times New Roman"/>
                <w:b/>
                <w:bCs/>
                <w:color w:val="000000"/>
              </w:rPr>
              <w:t>O</w:t>
            </w:r>
            <w:r w:rsidRPr="00487DB1">
              <w:rPr>
                <w:rFonts w:ascii="Times New Roman" w:eastAsia="Times New Roman" w:hAnsi="Times New Roman" w:cs="Times New Roman"/>
                <w:b/>
                <w:bCs/>
                <w:color w:val="000000"/>
              </w:rPr>
              <w:t>EQ-CC</w:t>
            </w:r>
          </w:p>
        </w:tc>
        <w:tc>
          <w:tcPr>
            <w:tcW w:w="585" w:type="dxa"/>
            <w:tcBorders>
              <w:top w:val="single" w:sz="4" w:space="0" w:color="000000"/>
            </w:tcBorders>
            <w:shd w:val="clear" w:color="auto" w:fill="FFFF00"/>
            <w:tcMar>
              <w:top w:w="100" w:type="dxa"/>
              <w:left w:w="100" w:type="dxa"/>
              <w:bottom w:w="100" w:type="dxa"/>
              <w:right w:w="100" w:type="dxa"/>
            </w:tcMar>
          </w:tcPr>
          <w:p w14:paraId="0000116F" w14:textId="77777777" w:rsidR="00CB4215" w:rsidRPr="00487DB1" w:rsidRDefault="000530B4">
            <w:pPr>
              <w:spacing w:line="240" w:lineRule="auto"/>
              <w:rPr>
                <w:rFonts w:ascii="Times New Roman" w:eastAsia="Times New Roman" w:hAnsi="Times New Roman" w:cs="Times New Roman"/>
                <w:b/>
                <w:bCs/>
                <w:color w:val="000000"/>
              </w:rPr>
            </w:pPr>
            <w:r w:rsidRPr="00487DB1">
              <w:rPr>
                <w:rFonts w:ascii="Times New Roman" w:eastAsia="Times New Roman" w:hAnsi="Times New Roman" w:cs="Times New Roman"/>
                <w:b/>
                <w:bCs/>
                <w:color w:val="000000"/>
              </w:rPr>
              <w:t>4.80</w:t>
            </w:r>
          </w:p>
        </w:tc>
        <w:tc>
          <w:tcPr>
            <w:tcW w:w="585" w:type="dxa"/>
            <w:tcBorders>
              <w:top w:val="single" w:sz="4" w:space="0" w:color="000000"/>
            </w:tcBorders>
            <w:shd w:val="clear" w:color="auto" w:fill="FFFF00"/>
            <w:tcMar>
              <w:top w:w="100" w:type="dxa"/>
              <w:left w:w="100" w:type="dxa"/>
              <w:bottom w:w="100" w:type="dxa"/>
              <w:right w:w="100" w:type="dxa"/>
            </w:tcMar>
          </w:tcPr>
          <w:p w14:paraId="00001170" w14:textId="4295AD59" w:rsidR="00CB4215" w:rsidRPr="00487DB1" w:rsidRDefault="00487DB1">
            <w:pPr>
              <w:spacing w:line="240" w:lineRule="auto"/>
              <w:rPr>
                <w:rFonts w:ascii="Times New Roman" w:eastAsia="Times New Roman" w:hAnsi="Times New Roman" w:cs="Times New Roman"/>
                <w:b/>
                <w:bCs/>
                <w:color w:val="000000"/>
              </w:rPr>
            </w:pPr>
            <w:r w:rsidRPr="00487DB1">
              <w:rPr>
                <w:rFonts w:ascii="Times New Roman" w:eastAsia="Times New Roman" w:hAnsi="Times New Roman" w:cs="Times New Roman"/>
                <w:b/>
                <w:bCs/>
                <w:color w:val="000000"/>
              </w:rPr>
              <w:t>0.01</w:t>
            </w:r>
          </w:p>
        </w:tc>
        <w:tc>
          <w:tcPr>
            <w:tcW w:w="695" w:type="dxa"/>
            <w:tcBorders>
              <w:top w:val="single" w:sz="4" w:space="0" w:color="000000"/>
            </w:tcBorders>
            <w:shd w:val="clear" w:color="auto" w:fill="FFFF00"/>
            <w:tcMar>
              <w:top w:w="100" w:type="dxa"/>
              <w:left w:w="100" w:type="dxa"/>
              <w:bottom w:w="100" w:type="dxa"/>
              <w:right w:w="100" w:type="dxa"/>
            </w:tcMar>
          </w:tcPr>
          <w:p w14:paraId="00001171" w14:textId="77777777" w:rsidR="00CB4215" w:rsidRPr="00487DB1" w:rsidRDefault="000530B4">
            <w:pPr>
              <w:spacing w:line="240" w:lineRule="auto"/>
              <w:rPr>
                <w:rFonts w:ascii="Times New Roman" w:eastAsia="Times New Roman" w:hAnsi="Times New Roman" w:cs="Times New Roman"/>
                <w:b/>
                <w:bCs/>
                <w:color w:val="000000"/>
              </w:rPr>
            </w:pPr>
            <w:r w:rsidRPr="00487DB1">
              <w:rPr>
                <w:rFonts w:ascii="Times New Roman" w:eastAsia="Times New Roman" w:hAnsi="Times New Roman" w:cs="Times New Roman"/>
                <w:b/>
                <w:bCs/>
                <w:color w:val="000000"/>
              </w:rPr>
              <w:t>0.04</w:t>
            </w:r>
          </w:p>
        </w:tc>
        <w:tc>
          <w:tcPr>
            <w:tcW w:w="995" w:type="dxa"/>
            <w:tcBorders>
              <w:top w:val="single" w:sz="4" w:space="0" w:color="000000"/>
            </w:tcBorders>
            <w:shd w:val="clear" w:color="auto" w:fill="FFFF00"/>
            <w:tcMar>
              <w:top w:w="100" w:type="dxa"/>
              <w:left w:w="100" w:type="dxa"/>
              <w:bottom w:w="100" w:type="dxa"/>
              <w:right w:w="100" w:type="dxa"/>
            </w:tcMar>
          </w:tcPr>
          <w:p w14:paraId="00001172" w14:textId="77777777" w:rsidR="00CB4215" w:rsidRPr="00487DB1" w:rsidRDefault="000530B4">
            <w:pPr>
              <w:spacing w:line="240" w:lineRule="auto"/>
              <w:rPr>
                <w:rFonts w:ascii="Times New Roman" w:eastAsia="Times New Roman" w:hAnsi="Times New Roman" w:cs="Times New Roman"/>
                <w:b/>
                <w:bCs/>
                <w:color w:val="000000"/>
              </w:rPr>
            </w:pPr>
            <w:r w:rsidRPr="00487DB1">
              <w:rPr>
                <w:rFonts w:ascii="Times New Roman" w:eastAsia="Times New Roman" w:hAnsi="Times New Roman" w:cs="Times New Roman"/>
                <w:b/>
                <w:bCs/>
                <w:color w:val="000000"/>
              </w:rPr>
              <w:t>64.26</w:t>
            </w:r>
          </w:p>
        </w:tc>
        <w:tc>
          <w:tcPr>
            <w:tcW w:w="987" w:type="dxa"/>
            <w:tcBorders>
              <w:top w:val="single" w:sz="4" w:space="0" w:color="000000"/>
            </w:tcBorders>
            <w:shd w:val="clear" w:color="auto" w:fill="FFFF00"/>
            <w:tcMar>
              <w:top w:w="100" w:type="dxa"/>
              <w:left w:w="100" w:type="dxa"/>
              <w:bottom w:w="100" w:type="dxa"/>
              <w:right w:w="100" w:type="dxa"/>
            </w:tcMar>
          </w:tcPr>
          <w:p w14:paraId="00001173" w14:textId="77777777" w:rsidR="00CB4215" w:rsidRPr="00487DB1" w:rsidRDefault="000530B4">
            <w:pPr>
              <w:spacing w:line="240" w:lineRule="auto"/>
              <w:rPr>
                <w:rFonts w:ascii="Times New Roman" w:eastAsia="Times New Roman" w:hAnsi="Times New Roman" w:cs="Times New Roman"/>
                <w:b/>
                <w:bCs/>
                <w:color w:val="000000"/>
              </w:rPr>
            </w:pPr>
            <w:r w:rsidRPr="00487DB1">
              <w:rPr>
                <w:rFonts w:ascii="Times New Roman" w:eastAsia="Times New Roman" w:hAnsi="Times New Roman" w:cs="Times New Roman"/>
                <w:b/>
                <w:bCs/>
                <w:color w:val="000000"/>
              </w:rPr>
              <w:t>23.98</w:t>
            </w:r>
          </w:p>
        </w:tc>
        <w:tc>
          <w:tcPr>
            <w:tcW w:w="977" w:type="dxa"/>
            <w:tcBorders>
              <w:top w:val="single" w:sz="4" w:space="0" w:color="000000"/>
            </w:tcBorders>
            <w:shd w:val="clear" w:color="auto" w:fill="FFFF00"/>
            <w:tcMar>
              <w:top w:w="100" w:type="dxa"/>
              <w:left w:w="100" w:type="dxa"/>
              <w:bottom w:w="100" w:type="dxa"/>
              <w:right w:w="100" w:type="dxa"/>
            </w:tcMar>
          </w:tcPr>
          <w:p w14:paraId="00001174" w14:textId="77777777" w:rsidR="00CB4215" w:rsidRPr="00487DB1" w:rsidRDefault="000530B4">
            <w:pPr>
              <w:spacing w:line="240" w:lineRule="auto"/>
              <w:rPr>
                <w:rFonts w:ascii="Times New Roman" w:eastAsia="Times New Roman" w:hAnsi="Times New Roman" w:cs="Times New Roman"/>
                <w:b/>
                <w:bCs/>
                <w:color w:val="000000"/>
              </w:rPr>
            </w:pPr>
            <w:r w:rsidRPr="00487DB1">
              <w:rPr>
                <w:rFonts w:ascii="Times New Roman" w:eastAsia="Times New Roman" w:hAnsi="Times New Roman" w:cs="Times New Roman"/>
                <w:b/>
                <w:bCs/>
                <w:color w:val="000000"/>
              </w:rPr>
              <w:t>52.49</w:t>
            </w:r>
            <w:r w:rsidRPr="00487DB1">
              <w:rPr>
                <w:rFonts w:ascii="Times New Roman" w:eastAsia="Times New Roman" w:hAnsi="Times New Roman" w:cs="Times New Roman"/>
                <w:b/>
                <w:bCs/>
                <w:color w:val="000000"/>
                <w:vertAlign w:val="superscript"/>
              </w:rPr>
              <w:t>a</w:t>
            </w:r>
          </w:p>
        </w:tc>
        <w:tc>
          <w:tcPr>
            <w:tcW w:w="887" w:type="dxa"/>
            <w:tcBorders>
              <w:top w:val="single" w:sz="4" w:space="0" w:color="000000"/>
            </w:tcBorders>
            <w:shd w:val="clear" w:color="auto" w:fill="FFFF00"/>
            <w:tcMar>
              <w:top w:w="100" w:type="dxa"/>
              <w:left w:w="100" w:type="dxa"/>
              <w:bottom w:w="100" w:type="dxa"/>
              <w:right w:w="100" w:type="dxa"/>
            </w:tcMar>
          </w:tcPr>
          <w:p w14:paraId="00001175" w14:textId="77777777" w:rsidR="00CB4215" w:rsidRPr="00487DB1" w:rsidRDefault="000530B4">
            <w:pPr>
              <w:spacing w:line="240" w:lineRule="auto"/>
              <w:rPr>
                <w:rFonts w:ascii="Times New Roman" w:eastAsia="Times New Roman" w:hAnsi="Times New Roman" w:cs="Times New Roman"/>
                <w:b/>
                <w:bCs/>
                <w:color w:val="000000"/>
              </w:rPr>
            </w:pPr>
            <w:r w:rsidRPr="00487DB1">
              <w:rPr>
                <w:rFonts w:ascii="Times New Roman" w:eastAsia="Times New Roman" w:hAnsi="Times New Roman" w:cs="Times New Roman"/>
                <w:b/>
                <w:bCs/>
                <w:color w:val="000000"/>
              </w:rPr>
              <w:t>23.16</w:t>
            </w:r>
          </w:p>
        </w:tc>
        <w:tc>
          <w:tcPr>
            <w:tcW w:w="925" w:type="dxa"/>
            <w:tcBorders>
              <w:top w:val="single" w:sz="4" w:space="0" w:color="000000"/>
            </w:tcBorders>
            <w:shd w:val="clear" w:color="auto" w:fill="FFFF00"/>
            <w:tcMar>
              <w:top w:w="100" w:type="dxa"/>
              <w:left w:w="100" w:type="dxa"/>
              <w:bottom w:w="100" w:type="dxa"/>
              <w:right w:w="100" w:type="dxa"/>
            </w:tcMar>
          </w:tcPr>
          <w:p w14:paraId="00001176" w14:textId="77777777" w:rsidR="00CB4215" w:rsidRPr="00487DB1" w:rsidRDefault="000530B4">
            <w:pPr>
              <w:spacing w:line="240" w:lineRule="auto"/>
              <w:rPr>
                <w:rFonts w:ascii="Times New Roman" w:eastAsia="Times New Roman" w:hAnsi="Times New Roman" w:cs="Times New Roman"/>
                <w:b/>
                <w:bCs/>
                <w:color w:val="000000"/>
              </w:rPr>
            </w:pPr>
            <w:r w:rsidRPr="00487DB1">
              <w:rPr>
                <w:rFonts w:ascii="Times New Roman" w:eastAsia="Times New Roman" w:hAnsi="Times New Roman" w:cs="Times New Roman"/>
                <w:b/>
                <w:bCs/>
                <w:color w:val="000000"/>
              </w:rPr>
              <w:t>53.51</w:t>
            </w:r>
          </w:p>
        </w:tc>
        <w:tc>
          <w:tcPr>
            <w:tcW w:w="917" w:type="dxa"/>
            <w:tcBorders>
              <w:top w:val="single" w:sz="4" w:space="0" w:color="000000"/>
            </w:tcBorders>
            <w:shd w:val="clear" w:color="auto" w:fill="FFFF00"/>
            <w:tcMar>
              <w:top w:w="100" w:type="dxa"/>
              <w:left w:w="100" w:type="dxa"/>
              <w:bottom w:w="100" w:type="dxa"/>
              <w:right w:w="100" w:type="dxa"/>
            </w:tcMar>
          </w:tcPr>
          <w:p w14:paraId="00001177" w14:textId="77777777" w:rsidR="00CB4215" w:rsidRPr="00487DB1" w:rsidRDefault="000530B4">
            <w:pPr>
              <w:spacing w:line="240" w:lineRule="auto"/>
              <w:rPr>
                <w:rFonts w:ascii="Times New Roman" w:eastAsia="Times New Roman" w:hAnsi="Times New Roman" w:cs="Times New Roman"/>
                <w:b/>
                <w:bCs/>
                <w:color w:val="000000"/>
              </w:rPr>
            </w:pPr>
            <w:r w:rsidRPr="00487DB1">
              <w:rPr>
                <w:rFonts w:ascii="Times New Roman" w:eastAsia="Times New Roman" w:hAnsi="Times New Roman" w:cs="Times New Roman"/>
                <w:b/>
                <w:bCs/>
                <w:color w:val="000000"/>
              </w:rPr>
              <w:t>24.60</w:t>
            </w:r>
          </w:p>
        </w:tc>
      </w:tr>
      <w:tr w:rsidR="00CB4215" w14:paraId="5A8A1AB4" w14:textId="77777777">
        <w:tc>
          <w:tcPr>
            <w:tcW w:w="1476" w:type="dxa"/>
            <w:tcMar>
              <w:top w:w="100" w:type="dxa"/>
              <w:left w:w="100" w:type="dxa"/>
              <w:bottom w:w="100" w:type="dxa"/>
              <w:right w:w="100" w:type="dxa"/>
            </w:tcMar>
          </w:tcPr>
          <w:p w14:paraId="00001178"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TFEQ-UE</w:t>
            </w:r>
          </w:p>
        </w:tc>
        <w:tc>
          <w:tcPr>
            <w:tcW w:w="585" w:type="dxa"/>
            <w:tcMar>
              <w:top w:w="100" w:type="dxa"/>
              <w:left w:w="100" w:type="dxa"/>
              <w:bottom w:w="100" w:type="dxa"/>
              <w:right w:w="100" w:type="dxa"/>
            </w:tcMar>
          </w:tcPr>
          <w:p w14:paraId="0000117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1.68</w:t>
            </w:r>
          </w:p>
        </w:tc>
        <w:tc>
          <w:tcPr>
            <w:tcW w:w="585" w:type="dxa"/>
            <w:tcMar>
              <w:top w:w="100" w:type="dxa"/>
              <w:left w:w="100" w:type="dxa"/>
              <w:bottom w:w="100" w:type="dxa"/>
              <w:right w:w="100" w:type="dxa"/>
            </w:tcMar>
          </w:tcPr>
          <w:p w14:paraId="0000117A"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0.19</w:t>
            </w:r>
          </w:p>
        </w:tc>
        <w:tc>
          <w:tcPr>
            <w:tcW w:w="695" w:type="dxa"/>
            <w:tcMar>
              <w:top w:w="100" w:type="dxa"/>
              <w:left w:w="100" w:type="dxa"/>
              <w:bottom w:w="100" w:type="dxa"/>
              <w:right w:w="100" w:type="dxa"/>
            </w:tcMar>
          </w:tcPr>
          <w:p w14:paraId="0000117B"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995" w:type="dxa"/>
            <w:tcMar>
              <w:top w:w="100" w:type="dxa"/>
              <w:left w:w="100" w:type="dxa"/>
              <w:bottom w:w="100" w:type="dxa"/>
              <w:right w:w="100" w:type="dxa"/>
            </w:tcMar>
          </w:tcPr>
          <w:p w14:paraId="0000117C"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2.04</w:t>
            </w:r>
          </w:p>
        </w:tc>
        <w:tc>
          <w:tcPr>
            <w:tcW w:w="987" w:type="dxa"/>
            <w:tcMar>
              <w:top w:w="100" w:type="dxa"/>
              <w:left w:w="100" w:type="dxa"/>
              <w:bottom w:w="100" w:type="dxa"/>
              <w:right w:w="100" w:type="dxa"/>
            </w:tcMar>
          </w:tcPr>
          <w:p w14:paraId="0000117D"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0.60</w:t>
            </w:r>
          </w:p>
        </w:tc>
        <w:tc>
          <w:tcPr>
            <w:tcW w:w="977" w:type="dxa"/>
            <w:tcMar>
              <w:top w:w="100" w:type="dxa"/>
              <w:left w:w="100" w:type="dxa"/>
              <w:bottom w:w="100" w:type="dxa"/>
              <w:right w:w="100" w:type="dxa"/>
            </w:tcMar>
          </w:tcPr>
          <w:p w14:paraId="0000117E"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2.20</w:t>
            </w:r>
          </w:p>
        </w:tc>
        <w:tc>
          <w:tcPr>
            <w:tcW w:w="887" w:type="dxa"/>
            <w:tcMar>
              <w:top w:w="100" w:type="dxa"/>
              <w:left w:w="100" w:type="dxa"/>
              <w:bottom w:w="100" w:type="dxa"/>
              <w:right w:w="100" w:type="dxa"/>
            </w:tcMar>
          </w:tcPr>
          <w:p w14:paraId="0000117F"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0.58</w:t>
            </w:r>
          </w:p>
        </w:tc>
        <w:tc>
          <w:tcPr>
            <w:tcW w:w="925" w:type="dxa"/>
            <w:tcMar>
              <w:top w:w="100" w:type="dxa"/>
              <w:left w:w="100" w:type="dxa"/>
              <w:bottom w:w="100" w:type="dxa"/>
              <w:right w:w="100" w:type="dxa"/>
            </w:tcMar>
          </w:tcPr>
          <w:p w14:paraId="00001180"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2.24</w:t>
            </w:r>
          </w:p>
        </w:tc>
        <w:tc>
          <w:tcPr>
            <w:tcW w:w="917" w:type="dxa"/>
            <w:tcMar>
              <w:top w:w="100" w:type="dxa"/>
              <w:left w:w="100" w:type="dxa"/>
              <w:bottom w:w="100" w:type="dxa"/>
              <w:right w:w="100" w:type="dxa"/>
            </w:tcMar>
          </w:tcPr>
          <w:p w14:paraId="00001181"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0.57</w:t>
            </w:r>
          </w:p>
        </w:tc>
      </w:tr>
      <w:tr w:rsidR="00CB4215" w14:paraId="7F2F5EB4" w14:textId="77777777">
        <w:tc>
          <w:tcPr>
            <w:tcW w:w="1476" w:type="dxa"/>
            <w:tcMar>
              <w:top w:w="100" w:type="dxa"/>
              <w:left w:w="100" w:type="dxa"/>
              <w:bottom w:w="100" w:type="dxa"/>
              <w:right w:w="100" w:type="dxa"/>
            </w:tcMar>
          </w:tcPr>
          <w:p w14:paraId="00001182"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TFEQ-EE</w:t>
            </w:r>
          </w:p>
        </w:tc>
        <w:tc>
          <w:tcPr>
            <w:tcW w:w="585" w:type="dxa"/>
            <w:tcMar>
              <w:top w:w="100" w:type="dxa"/>
              <w:left w:w="100" w:type="dxa"/>
              <w:bottom w:w="100" w:type="dxa"/>
              <w:right w:w="100" w:type="dxa"/>
            </w:tcMar>
          </w:tcPr>
          <w:p w14:paraId="00001183"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1.51</w:t>
            </w:r>
          </w:p>
        </w:tc>
        <w:tc>
          <w:tcPr>
            <w:tcW w:w="585" w:type="dxa"/>
            <w:tcMar>
              <w:top w:w="100" w:type="dxa"/>
              <w:left w:w="100" w:type="dxa"/>
              <w:bottom w:w="100" w:type="dxa"/>
              <w:right w:w="100" w:type="dxa"/>
            </w:tcMar>
          </w:tcPr>
          <w:p w14:paraId="00001184"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0.22</w:t>
            </w:r>
          </w:p>
        </w:tc>
        <w:tc>
          <w:tcPr>
            <w:tcW w:w="695" w:type="dxa"/>
            <w:tcMar>
              <w:top w:w="100" w:type="dxa"/>
              <w:left w:w="100" w:type="dxa"/>
              <w:bottom w:w="100" w:type="dxa"/>
              <w:right w:w="100" w:type="dxa"/>
            </w:tcMar>
          </w:tcPr>
          <w:p w14:paraId="00001185"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995" w:type="dxa"/>
            <w:tcMar>
              <w:top w:w="100" w:type="dxa"/>
              <w:left w:w="100" w:type="dxa"/>
              <w:bottom w:w="100" w:type="dxa"/>
              <w:right w:w="100" w:type="dxa"/>
            </w:tcMar>
          </w:tcPr>
          <w:p w14:paraId="00001186"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2.16</w:t>
            </w:r>
          </w:p>
        </w:tc>
        <w:tc>
          <w:tcPr>
            <w:tcW w:w="987" w:type="dxa"/>
            <w:tcMar>
              <w:top w:w="100" w:type="dxa"/>
              <w:left w:w="100" w:type="dxa"/>
              <w:bottom w:w="100" w:type="dxa"/>
              <w:right w:w="100" w:type="dxa"/>
            </w:tcMar>
          </w:tcPr>
          <w:p w14:paraId="00001187"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0.84</w:t>
            </w:r>
          </w:p>
        </w:tc>
        <w:tc>
          <w:tcPr>
            <w:tcW w:w="977" w:type="dxa"/>
            <w:tcMar>
              <w:top w:w="100" w:type="dxa"/>
              <w:left w:w="100" w:type="dxa"/>
              <w:bottom w:w="100" w:type="dxa"/>
              <w:right w:w="100" w:type="dxa"/>
            </w:tcMar>
          </w:tcPr>
          <w:p w14:paraId="00001188"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2.37</w:t>
            </w:r>
          </w:p>
        </w:tc>
        <w:tc>
          <w:tcPr>
            <w:tcW w:w="887" w:type="dxa"/>
            <w:tcMar>
              <w:top w:w="100" w:type="dxa"/>
              <w:left w:w="100" w:type="dxa"/>
              <w:bottom w:w="100" w:type="dxa"/>
              <w:right w:w="100" w:type="dxa"/>
            </w:tcMar>
          </w:tcPr>
          <w:p w14:paraId="0000118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0.88</w:t>
            </w:r>
          </w:p>
        </w:tc>
        <w:tc>
          <w:tcPr>
            <w:tcW w:w="925" w:type="dxa"/>
            <w:tcMar>
              <w:top w:w="100" w:type="dxa"/>
              <w:left w:w="100" w:type="dxa"/>
              <w:bottom w:w="100" w:type="dxa"/>
              <w:right w:w="100" w:type="dxa"/>
            </w:tcMar>
          </w:tcPr>
          <w:p w14:paraId="0000118A"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2.45</w:t>
            </w:r>
          </w:p>
        </w:tc>
        <w:tc>
          <w:tcPr>
            <w:tcW w:w="917" w:type="dxa"/>
            <w:tcMar>
              <w:top w:w="100" w:type="dxa"/>
              <w:left w:w="100" w:type="dxa"/>
              <w:bottom w:w="100" w:type="dxa"/>
              <w:right w:w="100" w:type="dxa"/>
            </w:tcMar>
          </w:tcPr>
          <w:p w14:paraId="0000118B"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0.87</w:t>
            </w:r>
          </w:p>
        </w:tc>
      </w:tr>
      <w:tr w:rsidR="00CB4215" w14:paraId="57510E22" w14:textId="77777777">
        <w:tc>
          <w:tcPr>
            <w:tcW w:w="1476" w:type="dxa"/>
            <w:tcMar>
              <w:top w:w="100" w:type="dxa"/>
              <w:left w:w="100" w:type="dxa"/>
              <w:bottom w:w="100" w:type="dxa"/>
              <w:right w:w="100" w:type="dxa"/>
            </w:tcMar>
          </w:tcPr>
          <w:p w14:paraId="0000118C"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TFEQ-CR</w:t>
            </w:r>
          </w:p>
        </w:tc>
        <w:tc>
          <w:tcPr>
            <w:tcW w:w="585" w:type="dxa"/>
            <w:tcMar>
              <w:top w:w="100" w:type="dxa"/>
              <w:left w:w="100" w:type="dxa"/>
              <w:bottom w:w="100" w:type="dxa"/>
              <w:right w:w="100" w:type="dxa"/>
            </w:tcMar>
          </w:tcPr>
          <w:p w14:paraId="0000118D"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1.31</w:t>
            </w:r>
          </w:p>
        </w:tc>
        <w:tc>
          <w:tcPr>
            <w:tcW w:w="585" w:type="dxa"/>
            <w:tcMar>
              <w:top w:w="100" w:type="dxa"/>
              <w:left w:w="100" w:type="dxa"/>
              <w:bottom w:w="100" w:type="dxa"/>
              <w:right w:w="100" w:type="dxa"/>
            </w:tcMar>
          </w:tcPr>
          <w:p w14:paraId="0000118E"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0.27</w:t>
            </w:r>
          </w:p>
        </w:tc>
        <w:tc>
          <w:tcPr>
            <w:tcW w:w="695" w:type="dxa"/>
            <w:tcMar>
              <w:top w:w="100" w:type="dxa"/>
              <w:left w:w="100" w:type="dxa"/>
              <w:bottom w:w="100" w:type="dxa"/>
              <w:right w:w="100" w:type="dxa"/>
            </w:tcMar>
          </w:tcPr>
          <w:p w14:paraId="0000118F"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995" w:type="dxa"/>
            <w:tcMar>
              <w:top w:w="100" w:type="dxa"/>
              <w:left w:w="100" w:type="dxa"/>
              <w:bottom w:w="100" w:type="dxa"/>
              <w:right w:w="100" w:type="dxa"/>
            </w:tcMar>
          </w:tcPr>
          <w:p w14:paraId="00001190"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2.27</w:t>
            </w:r>
          </w:p>
        </w:tc>
        <w:tc>
          <w:tcPr>
            <w:tcW w:w="987" w:type="dxa"/>
            <w:tcMar>
              <w:top w:w="100" w:type="dxa"/>
              <w:left w:w="100" w:type="dxa"/>
              <w:bottom w:w="100" w:type="dxa"/>
              <w:right w:w="100" w:type="dxa"/>
            </w:tcMar>
          </w:tcPr>
          <w:p w14:paraId="00001191"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0.56</w:t>
            </w:r>
          </w:p>
        </w:tc>
        <w:tc>
          <w:tcPr>
            <w:tcW w:w="977" w:type="dxa"/>
            <w:tcMar>
              <w:top w:w="100" w:type="dxa"/>
              <w:left w:w="100" w:type="dxa"/>
              <w:bottom w:w="100" w:type="dxa"/>
              <w:right w:w="100" w:type="dxa"/>
            </w:tcMar>
          </w:tcPr>
          <w:p w14:paraId="00001192"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2.13</w:t>
            </w:r>
          </w:p>
        </w:tc>
        <w:tc>
          <w:tcPr>
            <w:tcW w:w="887" w:type="dxa"/>
            <w:tcMar>
              <w:top w:w="100" w:type="dxa"/>
              <w:left w:w="100" w:type="dxa"/>
              <w:bottom w:w="100" w:type="dxa"/>
              <w:right w:w="100" w:type="dxa"/>
            </w:tcMar>
          </w:tcPr>
          <w:p w14:paraId="00001193"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0.53</w:t>
            </w:r>
          </w:p>
        </w:tc>
        <w:tc>
          <w:tcPr>
            <w:tcW w:w="925" w:type="dxa"/>
            <w:tcMar>
              <w:top w:w="100" w:type="dxa"/>
              <w:left w:w="100" w:type="dxa"/>
              <w:bottom w:w="100" w:type="dxa"/>
              <w:right w:w="100" w:type="dxa"/>
            </w:tcMar>
          </w:tcPr>
          <w:p w14:paraId="00001194"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2.12</w:t>
            </w:r>
          </w:p>
        </w:tc>
        <w:tc>
          <w:tcPr>
            <w:tcW w:w="917" w:type="dxa"/>
            <w:tcMar>
              <w:top w:w="100" w:type="dxa"/>
              <w:left w:w="100" w:type="dxa"/>
              <w:bottom w:w="100" w:type="dxa"/>
              <w:right w:w="100" w:type="dxa"/>
            </w:tcMar>
          </w:tcPr>
          <w:p w14:paraId="00001195"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0.50</w:t>
            </w:r>
          </w:p>
        </w:tc>
      </w:tr>
      <w:tr w:rsidR="00CB4215" w14:paraId="5B981A2C" w14:textId="77777777">
        <w:tc>
          <w:tcPr>
            <w:tcW w:w="1476" w:type="dxa"/>
            <w:tcMar>
              <w:top w:w="100" w:type="dxa"/>
              <w:left w:w="100" w:type="dxa"/>
              <w:bottom w:w="100" w:type="dxa"/>
              <w:right w:w="100" w:type="dxa"/>
            </w:tcMar>
          </w:tcPr>
          <w:p w14:paraId="00001196"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AEBQ-SR</w:t>
            </w:r>
          </w:p>
        </w:tc>
        <w:tc>
          <w:tcPr>
            <w:tcW w:w="585" w:type="dxa"/>
            <w:tcMar>
              <w:top w:w="100" w:type="dxa"/>
              <w:left w:w="100" w:type="dxa"/>
              <w:bottom w:w="100" w:type="dxa"/>
              <w:right w:w="100" w:type="dxa"/>
            </w:tcMar>
          </w:tcPr>
          <w:p w14:paraId="00001197"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0.47</w:t>
            </w:r>
          </w:p>
        </w:tc>
        <w:tc>
          <w:tcPr>
            <w:tcW w:w="585" w:type="dxa"/>
            <w:tcMar>
              <w:top w:w="100" w:type="dxa"/>
              <w:left w:w="100" w:type="dxa"/>
              <w:bottom w:w="100" w:type="dxa"/>
              <w:right w:w="100" w:type="dxa"/>
            </w:tcMar>
          </w:tcPr>
          <w:p w14:paraId="00001198"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0.63</w:t>
            </w:r>
          </w:p>
        </w:tc>
        <w:tc>
          <w:tcPr>
            <w:tcW w:w="695" w:type="dxa"/>
            <w:tcMar>
              <w:top w:w="100" w:type="dxa"/>
              <w:left w:w="100" w:type="dxa"/>
              <w:bottom w:w="100" w:type="dxa"/>
              <w:right w:w="100" w:type="dxa"/>
            </w:tcMar>
          </w:tcPr>
          <w:p w14:paraId="0000119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0.004</w:t>
            </w:r>
          </w:p>
        </w:tc>
        <w:tc>
          <w:tcPr>
            <w:tcW w:w="995" w:type="dxa"/>
            <w:tcMar>
              <w:top w:w="100" w:type="dxa"/>
              <w:left w:w="100" w:type="dxa"/>
              <w:bottom w:w="100" w:type="dxa"/>
              <w:right w:w="100" w:type="dxa"/>
            </w:tcMar>
          </w:tcPr>
          <w:p w14:paraId="0000119A"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2.31</w:t>
            </w:r>
          </w:p>
        </w:tc>
        <w:tc>
          <w:tcPr>
            <w:tcW w:w="987" w:type="dxa"/>
            <w:tcMar>
              <w:top w:w="100" w:type="dxa"/>
              <w:left w:w="100" w:type="dxa"/>
              <w:bottom w:w="100" w:type="dxa"/>
              <w:right w:w="100" w:type="dxa"/>
            </w:tcMar>
          </w:tcPr>
          <w:p w14:paraId="0000119B"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0.83</w:t>
            </w:r>
          </w:p>
        </w:tc>
        <w:tc>
          <w:tcPr>
            <w:tcW w:w="977" w:type="dxa"/>
            <w:tcMar>
              <w:top w:w="100" w:type="dxa"/>
              <w:left w:w="100" w:type="dxa"/>
              <w:bottom w:w="100" w:type="dxa"/>
              <w:right w:w="100" w:type="dxa"/>
            </w:tcMar>
          </w:tcPr>
          <w:p w14:paraId="0000119C"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2.38</w:t>
            </w:r>
          </w:p>
        </w:tc>
        <w:tc>
          <w:tcPr>
            <w:tcW w:w="887" w:type="dxa"/>
            <w:tcMar>
              <w:top w:w="100" w:type="dxa"/>
              <w:left w:w="100" w:type="dxa"/>
              <w:bottom w:w="100" w:type="dxa"/>
              <w:right w:w="100" w:type="dxa"/>
            </w:tcMar>
          </w:tcPr>
          <w:p w14:paraId="0000119D"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0.85</w:t>
            </w:r>
          </w:p>
        </w:tc>
        <w:tc>
          <w:tcPr>
            <w:tcW w:w="925" w:type="dxa"/>
            <w:tcMar>
              <w:top w:w="100" w:type="dxa"/>
              <w:left w:w="100" w:type="dxa"/>
              <w:bottom w:w="100" w:type="dxa"/>
              <w:right w:w="100" w:type="dxa"/>
            </w:tcMar>
          </w:tcPr>
          <w:p w14:paraId="0000119E"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2.24</w:t>
            </w:r>
          </w:p>
        </w:tc>
        <w:tc>
          <w:tcPr>
            <w:tcW w:w="917" w:type="dxa"/>
            <w:tcMar>
              <w:top w:w="100" w:type="dxa"/>
              <w:left w:w="100" w:type="dxa"/>
              <w:bottom w:w="100" w:type="dxa"/>
              <w:right w:w="100" w:type="dxa"/>
            </w:tcMar>
          </w:tcPr>
          <w:p w14:paraId="0000119F"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0.81</w:t>
            </w:r>
          </w:p>
        </w:tc>
      </w:tr>
      <w:tr w:rsidR="00CB4215" w14:paraId="7530F26E" w14:textId="77777777">
        <w:trPr>
          <w:trHeight w:val="238"/>
        </w:trPr>
        <w:tc>
          <w:tcPr>
            <w:tcW w:w="1476" w:type="dxa"/>
            <w:tcBorders>
              <w:bottom w:val="single" w:sz="8" w:space="0" w:color="000000"/>
            </w:tcBorders>
            <w:tcMar>
              <w:top w:w="100" w:type="dxa"/>
              <w:left w:w="100" w:type="dxa"/>
              <w:bottom w:w="100" w:type="dxa"/>
              <w:right w:w="100" w:type="dxa"/>
            </w:tcMar>
          </w:tcPr>
          <w:p w14:paraId="000011A0"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IES-RHSC</w:t>
            </w:r>
          </w:p>
        </w:tc>
        <w:tc>
          <w:tcPr>
            <w:tcW w:w="585" w:type="dxa"/>
            <w:tcBorders>
              <w:bottom w:val="single" w:sz="8" w:space="0" w:color="000000"/>
            </w:tcBorders>
            <w:tcMar>
              <w:top w:w="100" w:type="dxa"/>
              <w:left w:w="100" w:type="dxa"/>
              <w:bottom w:w="100" w:type="dxa"/>
              <w:right w:w="100" w:type="dxa"/>
            </w:tcMar>
          </w:tcPr>
          <w:p w14:paraId="000011A1"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0.64</w:t>
            </w:r>
          </w:p>
        </w:tc>
        <w:tc>
          <w:tcPr>
            <w:tcW w:w="585" w:type="dxa"/>
            <w:tcBorders>
              <w:bottom w:val="single" w:sz="8" w:space="0" w:color="000000"/>
            </w:tcBorders>
            <w:tcMar>
              <w:top w:w="100" w:type="dxa"/>
              <w:left w:w="100" w:type="dxa"/>
              <w:bottom w:w="100" w:type="dxa"/>
              <w:right w:w="100" w:type="dxa"/>
            </w:tcMar>
          </w:tcPr>
          <w:p w14:paraId="000011A2"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0.53</w:t>
            </w:r>
          </w:p>
        </w:tc>
        <w:tc>
          <w:tcPr>
            <w:tcW w:w="695" w:type="dxa"/>
            <w:tcBorders>
              <w:bottom w:val="single" w:sz="8" w:space="0" w:color="000000"/>
            </w:tcBorders>
            <w:tcMar>
              <w:top w:w="100" w:type="dxa"/>
              <w:left w:w="100" w:type="dxa"/>
              <w:bottom w:w="100" w:type="dxa"/>
              <w:right w:w="100" w:type="dxa"/>
            </w:tcMar>
          </w:tcPr>
          <w:p w14:paraId="000011A3"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995" w:type="dxa"/>
            <w:tcBorders>
              <w:bottom w:val="single" w:sz="8" w:space="0" w:color="000000"/>
            </w:tcBorders>
            <w:tcMar>
              <w:top w:w="100" w:type="dxa"/>
              <w:left w:w="100" w:type="dxa"/>
              <w:bottom w:w="100" w:type="dxa"/>
              <w:right w:w="100" w:type="dxa"/>
            </w:tcMar>
          </w:tcPr>
          <w:p w14:paraId="000011A4"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3.45</w:t>
            </w:r>
          </w:p>
        </w:tc>
        <w:tc>
          <w:tcPr>
            <w:tcW w:w="987" w:type="dxa"/>
            <w:tcBorders>
              <w:bottom w:val="single" w:sz="8" w:space="0" w:color="000000"/>
            </w:tcBorders>
            <w:tcMar>
              <w:top w:w="100" w:type="dxa"/>
              <w:left w:w="100" w:type="dxa"/>
              <w:bottom w:w="100" w:type="dxa"/>
              <w:right w:w="100" w:type="dxa"/>
            </w:tcMar>
          </w:tcPr>
          <w:p w14:paraId="000011A5"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0.70</w:t>
            </w:r>
          </w:p>
        </w:tc>
        <w:tc>
          <w:tcPr>
            <w:tcW w:w="977" w:type="dxa"/>
            <w:tcBorders>
              <w:bottom w:val="single" w:sz="8" w:space="0" w:color="000000"/>
            </w:tcBorders>
            <w:tcMar>
              <w:top w:w="100" w:type="dxa"/>
              <w:left w:w="100" w:type="dxa"/>
              <w:bottom w:w="100" w:type="dxa"/>
              <w:right w:w="100" w:type="dxa"/>
            </w:tcMar>
          </w:tcPr>
          <w:p w14:paraId="000011A6"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3.33</w:t>
            </w:r>
          </w:p>
        </w:tc>
        <w:tc>
          <w:tcPr>
            <w:tcW w:w="887" w:type="dxa"/>
            <w:tcBorders>
              <w:bottom w:val="single" w:sz="8" w:space="0" w:color="000000"/>
            </w:tcBorders>
            <w:tcMar>
              <w:top w:w="100" w:type="dxa"/>
              <w:left w:w="100" w:type="dxa"/>
              <w:bottom w:w="100" w:type="dxa"/>
              <w:right w:w="100" w:type="dxa"/>
            </w:tcMar>
          </w:tcPr>
          <w:p w14:paraId="000011A7"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0.73</w:t>
            </w:r>
          </w:p>
        </w:tc>
        <w:tc>
          <w:tcPr>
            <w:tcW w:w="925" w:type="dxa"/>
            <w:tcBorders>
              <w:bottom w:val="single" w:sz="8" w:space="0" w:color="000000"/>
            </w:tcBorders>
            <w:tcMar>
              <w:top w:w="100" w:type="dxa"/>
              <w:left w:w="100" w:type="dxa"/>
              <w:bottom w:w="100" w:type="dxa"/>
              <w:right w:w="100" w:type="dxa"/>
            </w:tcMar>
          </w:tcPr>
          <w:p w14:paraId="000011A8"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3.33</w:t>
            </w:r>
          </w:p>
        </w:tc>
        <w:tc>
          <w:tcPr>
            <w:tcW w:w="917" w:type="dxa"/>
            <w:tcBorders>
              <w:bottom w:val="single" w:sz="8" w:space="0" w:color="000000"/>
            </w:tcBorders>
            <w:tcMar>
              <w:top w:w="100" w:type="dxa"/>
              <w:left w:w="100" w:type="dxa"/>
              <w:bottom w:w="100" w:type="dxa"/>
              <w:right w:w="100" w:type="dxa"/>
            </w:tcMar>
          </w:tcPr>
          <w:p w14:paraId="000011A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0.74</w:t>
            </w:r>
          </w:p>
        </w:tc>
      </w:tr>
    </w:tbl>
    <w:p w14:paraId="6B7EFFF7" w14:textId="5125D330" w:rsidR="0064076D" w:rsidRPr="006C356B" w:rsidRDefault="000530B4" w:rsidP="0064076D">
      <w:pPr>
        <w:spacing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i/>
          <w:color w:val="000000"/>
          <w:sz w:val="20"/>
          <w:szCs w:val="20"/>
        </w:rPr>
        <w:t>Note</w:t>
      </w:r>
      <w:r>
        <w:rPr>
          <w:rFonts w:ascii="Times New Roman" w:eastAsia="Times New Roman" w:hAnsi="Times New Roman" w:cs="Times New Roman"/>
          <w:color w:val="000000"/>
          <w:sz w:val="20"/>
          <w:szCs w:val="20"/>
        </w:rPr>
        <w:t xml:space="preserve"> </w:t>
      </w:r>
      <w:r w:rsidR="0064076D">
        <w:rPr>
          <w:rFonts w:ascii="Times New Roman" w:eastAsia="Times New Roman" w:hAnsi="Times New Roman" w:cs="Times New Roman"/>
          <w:sz w:val="20"/>
          <w:szCs w:val="20"/>
        </w:rPr>
        <w:t>:</w:t>
      </w:r>
      <w:proofErr w:type="gramEnd"/>
      <w:r w:rsidR="0064076D">
        <w:rPr>
          <w:rFonts w:ascii="Times New Roman" w:eastAsia="Times New Roman" w:hAnsi="Times New Roman" w:cs="Times New Roman"/>
          <w:sz w:val="20"/>
          <w:szCs w:val="20"/>
        </w:rPr>
        <w:t xml:space="preserve"> </w:t>
      </w:r>
      <w:r w:rsidR="0064076D" w:rsidRPr="0064076D">
        <w:rPr>
          <w:rFonts w:ascii="Times New Roman" w:eastAsia="Times New Roman" w:hAnsi="Times New Roman" w:cs="Times New Roman"/>
          <w:sz w:val="20"/>
          <w:szCs w:val="20"/>
        </w:rPr>
        <w:t>All comparisons were controlled for age and gender.</w:t>
      </w:r>
      <w:r w:rsidR="0064076D">
        <w:rPr>
          <w:rFonts w:ascii="Times New Roman" w:eastAsia="Times New Roman" w:hAnsi="Times New Roman" w:cs="Times New Roman"/>
          <w:sz w:val="20"/>
          <w:szCs w:val="20"/>
        </w:rPr>
        <w:t xml:space="preserve"> </w:t>
      </w:r>
    </w:p>
    <w:p w14:paraId="000011AA" w14:textId="4E0C4016" w:rsidR="00CB4215" w:rsidRPr="0064076D" w:rsidRDefault="0064076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Data are presented as mean and SD.</w:t>
      </w:r>
    </w:p>
    <w:p w14:paraId="000011AB"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COEQ = Control of Eating Questionnaire; CC = Craving Control (Dalton et al., 2015).</w:t>
      </w:r>
    </w:p>
    <w:p w14:paraId="000011AC"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TFEQ = Three Factor Eating Questionnaire revised 18-items; CR = Cognitive restraint; UE = Uncontrolled Eating; EE = Emotional Eating (Karlsson et al., 2000).</w:t>
      </w:r>
    </w:p>
    <w:p w14:paraId="000011AD"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AEBQ = Adult Eating Behaviour Questionnaire; SR = Satiety Responsiveness (</w:t>
      </w:r>
      <w:proofErr w:type="spellStart"/>
      <w:r>
        <w:rPr>
          <w:rFonts w:ascii="Times New Roman" w:eastAsia="Times New Roman" w:hAnsi="Times New Roman" w:cs="Times New Roman"/>
          <w:color w:val="000000"/>
          <w:sz w:val="20"/>
          <w:szCs w:val="20"/>
        </w:rPr>
        <w:t>Hunot</w:t>
      </w:r>
      <w:proofErr w:type="spellEnd"/>
      <w:r>
        <w:rPr>
          <w:rFonts w:ascii="Times New Roman" w:eastAsia="Times New Roman" w:hAnsi="Times New Roman" w:cs="Times New Roman"/>
          <w:color w:val="000000"/>
          <w:sz w:val="20"/>
          <w:szCs w:val="20"/>
        </w:rPr>
        <w:t xml:space="preserve"> et al., 2016).</w:t>
      </w:r>
    </w:p>
    <w:p w14:paraId="000011AE"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IES = Intuitive Eating Scale - 2; RHSC = Reliance Hunger and Satiety Cues (</w:t>
      </w:r>
      <w:proofErr w:type="spellStart"/>
      <w:r>
        <w:rPr>
          <w:rFonts w:ascii="Times New Roman" w:eastAsia="Times New Roman" w:hAnsi="Times New Roman" w:cs="Times New Roman"/>
          <w:color w:val="000000"/>
          <w:sz w:val="20"/>
          <w:szCs w:val="20"/>
        </w:rPr>
        <w:t>Tylka</w:t>
      </w:r>
      <w:proofErr w:type="spellEnd"/>
      <w:r>
        <w:rPr>
          <w:rFonts w:ascii="Times New Roman" w:eastAsia="Times New Roman" w:hAnsi="Times New Roman" w:cs="Times New Roman"/>
          <w:color w:val="000000"/>
          <w:sz w:val="20"/>
          <w:szCs w:val="20"/>
        </w:rPr>
        <w:t xml:space="preserve"> et al. 2013).</w:t>
      </w:r>
    </w:p>
    <w:p w14:paraId="000011AF"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a</w:t>
      </w:r>
      <w:r>
        <w:rPr>
          <w:rFonts w:ascii="Times New Roman" w:eastAsia="Times New Roman" w:hAnsi="Times New Roman" w:cs="Times New Roman"/>
          <w:color w:val="000000"/>
          <w:sz w:val="20"/>
          <w:szCs w:val="20"/>
        </w:rPr>
        <w:t xml:space="preserve"> </w:t>
      </w:r>
      <w:r w:rsidRPr="00410932">
        <w:rPr>
          <w:rFonts w:ascii="Times New Roman" w:eastAsia="Times New Roman" w:hAnsi="Times New Roman" w:cs="Times New Roman"/>
          <w:i/>
          <w:iCs/>
          <w:color w:val="000000"/>
          <w:sz w:val="20"/>
          <w:szCs w:val="20"/>
        </w:rPr>
        <w:t>p</w:t>
      </w:r>
      <w:r>
        <w:rPr>
          <w:rFonts w:ascii="Times New Roman" w:eastAsia="Times New Roman" w:hAnsi="Times New Roman" w:cs="Times New Roman"/>
          <w:color w:val="000000"/>
          <w:sz w:val="20"/>
          <w:szCs w:val="20"/>
        </w:rPr>
        <w:t>&lt;0.05 vs no snack consumption eaters.</w:t>
      </w:r>
    </w:p>
    <w:p w14:paraId="000011B0"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Significant differences are in bold and highlighted.</w:t>
      </w:r>
    </w:p>
    <w:p w14:paraId="000011B1" w14:textId="77777777" w:rsidR="00CB4215" w:rsidRDefault="00CB4215">
      <w:pPr>
        <w:spacing w:line="240" w:lineRule="auto"/>
        <w:rPr>
          <w:rFonts w:ascii="Times New Roman" w:eastAsia="Times New Roman" w:hAnsi="Times New Roman" w:cs="Times New Roman"/>
          <w:color w:val="000000"/>
          <w:sz w:val="24"/>
          <w:szCs w:val="24"/>
        </w:rPr>
      </w:pPr>
    </w:p>
    <w:p w14:paraId="000011B2" w14:textId="77777777" w:rsidR="00CB4215" w:rsidRDefault="00CB4215">
      <w:pPr>
        <w:spacing w:line="240" w:lineRule="auto"/>
        <w:rPr>
          <w:rFonts w:ascii="Times New Roman" w:eastAsia="Times New Roman" w:hAnsi="Times New Roman" w:cs="Times New Roman"/>
          <w:b/>
          <w:color w:val="000000"/>
        </w:rPr>
      </w:pPr>
    </w:p>
    <w:p w14:paraId="000011B3" w14:textId="77777777" w:rsidR="00CB4215" w:rsidRPr="0064076D" w:rsidRDefault="000530B4">
      <w:pPr>
        <w:spacing w:line="240" w:lineRule="auto"/>
        <w:rPr>
          <w:rFonts w:ascii="Times New Roman" w:eastAsia="Times New Roman" w:hAnsi="Times New Roman" w:cs="Times New Roman"/>
          <w:bCs/>
          <w:color w:val="000000"/>
          <w:sz w:val="20"/>
          <w:szCs w:val="20"/>
        </w:rPr>
      </w:pPr>
      <w:r w:rsidRPr="0064076D">
        <w:rPr>
          <w:rFonts w:ascii="Times New Roman" w:eastAsia="Times New Roman" w:hAnsi="Times New Roman" w:cs="Times New Roman"/>
          <w:bCs/>
          <w:i/>
          <w:iCs/>
          <w:color w:val="000000"/>
          <w:sz w:val="20"/>
          <w:szCs w:val="20"/>
        </w:rPr>
        <w:t>Table S2.</w:t>
      </w:r>
      <w:r w:rsidRPr="0064076D">
        <w:rPr>
          <w:rFonts w:ascii="Times New Roman" w:eastAsia="Times New Roman" w:hAnsi="Times New Roman" w:cs="Times New Roman"/>
          <w:bCs/>
          <w:color w:val="000000"/>
          <w:sz w:val="20"/>
          <w:szCs w:val="20"/>
        </w:rPr>
        <w:t xml:space="preserve"> Comparison of health behaviours in 3 snack chaotic eating groups </w:t>
      </w:r>
    </w:p>
    <w:tbl>
      <w:tblPr>
        <w:tblStyle w:val="afb"/>
        <w:tblW w:w="9029" w:type="dxa"/>
        <w:tblLayout w:type="fixed"/>
        <w:tblLook w:val="0400" w:firstRow="0" w:lastRow="0" w:firstColumn="0" w:lastColumn="0" w:noHBand="0" w:noVBand="1"/>
      </w:tblPr>
      <w:tblGrid>
        <w:gridCol w:w="1799"/>
        <w:gridCol w:w="695"/>
        <w:gridCol w:w="844"/>
        <w:gridCol w:w="820"/>
        <w:gridCol w:w="702"/>
        <w:gridCol w:w="814"/>
        <w:gridCol w:w="835"/>
        <w:gridCol w:w="690"/>
        <w:gridCol w:w="912"/>
        <w:gridCol w:w="918"/>
      </w:tblGrid>
      <w:tr w:rsidR="00CB4215" w14:paraId="71D16E1A" w14:textId="77777777">
        <w:trPr>
          <w:trHeight w:val="420"/>
        </w:trPr>
        <w:tc>
          <w:tcPr>
            <w:tcW w:w="4158" w:type="dxa"/>
            <w:gridSpan w:val="4"/>
            <w:tcBorders>
              <w:top w:val="single" w:sz="8" w:space="0" w:color="000000"/>
            </w:tcBorders>
            <w:tcMar>
              <w:top w:w="100" w:type="dxa"/>
              <w:left w:w="100" w:type="dxa"/>
              <w:bottom w:w="100" w:type="dxa"/>
              <w:right w:w="100" w:type="dxa"/>
            </w:tcMar>
          </w:tcPr>
          <w:p w14:paraId="000011B4" w14:textId="77777777" w:rsidR="00CB4215" w:rsidRDefault="00CB4215">
            <w:pPr>
              <w:spacing w:line="240" w:lineRule="auto"/>
              <w:rPr>
                <w:rFonts w:ascii="Times New Roman" w:eastAsia="Times New Roman" w:hAnsi="Times New Roman" w:cs="Times New Roman"/>
                <w:color w:val="000000"/>
              </w:rPr>
            </w:pPr>
          </w:p>
        </w:tc>
        <w:tc>
          <w:tcPr>
            <w:tcW w:w="1516" w:type="dxa"/>
            <w:gridSpan w:val="2"/>
            <w:tcBorders>
              <w:top w:val="single" w:sz="4" w:space="0" w:color="000000"/>
              <w:bottom w:val="single" w:sz="8" w:space="0" w:color="000000"/>
            </w:tcBorders>
            <w:tcMar>
              <w:top w:w="100" w:type="dxa"/>
              <w:left w:w="100" w:type="dxa"/>
              <w:bottom w:w="100" w:type="dxa"/>
              <w:right w:w="100" w:type="dxa"/>
            </w:tcMar>
          </w:tcPr>
          <w:p w14:paraId="000011B8"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snack consumption eaters</w:t>
            </w:r>
          </w:p>
          <w:p w14:paraId="000011B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(n=56)</w:t>
            </w:r>
          </w:p>
        </w:tc>
        <w:tc>
          <w:tcPr>
            <w:tcW w:w="1525" w:type="dxa"/>
            <w:gridSpan w:val="2"/>
            <w:tcBorders>
              <w:top w:val="single" w:sz="4" w:space="0" w:color="000000"/>
              <w:bottom w:val="single" w:sz="8" w:space="0" w:color="000000"/>
            </w:tcBorders>
            <w:tcMar>
              <w:top w:w="100" w:type="dxa"/>
              <w:left w:w="100" w:type="dxa"/>
              <w:bottom w:w="100" w:type="dxa"/>
              <w:right w:w="100" w:type="dxa"/>
            </w:tcMar>
          </w:tcPr>
          <w:p w14:paraId="000011BB"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Low snack chaotic eaters</w:t>
            </w:r>
          </w:p>
          <w:p w14:paraId="000011BC"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(0.5-1)</w:t>
            </w:r>
          </w:p>
          <w:p w14:paraId="000011BD"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(n=140)</w:t>
            </w:r>
          </w:p>
        </w:tc>
        <w:tc>
          <w:tcPr>
            <w:tcW w:w="1830" w:type="dxa"/>
            <w:gridSpan w:val="2"/>
            <w:tcBorders>
              <w:top w:val="single" w:sz="4" w:space="0" w:color="000000"/>
              <w:bottom w:val="single" w:sz="8" w:space="0" w:color="000000"/>
            </w:tcBorders>
            <w:tcMar>
              <w:top w:w="100" w:type="dxa"/>
              <w:left w:w="100" w:type="dxa"/>
              <w:bottom w:w="100" w:type="dxa"/>
              <w:right w:w="100" w:type="dxa"/>
            </w:tcMar>
          </w:tcPr>
          <w:p w14:paraId="000011BF"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snack chaotic eaters</w:t>
            </w:r>
          </w:p>
          <w:p w14:paraId="000011C0"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(1.25-4)</w:t>
            </w:r>
          </w:p>
          <w:p w14:paraId="000011C1"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(n=56)</w:t>
            </w:r>
          </w:p>
        </w:tc>
      </w:tr>
      <w:tr w:rsidR="00CB4215" w14:paraId="0A79DD4D" w14:textId="77777777">
        <w:tc>
          <w:tcPr>
            <w:tcW w:w="1799" w:type="dxa"/>
            <w:tcBorders>
              <w:bottom w:val="single" w:sz="8" w:space="0" w:color="000000"/>
            </w:tcBorders>
            <w:tcMar>
              <w:top w:w="100" w:type="dxa"/>
              <w:left w:w="100" w:type="dxa"/>
              <w:bottom w:w="100" w:type="dxa"/>
              <w:right w:w="100" w:type="dxa"/>
            </w:tcMar>
          </w:tcPr>
          <w:p w14:paraId="000011C3"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Dependent variable</w:t>
            </w:r>
          </w:p>
        </w:tc>
        <w:tc>
          <w:tcPr>
            <w:tcW w:w="695" w:type="dxa"/>
            <w:tcBorders>
              <w:bottom w:val="single" w:sz="8" w:space="0" w:color="000000"/>
            </w:tcBorders>
            <w:tcMar>
              <w:top w:w="100" w:type="dxa"/>
              <w:left w:w="100" w:type="dxa"/>
              <w:bottom w:w="100" w:type="dxa"/>
              <w:right w:w="100" w:type="dxa"/>
            </w:tcMar>
          </w:tcPr>
          <w:p w14:paraId="000011C4"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w:t>
            </w:r>
          </w:p>
        </w:tc>
        <w:tc>
          <w:tcPr>
            <w:tcW w:w="844" w:type="dxa"/>
            <w:tcBorders>
              <w:bottom w:val="single" w:sz="8" w:space="0" w:color="000000"/>
            </w:tcBorders>
            <w:tcMar>
              <w:top w:w="100" w:type="dxa"/>
              <w:left w:w="100" w:type="dxa"/>
              <w:bottom w:w="100" w:type="dxa"/>
              <w:right w:w="100" w:type="dxa"/>
            </w:tcMar>
          </w:tcPr>
          <w:p w14:paraId="000011C5"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p>
        </w:tc>
        <w:tc>
          <w:tcPr>
            <w:tcW w:w="820" w:type="dxa"/>
            <w:tcBorders>
              <w:bottom w:val="single" w:sz="8" w:space="0" w:color="000000"/>
            </w:tcBorders>
            <w:tcMar>
              <w:top w:w="100" w:type="dxa"/>
              <w:left w:w="100" w:type="dxa"/>
              <w:bottom w:w="100" w:type="dxa"/>
              <w:right w:w="100" w:type="dxa"/>
            </w:tcMar>
          </w:tcPr>
          <w:p w14:paraId="000011C6"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i/>
                <w:color w:val="000000"/>
                <w:highlight w:val="white"/>
              </w:rPr>
              <w:t>η2</w:t>
            </w:r>
          </w:p>
        </w:tc>
        <w:tc>
          <w:tcPr>
            <w:tcW w:w="702" w:type="dxa"/>
            <w:tcBorders>
              <w:top w:val="single" w:sz="8" w:space="0" w:color="000000"/>
              <w:bottom w:val="single" w:sz="8" w:space="0" w:color="000000"/>
            </w:tcBorders>
            <w:tcMar>
              <w:top w:w="100" w:type="dxa"/>
              <w:left w:w="100" w:type="dxa"/>
              <w:bottom w:w="100" w:type="dxa"/>
              <w:right w:w="100" w:type="dxa"/>
            </w:tcMar>
          </w:tcPr>
          <w:p w14:paraId="000011C7"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814" w:type="dxa"/>
            <w:tcBorders>
              <w:top w:val="single" w:sz="8" w:space="0" w:color="000000"/>
              <w:bottom w:val="single" w:sz="8" w:space="0" w:color="000000"/>
            </w:tcBorders>
            <w:tcMar>
              <w:top w:w="100" w:type="dxa"/>
              <w:left w:w="100" w:type="dxa"/>
              <w:bottom w:w="100" w:type="dxa"/>
              <w:right w:w="100" w:type="dxa"/>
            </w:tcMar>
          </w:tcPr>
          <w:p w14:paraId="000011C8"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c>
          <w:tcPr>
            <w:tcW w:w="835" w:type="dxa"/>
            <w:tcBorders>
              <w:top w:val="single" w:sz="8" w:space="0" w:color="000000"/>
              <w:bottom w:val="single" w:sz="8" w:space="0" w:color="000000"/>
            </w:tcBorders>
            <w:tcMar>
              <w:top w:w="100" w:type="dxa"/>
              <w:left w:w="100" w:type="dxa"/>
              <w:bottom w:w="100" w:type="dxa"/>
              <w:right w:w="100" w:type="dxa"/>
            </w:tcMar>
          </w:tcPr>
          <w:p w14:paraId="000011C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90" w:type="dxa"/>
            <w:tcBorders>
              <w:top w:val="single" w:sz="8" w:space="0" w:color="000000"/>
              <w:bottom w:val="single" w:sz="8" w:space="0" w:color="000000"/>
            </w:tcBorders>
            <w:tcMar>
              <w:top w:w="100" w:type="dxa"/>
              <w:left w:w="100" w:type="dxa"/>
              <w:bottom w:w="100" w:type="dxa"/>
              <w:right w:w="100" w:type="dxa"/>
            </w:tcMar>
          </w:tcPr>
          <w:p w14:paraId="000011CA"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c>
          <w:tcPr>
            <w:tcW w:w="912" w:type="dxa"/>
            <w:tcBorders>
              <w:top w:val="single" w:sz="8" w:space="0" w:color="000000"/>
              <w:bottom w:val="single" w:sz="8" w:space="0" w:color="000000"/>
            </w:tcBorders>
            <w:tcMar>
              <w:top w:w="100" w:type="dxa"/>
              <w:left w:w="100" w:type="dxa"/>
              <w:bottom w:w="100" w:type="dxa"/>
              <w:right w:w="100" w:type="dxa"/>
            </w:tcMar>
          </w:tcPr>
          <w:p w14:paraId="000011CB"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918" w:type="dxa"/>
            <w:tcBorders>
              <w:top w:val="single" w:sz="8" w:space="0" w:color="000000"/>
              <w:bottom w:val="single" w:sz="8" w:space="0" w:color="000000"/>
            </w:tcBorders>
            <w:tcMar>
              <w:top w:w="100" w:type="dxa"/>
              <w:left w:w="100" w:type="dxa"/>
              <w:bottom w:w="100" w:type="dxa"/>
              <w:right w:w="100" w:type="dxa"/>
            </w:tcMar>
          </w:tcPr>
          <w:p w14:paraId="000011CC"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r>
      <w:tr w:rsidR="00CB4215" w:rsidRPr="00410932" w14:paraId="002B7E36" w14:textId="77777777" w:rsidTr="00410932">
        <w:trPr>
          <w:trHeight w:val="494"/>
        </w:trPr>
        <w:tc>
          <w:tcPr>
            <w:tcW w:w="1799" w:type="dxa"/>
            <w:tcBorders>
              <w:top w:val="single" w:sz="8" w:space="0" w:color="000000"/>
            </w:tcBorders>
            <w:shd w:val="clear" w:color="auto" w:fill="FFFF00"/>
            <w:tcMar>
              <w:top w:w="100" w:type="dxa"/>
              <w:left w:w="100" w:type="dxa"/>
              <w:bottom w:w="100" w:type="dxa"/>
              <w:right w:w="100" w:type="dxa"/>
            </w:tcMar>
          </w:tcPr>
          <w:p w14:paraId="000011CD" w14:textId="77777777" w:rsidR="00CB4215" w:rsidRPr="00410932" w:rsidRDefault="000530B4">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Daily consumption window (h)</w:t>
            </w:r>
          </w:p>
        </w:tc>
        <w:tc>
          <w:tcPr>
            <w:tcW w:w="695" w:type="dxa"/>
            <w:tcBorders>
              <w:top w:val="single" w:sz="8" w:space="0" w:color="000000"/>
            </w:tcBorders>
            <w:shd w:val="clear" w:color="auto" w:fill="FFFF00"/>
            <w:tcMar>
              <w:top w:w="100" w:type="dxa"/>
              <w:left w:w="100" w:type="dxa"/>
              <w:bottom w:w="100" w:type="dxa"/>
              <w:right w:w="100" w:type="dxa"/>
            </w:tcMar>
          </w:tcPr>
          <w:p w14:paraId="000011CE" w14:textId="77777777" w:rsidR="00CB4215" w:rsidRPr="00410932" w:rsidRDefault="000530B4">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12.12</w:t>
            </w:r>
          </w:p>
        </w:tc>
        <w:tc>
          <w:tcPr>
            <w:tcW w:w="844" w:type="dxa"/>
            <w:tcBorders>
              <w:top w:val="single" w:sz="8" w:space="0" w:color="000000"/>
            </w:tcBorders>
            <w:shd w:val="clear" w:color="auto" w:fill="FFFF00"/>
            <w:tcMar>
              <w:top w:w="100" w:type="dxa"/>
              <w:left w:w="100" w:type="dxa"/>
              <w:bottom w:w="100" w:type="dxa"/>
              <w:right w:w="100" w:type="dxa"/>
            </w:tcMar>
          </w:tcPr>
          <w:p w14:paraId="000011CF" w14:textId="4921809D" w:rsidR="00CB4215" w:rsidRPr="00410932" w:rsidRDefault="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&lt;0.001</w:t>
            </w:r>
          </w:p>
        </w:tc>
        <w:tc>
          <w:tcPr>
            <w:tcW w:w="820" w:type="dxa"/>
            <w:tcBorders>
              <w:top w:val="single" w:sz="8" w:space="0" w:color="000000"/>
            </w:tcBorders>
            <w:shd w:val="clear" w:color="auto" w:fill="FFFF00"/>
            <w:tcMar>
              <w:top w:w="100" w:type="dxa"/>
              <w:left w:w="100" w:type="dxa"/>
              <w:bottom w:w="100" w:type="dxa"/>
              <w:right w:w="100" w:type="dxa"/>
            </w:tcMar>
          </w:tcPr>
          <w:p w14:paraId="000011D0" w14:textId="77777777" w:rsidR="00CB4215" w:rsidRPr="00410932" w:rsidRDefault="000530B4">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0.10</w:t>
            </w:r>
          </w:p>
        </w:tc>
        <w:tc>
          <w:tcPr>
            <w:tcW w:w="702" w:type="dxa"/>
            <w:tcBorders>
              <w:top w:val="single" w:sz="8" w:space="0" w:color="000000"/>
            </w:tcBorders>
            <w:shd w:val="clear" w:color="auto" w:fill="FFFF00"/>
            <w:tcMar>
              <w:top w:w="100" w:type="dxa"/>
              <w:left w:w="100" w:type="dxa"/>
              <w:bottom w:w="100" w:type="dxa"/>
              <w:right w:w="100" w:type="dxa"/>
            </w:tcMar>
          </w:tcPr>
          <w:p w14:paraId="000011D1" w14:textId="77777777" w:rsidR="00CB4215" w:rsidRPr="00410932" w:rsidRDefault="000530B4">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9.45</w:t>
            </w:r>
          </w:p>
        </w:tc>
        <w:tc>
          <w:tcPr>
            <w:tcW w:w="814" w:type="dxa"/>
            <w:tcBorders>
              <w:top w:val="single" w:sz="8" w:space="0" w:color="000000"/>
            </w:tcBorders>
            <w:shd w:val="clear" w:color="auto" w:fill="FFFF00"/>
            <w:tcMar>
              <w:top w:w="100" w:type="dxa"/>
              <w:left w:w="100" w:type="dxa"/>
              <w:bottom w:w="100" w:type="dxa"/>
              <w:right w:w="100" w:type="dxa"/>
            </w:tcMar>
          </w:tcPr>
          <w:p w14:paraId="000011D2" w14:textId="77777777" w:rsidR="00CB4215" w:rsidRPr="00410932" w:rsidRDefault="000530B4">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2.64</w:t>
            </w:r>
          </w:p>
        </w:tc>
        <w:tc>
          <w:tcPr>
            <w:tcW w:w="835" w:type="dxa"/>
            <w:tcBorders>
              <w:top w:val="single" w:sz="8" w:space="0" w:color="000000"/>
            </w:tcBorders>
            <w:shd w:val="clear" w:color="auto" w:fill="FFFF00"/>
            <w:tcMar>
              <w:top w:w="100" w:type="dxa"/>
              <w:left w:w="100" w:type="dxa"/>
              <w:bottom w:w="100" w:type="dxa"/>
              <w:right w:w="100" w:type="dxa"/>
            </w:tcMar>
          </w:tcPr>
          <w:p w14:paraId="000011D3" w14:textId="77777777" w:rsidR="00CB4215" w:rsidRPr="00410932" w:rsidRDefault="000530B4">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10.67</w:t>
            </w:r>
            <w:r w:rsidRPr="00410932">
              <w:rPr>
                <w:rFonts w:ascii="Times New Roman" w:eastAsia="Times New Roman" w:hAnsi="Times New Roman" w:cs="Times New Roman"/>
                <w:b/>
                <w:bCs/>
                <w:color w:val="000000"/>
                <w:vertAlign w:val="superscript"/>
              </w:rPr>
              <w:t>a</w:t>
            </w:r>
          </w:p>
        </w:tc>
        <w:tc>
          <w:tcPr>
            <w:tcW w:w="690" w:type="dxa"/>
            <w:tcBorders>
              <w:top w:val="single" w:sz="8" w:space="0" w:color="000000"/>
            </w:tcBorders>
            <w:shd w:val="clear" w:color="auto" w:fill="FFFF00"/>
            <w:tcMar>
              <w:top w:w="100" w:type="dxa"/>
              <w:left w:w="100" w:type="dxa"/>
              <w:bottom w:w="100" w:type="dxa"/>
              <w:right w:w="100" w:type="dxa"/>
            </w:tcMar>
          </w:tcPr>
          <w:p w14:paraId="000011D4" w14:textId="77777777" w:rsidR="00CB4215" w:rsidRPr="00410932" w:rsidRDefault="000530B4">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2.32</w:t>
            </w:r>
          </w:p>
        </w:tc>
        <w:tc>
          <w:tcPr>
            <w:tcW w:w="912" w:type="dxa"/>
            <w:tcBorders>
              <w:top w:val="single" w:sz="8" w:space="0" w:color="000000"/>
            </w:tcBorders>
            <w:shd w:val="clear" w:color="auto" w:fill="FFFF00"/>
            <w:tcMar>
              <w:top w:w="100" w:type="dxa"/>
              <w:left w:w="100" w:type="dxa"/>
              <w:bottom w:w="100" w:type="dxa"/>
              <w:right w:w="100" w:type="dxa"/>
            </w:tcMar>
          </w:tcPr>
          <w:p w14:paraId="000011D5" w14:textId="77777777" w:rsidR="00CB4215" w:rsidRPr="00410932" w:rsidRDefault="000530B4">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11.76</w:t>
            </w:r>
            <w:r w:rsidRPr="00410932">
              <w:rPr>
                <w:rFonts w:ascii="Times New Roman" w:eastAsia="Times New Roman" w:hAnsi="Times New Roman" w:cs="Times New Roman"/>
                <w:b/>
                <w:bCs/>
                <w:color w:val="000000"/>
                <w:vertAlign w:val="superscript"/>
              </w:rPr>
              <w:t>a</w:t>
            </w:r>
          </w:p>
        </w:tc>
        <w:tc>
          <w:tcPr>
            <w:tcW w:w="918" w:type="dxa"/>
            <w:tcBorders>
              <w:top w:val="single" w:sz="8" w:space="0" w:color="000000"/>
            </w:tcBorders>
            <w:shd w:val="clear" w:color="auto" w:fill="FFFF00"/>
            <w:tcMar>
              <w:top w:w="100" w:type="dxa"/>
              <w:left w:w="100" w:type="dxa"/>
              <w:bottom w:w="100" w:type="dxa"/>
              <w:right w:w="100" w:type="dxa"/>
            </w:tcMar>
          </w:tcPr>
          <w:p w14:paraId="000011D6" w14:textId="77777777" w:rsidR="00CB4215" w:rsidRPr="00410932" w:rsidRDefault="000530B4">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2.66</w:t>
            </w:r>
          </w:p>
        </w:tc>
      </w:tr>
      <w:tr w:rsidR="00CB4215" w14:paraId="1F9589AD" w14:textId="77777777">
        <w:tc>
          <w:tcPr>
            <w:tcW w:w="1799" w:type="dxa"/>
            <w:tcMar>
              <w:top w:w="100" w:type="dxa"/>
              <w:left w:w="100" w:type="dxa"/>
              <w:bottom w:w="100" w:type="dxa"/>
              <w:right w:w="100" w:type="dxa"/>
            </w:tcMar>
          </w:tcPr>
          <w:p w14:paraId="000011D7"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Sleep duration (h)</w:t>
            </w:r>
          </w:p>
        </w:tc>
        <w:tc>
          <w:tcPr>
            <w:tcW w:w="695" w:type="dxa"/>
            <w:tcMar>
              <w:top w:w="100" w:type="dxa"/>
              <w:left w:w="100" w:type="dxa"/>
              <w:bottom w:w="100" w:type="dxa"/>
              <w:right w:w="100" w:type="dxa"/>
            </w:tcMar>
          </w:tcPr>
          <w:p w14:paraId="000011D8"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844" w:type="dxa"/>
            <w:tcMar>
              <w:top w:w="100" w:type="dxa"/>
              <w:left w:w="100" w:type="dxa"/>
              <w:bottom w:w="100" w:type="dxa"/>
              <w:right w:w="100" w:type="dxa"/>
            </w:tcMar>
          </w:tcPr>
          <w:p w14:paraId="000011D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0.79</w:t>
            </w:r>
          </w:p>
        </w:tc>
        <w:tc>
          <w:tcPr>
            <w:tcW w:w="820" w:type="dxa"/>
            <w:tcMar>
              <w:top w:w="100" w:type="dxa"/>
              <w:left w:w="100" w:type="dxa"/>
              <w:bottom w:w="100" w:type="dxa"/>
              <w:right w:w="100" w:type="dxa"/>
            </w:tcMar>
          </w:tcPr>
          <w:p w14:paraId="000011DA"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0.002</w:t>
            </w:r>
          </w:p>
        </w:tc>
        <w:tc>
          <w:tcPr>
            <w:tcW w:w="702" w:type="dxa"/>
            <w:tcMar>
              <w:top w:w="100" w:type="dxa"/>
              <w:left w:w="100" w:type="dxa"/>
              <w:bottom w:w="100" w:type="dxa"/>
              <w:right w:w="100" w:type="dxa"/>
            </w:tcMar>
          </w:tcPr>
          <w:p w14:paraId="000011DB"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6.95</w:t>
            </w:r>
          </w:p>
        </w:tc>
        <w:tc>
          <w:tcPr>
            <w:tcW w:w="814" w:type="dxa"/>
            <w:tcMar>
              <w:top w:w="100" w:type="dxa"/>
              <w:left w:w="100" w:type="dxa"/>
              <w:bottom w:w="100" w:type="dxa"/>
              <w:right w:w="100" w:type="dxa"/>
            </w:tcMar>
          </w:tcPr>
          <w:p w14:paraId="000011DC"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0.92</w:t>
            </w:r>
          </w:p>
        </w:tc>
        <w:tc>
          <w:tcPr>
            <w:tcW w:w="835" w:type="dxa"/>
            <w:tcMar>
              <w:top w:w="100" w:type="dxa"/>
              <w:left w:w="100" w:type="dxa"/>
              <w:bottom w:w="100" w:type="dxa"/>
              <w:right w:w="100" w:type="dxa"/>
            </w:tcMar>
          </w:tcPr>
          <w:p w14:paraId="000011DD"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6.92</w:t>
            </w:r>
          </w:p>
        </w:tc>
        <w:tc>
          <w:tcPr>
            <w:tcW w:w="690" w:type="dxa"/>
            <w:tcMar>
              <w:top w:w="100" w:type="dxa"/>
              <w:left w:w="100" w:type="dxa"/>
              <w:bottom w:w="100" w:type="dxa"/>
              <w:right w:w="100" w:type="dxa"/>
            </w:tcMar>
          </w:tcPr>
          <w:p w14:paraId="000011DE"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1.13</w:t>
            </w:r>
          </w:p>
        </w:tc>
        <w:tc>
          <w:tcPr>
            <w:tcW w:w="912" w:type="dxa"/>
            <w:tcMar>
              <w:top w:w="100" w:type="dxa"/>
              <w:left w:w="100" w:type="dxa"/>
              <w:bottom w:w="100" w:type="dxa"/>
              <w:right w:w="100" w:type="dxa"/>
            </w:tcMar>
          </w:tcPr>
          <w:p w14:paraId="000011DF"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6.86</w:t>
            </w:r>
          </w:p>
        </w:tc>
        <w:tc>
          <w:tcPr>
            <w:tcW w:w="918" w:type="dxa"/>
            <w:tcMar>
              <w:top w:w="100" w:type="dxa"/>
              <w:left w:w="100" w:type="dxa"/>
              <w:bottom w:w="100" w:type="dxa"/>
              <w:right w:w="100" w:type="dxa"/>
            </w:tcMar>
          </w:tcPr>
          <w:p w14:paraId="000011E0"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1.12</w:t>
            </w:r>
          </w:p>
        </w:tc>
      </w:tr>
      <w:tr w:rsidR="00CB4215" w14:paraId="46CF8432" w14:textId="77777777">
        <w:tc>
          <w:tcPr>
            <w:tcW w:w="1799" w:type="dxa"/>
            <w:tcMar>
              <w:top w:w="100" w:type="dxa"/>
              <w:left w:w="100" w:type="dxa"/>
              <w:bottom w:w="100" w:type="dxa"/>
              <w:right w:w="100" w:type="dxa"/>
            </w:tcMar>
          </w:tcPr>
          <w:p w14:paraId="000011E1"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Wake time </w:t>
            </w:r>
          </w:p>
          <w:p w14:paraId="000011E2"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hh</w:t>
            </w:r>
            <w:proofErr w:type="spellEnd"/>
            <w:r>
              <w:rPr>
                <w:rFonts w:ascii="Times New Roman" w:eastAsia="Times New Roman" w:hAnsi="Times New Roman" w:cs="Times New Roman"/>
                <w:color w:val="000000"/>
              </w:rPr>
              <w:t>: mm)</w:t>
            </w:r>
          </w:p>
        </w:tc>
        <w:tc>
          <w:tcPr>
            <w:tcW w:w="695" w:type="dxa"/>
            <w:tcMar>
              <w:top w:w="100" w:type="dxa"/>
              <w:left w:w="100" w:type="dxa"/>
              <w:bottom w:w="100" w:type="dxa"/>
              <w:right w:w="100" w:type="dxa"/>
            </w:tcMar>
          </w:tcPr>
          <w:p w14:paraId="000011E3"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0.21</w:t>
            </w:r>
          </w:p>
        </w:tc>
        <w:tc>
          <w:tcPr>
            <w:tcW w:w="844" w:type="dxa"/>
            <w:tcMar>
              <w:top w:w="100" w:type="dxa"/>
              <w:left w:w="100" w:type="dxa"/>
              <w:bottom w:w="100" w:type="dxa"/>
              <w:right w:w="100" w:type="dxa"/>
            </w:tcMar>
          </w:tcPr>
          <w:p w14:paraId="000011E4"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0.81</w:t>
            </w:r>
          </w:p>
        </w:tc>
        <w:tc>
          <w:tcPr>
            <w:tcW w:w="820" w:type="dxa"/>
            <w:tcMar>
              <w:top w:w="100" w:type="dxa"/>
              <w:left w:w="100" w:type="dxa"/>
              <w:bottom w:w="100" w:type="dxa"/>
              <w:right w:w="100" w:type="dxa"/>
            </w:tcMar>
          </w:tcPr>
          <w:p w14:paraId="000011E5"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0.002</w:t>
            </w:r>
          </w:p>
        </w:tc>
        <w:tc>
          <w:tcPr>
            <w:tcW w:w="702" w:type="dxa"/>
            <w:tcMar>
              <w:top w:w="100" w:type="dxa"/>
              <w:left w:w="100" w:type="dxa"/>
              <w:bottom w:w="100" w:type="dxa"/>
              <w:right w:w="100" w:type="dxa"/>
            </w:tcMar>
          </w:tcPr>
          <w:p w14:paraId="000011E6"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7:42</w:t>
            </w:r>
          </w:p>
        </w:tc>
        <w:tc>
          <w:tcPr>
            <w:tcW w:w="814" w:type="dxa"/>
            <w:tcMar>
              <w:top w:w="100" w:type="dxa"/>
              <w:left w:w="100" w:type="dxa"/>
              <w:bottom w:w="100" w:type="dxa"/>
              <w:right w:w="100" w:type="dxa"/>
            </w:tcMar>
          </w:tcPr>
          <w:p w14:paraId="000011E7"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1:29</w:t>
            </w:r>
          </w:p>
        </w:tc>
        <w:tc>
          <w:tcPr>
            <w:tcW w:w="835" w:type="dxa"/>
            <w:tcMar>
              <w:top w:w="100" w:type="dxa"/>
              <w:left w:w="100" w:type="dxa"/>
              <w:bottom w:w="100" w:type="dxa"/>
              <w:right w:w="100" w:type="dxa"/>
            </w:tcMar>
          </w:tcPr>
          <w:p w14:paraId="000011E8"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7:42</w:t>
            </w:r>
          </w:p>
        </w:tc>
        <w:tc>
          <w:tcPr>
            <w:tcW w:w="690" w:type="dxa"/>
            <w:tcMar>
              <w:top w:w="100" w:type="dxa"/>
              <w:left w:w="100" w:type="dxa"/>
              <w:bottom w:w="100" w:type="dxa"/>
              <w:right w:w="100" w:type="dxa"/>
            </w:tcMar>
          </w:tcPr>
          <w:p w14:paraId="000011E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1:56</w:t>
            </w:r>
          </w:p>
        </w:tc>
        <w:tc>
          <w:tcPr>
            <w:tcW w:w="912" w:type="dxa"/>
            <w:tcMar>
              <w:top w:w="100" w:type="dxa"/>
              <w:left w:w="100" w:type="dxa"/>
              <w:bottom w:w="100" w:type="dxa"/>
              <w:right w:w="100" w:type="dxa"/>
            </w:tcMar>
          </w:tcPr>
          <w:p w14:paraId="000011EA"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7:58</w:t>
            </w:r>
          </w:p>
        </w:tc>
        <w:tc>
          <w:tcPr>
            <w:tcW w:w="918" w:type="dxa"/>
            <w:tcMar>
              <w:top w:w="100" w:type="dxa"/>
              <w:left w:w="100" w:type="dxa"/>
              <w:bottom w:w="100" w:type="dxa"/>
              <w:right w:w="100" w:type="dxa"/>
            </w:tcMar>
          </w:tcPr>
          <w:p w14:paraId="000011EB"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1:51</w:t>
            </w:r>
          </w:p>
        </w:tc>
      </w:tr>
      <w:tr w:rsidR="00CB4215" w14:paraId="220F4BEE" w14:textId="77777777">
        <w:tc>
          <w:tcPr>
            <w:tcW w:w="1799" w:type="dxa"/>
            <w:tcMar>
              <w:top w:w="100" w:type="dxa"/>
              <w:left w:w="100" w:type="dxa"/>
              <w:bottom w:w="100" w:type="dxa"/>
              <w:right w:w="100" w:type="dxa"/>
            </w:tcMar>
          </w:tcPr>
          <w:p w14:paraId="000011EC"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Sleep time </w:t>
            </w:r>
          </w:p>
          <w:p w14:paraId="000011ED"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t>
            </w:r>
            <w:proofErr w:type="spellStart"/>
            <w:r>
              <w:rPr>
                <w:rFonts w:ascii="Times New Roman" w:eastAsia="Times New Roman" w:hAnsi="Times New Roman" w:cs="Times New Roman"/>
                <w:color w:val="000000"/>
              </w:rPr>
              <w:t>hh</w:t>
            </w:r>
            <w:proofErr w:type="spellEnd"/>
            <w:r>
              <w:rPr>
                <w:rFonts w:ascii="Times New Roman" w:eastAsia="Times New Roman" w:hAnsi="Times New Roman" w:cs="Times New Roman"/>
                <w:color w:val="000000"/>
              </w:rPr>
              <w:t>: mm)</w:t>
            </w:r>
          </w:p>
        </w:tc>
        <w:tc>
          <w:tcPr>
            <w:tcW w:w="695" w:type="dxa"/>
            <w:tcMar>
              <w:top w:w="100" w:type="dxa"/>
              <w:left w:w="100" w:type="dxa"/>
              <w:bottom w:w="100" w:type="dxa"/>
              <w:right w:w="100" w:type="dxa"/>
            </w:tcMar>
          </w:tcPr>
          <w:p w14:paraId="000011EE"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0.02</w:t>
            </w:r>
          </w:p>
        </w:tc>
        <w:tc>
          <w:tcPr>
            <w:tcW w:w="844" w:type="dxa"/>
            <w:tcMar>
              <w:top w:w="100" w:type="dxa"/>
              <w:left w:w="100" w:type="dxa"/>
              <w:bottom w:w="100" w:type="dxa"/>
              <w:right w:w="100" w:type="dxa"/>
            </w:tcMar>
          </w:tcPr>
          <w:p w14:paraId="000011EF"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0.99</w:t>
            </w:r>
          </w:p>
        </w:tc>
        <w:tc>
          <w:tcPr>
            <w:tcW w:w="820" w:type="dxa"/>
            <w:tcMar>
              <w:top w:w="100" w:type="dxa"/>
              <w:left w:w="100" w:type="dxa"/>
              <w:bottom w:w="100" w:type="dxa"/>
              <w:right w:w="100" w:type="dxa"/>
            </w:tcMar>
          </w:tcPr>
          <w:p w14:paraId="000011F0"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&lt;0.001</w:t>
            </w:r>
          </w:p>
        </w:tc>
        <w:tc>
          <w:tcPr>
            <w:tcW w:w="702" w:type="dxa"/>
            <w:tcMar>
              <w:top w:w="100" w:type="dxa"/>
              <w:left w:w="100" w:type="dxa"/>
              <w:bottom w:w="100" w:type="dxa"/>
              <w:right w:w="100" w:type="dxa"/>
            </w:tcMar>
          </w:tcPr>
          <w:p w14:paraId="000011F1"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23:25</w:t>
            </w:r>
          </w:p>
        </w:tc>
        <w:tc>
          <w:tcPr>
            <w:tcW w:w="814" w:type="dxa"/>
            <w:tcMar>
              <w:top w:w="100" w:type="dxa"/>
              <w:left w:w="100" w:type="dxa"/>
              <w:bottom w:w="100" w:type="dxa"/>
              <w:right w:w="100" w:type="dxa"/>
            </w:tcMar>
          </w:tcPr>
          <w:p w14:paraId="000011F2"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1:23</w:t>
            </w:r>
          </w:p>
        </w:tc>
        <w:tc>
          <w:tcPr>
            <w:tcW w:w="835" w:type="dxa"/>
            <w:tcMar>
              <w:top w:w="100" w:type="dxa"/>
              <w:left w:w="100" w:type="dxa"/>
              <w:bottom w:w="100" w:type="dxa"/>
              <w:right w:w="100" w:type="dxa"/>
            </w:tcMar>
          </w:tcPr>
          <w:p w14:paraId="000011F3"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23:24</w:t>
            </w:r>
          </w:p>
        </w:tc>
        <w:tc>
          <w:tcPr>
            <w:tcW w:w="690" w:type="dxa"/>
            <w:tcMar>
              <w:top w:w="100" w:type="dxa"/>
              <w:left w:w="100" w:type="dxa"/>
              <w:bottom w:w="100" w:type="dxa"/>
              <w:right w:w="100" w:type="dxa"/>
            </w:tcMar>
          </w:tcPr>
          <w:p w14:paraId="000011F4"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1:40</w:t>
            </w:r>
          </w:p>
        </w:tc>
        <w:tc>
          <w:tcPr>
            <w:tcW w:w="912" w:type="dxa"/>
            <w:tcMar>
              <w:top w:w="100" w:type="dxa"/>
              <w:left w:w="100" w:type="dxa"/>
              <w:bottom w:w="100" w:type="dxa"/>
              <w:right w:w="100" w:type="dxa"/>
            </w:tcMar>
          </w:tcPr>
          <w:p w14:paraId="000011F5"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23:32</w:t>
            </w:r>
          </w:p>
        </w:tc>
        <w:tc>
          <w:tcPr>
            <w:tcW w:w="918" w:type="dxa"/>
            <w:tcMar>
              <w:top w:w="100" w:type="dxa"/>
              <w:left w:w="100" w:type="dxa"/>
              <w:bottom w:w="100" w:type="dxa"/>
              <w:right w:w="100" w:type="dxa"/>
            </w:tcMar>
          </w:tcPr>
          <w:p w14:paraId="000011F6"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1:27</w:t>
            </w:r>
          </w:p>
        </w:tc>
      </w:tr>
      <w:tr w:rsidR="00CB4215" w14:paraId="3FE0B42A" w14:textId="77777777">
        <w:tc>
          <w:tcPr>
            <w:tcW w:w="1799" w:type="dxa"/>
            <w:tcMar>
              <w:top w:w="100" w:type="dxa"/>
              <w:left w:w="100" w:type="dxa"/>
              <w:bottom w:w="100" w:type="dxa"/>
              <w:right w:w="100" w:type="dxa"/>
            </w:tcMar>
          </w:tcPr>
          <w:p w14:paraId="000011F7"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Physical activity</w:t>
            </w:r>
          </w:p>
        </w:tc>
        <w:tc>
          <w:tcPr>
            <w:tcW w:w="695" w:type="dxa"/>
            <w:tcMar>
              <w:top w:w="100" w:type="dxa"/>
              <w:left w:w="100" w:type="dxa"/>
              <w:bottom w:w="100" w:type="dxa"/>
              <w:right w:w="100" w:type="dxa"/>
            </w:tcMar>
          </w:tcPr>
          <w:p w14:paraId="000011F8"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0.12</w:t>
            </w:r>
          </w:p>
        </w:tc>
        <w:tc>
          <w:tcPr>
            <w:tcW w:w="844" w:type="dxa"/>
            <w:tcMar>
              <w:top w:w="100" w:type="dxa"/>
              <w:left w:w="100" w:type="dxa"/>
              <w:bottom w:w="100" w:type="dxa"/>
              <w:right w:w="100" w:type="dxa"/>
            </w:tcMar>
          </w:tcPr>
          <w:p w14:paraId="000011F9"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0.89</w:t>
            </w:r>
          </w:p>
        </w:tc>
        <w:tc>
          <w:tcPr>
            <w:tcW w:w="820" w:type="dxa"/>
            <w:tcMar>
              <w:top w:w="100" w:type="dxa"/>
              <w:left w:w="100" w:type="dxa"/>
              <w:bottom w:w="100" w:type="dxa"/>
              <w:right w:w="100" w:type="dxa"/>
            </w:tcMar>
          </w:tcPr>
          <w:p w14:paraId="000011FA"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702" w:type="dxa"/>
            <w:tcMar>
              <w:top w:w="100" w:type="dxa"/>
              <w:left w:w="100" w:type="dxa"/>
              <w:bottom w:w="100" w:type="dxa"/>
              <w:right w:w="100" w:type="dxa"/>
            </w:tcMar>
          </w:tcPr>
          <w:p w14:paraId="000011FB"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3.09</w:t>
            </w:r>
          </w:p>
        </w:tc>
        <w:tc>
          <w:tcPr>
            <w:tcW w:w="814" w:type="dxa"/>
            <w:tcMar>
              <w:top w:w="100" w:type="dxa"/>
              <w:left w:w="100" w:type="dxa"/>
              <w:bottom w:w="100" w:type="dxa"/>
              <w:right w:w="100" w:type="dxa"/>
            </w:tcMar>
          </w:tcPr>
          <w:p w14:paraId="000011FC"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2.13</w:t>
            </w:r>
          </w:p>
        </w:tc>
        <w:tc>
          <w:tcPr>
            <w:tcW w:w="835" w:type="dxa"/>
            <w:tcMar>
              <w:top w:w="100" w:type="dxa"/>
              <w:left w:w="100" w:type="dxa"/>
              <w:bottom w:w="100" w:type="dxa"/>
              <w:right w:w="100" w:type="dxa"/>
            </w:tcMar>
          </w:tcPr>
          <w:p w14:paraId="000011FD"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2.91</w:t>
            </w:r>
          </w:p>
        </w:tc>
        <w:tc>
          <w:tcPr>
            <w:tcW w:w="690" w:type="dxa"/>
            <w:tcMar>
              <w:top w:w="100" w:type="dxa"/>
              <w:left w:w="100" w:type="dxa"/>
              <w:bottom w:w="100" w:type="dxa"/>
              <w:right w:w="100" w:type="dxa"/>
            </w:tcMar>
          </w:tcPr>
          <w:p w14:paraId="000011FE"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2.15</w:t>
            </w:r>
          </w:p>
        </w:tc>
        <w:tc>
          <w:tcPr>
            <w:tcW w:w="912" w:type="dxa"/>
            <w:tcMar>
              <w:top w:w="100" w:type="dxa"/>
              <w:left w:w="100" w:type="dxa"/>
              <w:bottom w:w="100" w:type="dxa"/>
              <w:right w:w="100" w:type="dxa"/>
            </w:tcMar>
          </w:tcPr>
          <w:p w14:paraId="000011FF"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2.89</w:t>
            </w:r>
          </w:p>
        </w:tc>
        <w:tc>
          <w:tcPr>
            <w:tcW w:w="918" w:type="dxa"/>
            <w:tcMar>
              <w:top w:w="100" w:type="dxa"/>
              <w:left w:w="100" w:type="dxa"/>
              <w:bottom w:w="100" w:type="dxa"/>
              <w:right w:w="100" w:type="dxa"/>
            </w:tcMar>
          </w:tcPr>
          <w:p w14:paraId="00001200" w14:textId="77777777" w:rsidR="00CB4215" w:rsidRDefault="000530B4">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2.10</w:t>
            </w:r>
          </w:p>
        </w:tc>
      </w:tr>
      <w:tr w:rsidR="00410932" w:rsidRPr="00410932" w14:paraId="2A6C8CC5" w14:textId="77777777" w:rsidTr="00410932">
        <w:trPr>
          <w:trHeight w:val="483"/>
        </w:trPr>
        <w:tc>
          <w:tcPr>
            <w:tcW w:w="1799" w:type="dxa"/>
            <w:tcBorders>
              <w:bottom w:val="single" w:sz="8" w:space="0" w:color="000000"/>
            </w:tcBorders>
            <w:shd w:val="clear" w:color="auto" w:fill="FFFF00"/>
            <w:tcMar>
              <w:top w:w="100" w:type="dxa"/>
              <w:left w:w="100" w:type="dxa"/>
              <w:bottom w:w="100" w:type="dxa"/>
              <w:right w:w="100" w:type="dxa"/>
            </w:tcMar>
          </w:tcPr>
          <w:p w14:paraId="00001201" w14:textId="77777777" w:rsidR="00410932" w:rsidRPr="00410932" w:rsidRDefault="00410932" w:rsidP="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Dietary Quality Score</w:t>
            </w:r>
          </w:p>
        </w:tc>
        <w:tc>
          <w:tcPr>
            <w:tcW w:w="695" w:type="dxa"/>
            <w:tcBorders>
              <w:bottom w:val="single" w:sz="8" w:space="0" w:color="000000"/>
            </w:tcBorders>
            <w:shd w:val="clear" w:color="auto" w:fill="FFFF00"/>
            <w:tcMar>
              <w:top w:w="100" w:type="dxa"/>
              <w:left w:w="100" w:type="dxa"/>
              <w:bottom w:w="100" w:type="dxa"/>
              <w:right w:w="100" w:type="dxa"/>
            </w:tcMar>
          </w:tcPr>
          <w:p w14:paraId="00001202" w14:textId="77777777" w:rsidR="00410932" w:rsidRPr="00410932" w:rsidRDefault="00410932" w:rsidP="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6.41</w:t>
            </w:r>
          </w:p>
        </w:tc>
        <w:tc>
          <w:tcPr>
            <w:tcW w:w="844" w:type="dxa"/>
            <w:tcBorders>
              <w:bottom w:val="single" w:sz="8" w:space="0" w:color="000000"/>
            </w:tcBorders>
            <w:shd w:val="clear" w:color="auto" w:fill="FFFF00"/>
            <w:tcMar>
              <w:top w:w="100" w:type="dxa"/>
              <w:left w:w="100" w:type="dxa"/>
              <w:bottom w:w="100" w:type="dxa"/>
              <w:right w:w="100" w:type="dxa"/>
            </w:tcMar>
          </w:tcPr>
          <w:p w14:paraId="00001203" w14:textId="69F44BE3" w:rsidR="00410932" w:rsidRPr="00410932" w:rsidRDefault="00410932" w:rsidP="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0.002</w:t>
            </w:r>
          </w:p>
        </w:tc>
        <w:tc>
          <w:tcPr>
            <w:tcW w:w="820" w:type="dxa"/>
            <w:tcBorders>
              <w:bottom w:val="single" w:sz="8" w:space="0" w:color="000000"/>
            </w:tcBorders>
            <w:shd w:val="clear" w:color="auto" w:fill="FFFF00"/>
            <w:tcMar>
              <w:top w:w="100" w:type="dxa"/>
              <w:left w:w="100" w:type="dxa"/>
              <w:bottom w:w="100" w:type="dxa"/>
              <w:right w:w="100" w:type="dxa"/>
            </w:tcMar>
          </w:tcPr>
          <w:p w14:paraId="00001204" w14:textId="77777777" w:rsidR="00410932" w:rsidRPr="00410932" w:rsidRDefault="00410932" w:rsidP="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0.05</w:t>
            </w:r>
          </w:p>
        </w:tc>
        <w:tc>
          <w:tcPr>
            <w:tcW w:w="702" w:type="dxa"/>
            <w:tcBorders>
              <w:bottom w:val="single" w:sz="8" w:space="0" w:color="000000"/>
            </w:tcBorders>
            <w:shd w:val="clear" w:color="auto" w:fill="FFFF00"/>
            <w:tcMar>
              <w:top w:w="100" w:type="dxa"/>
              <w:left w:w="100" w:type="dxa"/>
              <w:bottom w:w="100" w:type="dxa"/>
              <w:right w:w="100" w:type="dxa"/>
            </w:tcMar>
          </w:tcPr>
          <w:p w14:paraId="00001205" w14:textId="77777777" w:rsidR="00410932" w:rsidRPr="00410932" w:rsidRDefault="00410932" w:rsidP="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10.71</w:t>
            </w:r>
          </w:p>
        </w:tc>
        <w:tc>
          <w:tcPr>
            <w:tcW w:w="814" w:type="dxa"/>
            <w:tcBorders>
              <w:bottom w:val="single" w:sz="8" w:space="0" w:color="000000"/>
            </w:tcBorders>
            <w:shd w:val="clear" w:color="auto" w:fill="FFFF00"/>
            <w:tcMar>
              <w:top w:w="100" w:type="dxa"/>
              <w:left w:w="100" w:type="dxa"/>
              <w:bottom w:w="100" w:type="dxa"/>
              <w:right w:w="100" w:type="dxa"/>
            </w:tcMar>
          </w:tcPr>
          <w:p w14:paraId="00001206" w14:textId="77777777" w:rsidR="00410932" w:rsidRPr="00410932" w:rsidRDefault="00410932" w:rsidP="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1.69</w:t>
            </w:r>
          </w:p>
        </w:tc>
        <w:tc>
          <w:tcPr>
            <w:tcW w:w="835" w:type="dxa"/>
            <w:tcBorders>
              <w:bottom w:val="single" w:sz="8" w:space="0" w:color="000000"/>
            </w:tcBorders>
            <w:shd w:val="clear" w:color="auto" w:fill="FFFF00"/>
            <w:tcMar>
              <w:top w:w="100" w:type="dxa"/>
              <w:left w:w="100" w:type="dxa"/>
              <w:bottom w:w="100" w:type="dxa"/>
              <w:right w:w="100" w:type="dxa"/>
            </w:tcMar>
          </w:tcPr>
          <w:p w14:paraId="00001207" w14:textId="77777777" w:rsidR="00410932" w:rsidRPr="00410932" w:rsidRDefault="00410932" w:rsidP="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9.76</w:t>
            </w:r>
            <w:r w:rsidRPr="00410932">
              <w:rPr>
                <w:rFonts w:ascii="Times New Roman" w:eastAsia="Times New Roman" w:hAnsi="Times New Roman" w:cs="Times New Roman"/>
                <w:b/>
                <w:bCs/>
                <w:color w:val="000000"/>
                <w:vertAlign w:val="superscript"/>
              </w:rPr>
              <w:t>b</w:t>
            </w:r>
          </w:p>
        </w:tc>
        <w:tc>
          <w:tcPr>
            <w:tcW w:w="690" w:type="dxa"/>
            <w:tcBorders>
              <w:bottom w:val="single" w:sz="8" w:space="0" w:color="000000"/>
            </w:tcBorders>
            <w:shd w:val="clear" w:color="auto" w:fill="FFFF00"/>
            <w:tcMar>
              <w:top w:w="100" w:type="dxa"/>
              <w:left w:w="100" w:type="dxa"/>
              <w:bottom w:w="100" w:type="dxa"/>
              <w:right w:w="100" w:type="dxa"/>
            </w:tcMar>
          </w:tcPr>
          <w:p w14:paraId="00001208" w14:textId="77777777" w:rsidR="00410932" w:rsidRPr="00410932" w:rsidRDefault="00410932" w:rsidP="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1.92</w:t>
            </w:r>
          </w:p>
        </w:tc>
        <w:tc>
          <w:tcPr>
            <w:tcW w:w="912" w:type="dxa"/>
            <w:tcBorders>
              <w:bottom w:val="single" w:sz="8" w:space="0" w:color="000000"/>
            </w:tcBorders>
            <w:shd w:val="clear" w:color="auto" w:fill="FFFF00"/>
            <w:tcMar>
              <w:top w:w="100" w:type="dxa"/>
              <w:left w:w="100" w:type="dxa"/>
              <w:bottom w:w="100" w:type="dxa"/>
              <w:right w:w="100" w:type="dxa"/>
            </w:tcMar>
          </w:tcPr>
          <w:p w14:paraId="00001209" w14:textId="77777777" w:rsidR="00410932" w:rsidRPr="00410932" w:rsidRDefault="00410932" w:rsidP="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9.64</w:t>
            </w:r>
            <w:r w:rsidRPr="00410932">
              <w:rPr>
                <w:rFonts w:ascii="Times New Roman" w:eastAsia="Times New Roman" w:hAnsi="Times New Roman" w:cs="Times New Roman"/>
                <w:b/>
                <w:bCs/>
                <w:color w:val="000000"/>
                <w:vertAlign w:val="superscript"/>
              </w:rPr>
              <w:t>b</w:t>
            </w:r>
          </w:p>
        </w:tc>
        <w:tc>
          <w:tcPr>
            <w:tcW w:w="918" w:type="dxa"/>
            <w:tcBorders>
              <w:bottom w:val="single" w:sz="8" w:space="0" w:color="000000"/>
            </w:tcBorders>
            <w:shd w:val="clear" w:color="auto" w:fill="FFFF00"/>
            <w:tcMar>
              <w:top w:w="100" w:type="dxa"/>
              <w:left w:w="100" w:type="dxa"/>
              <w:bottom w:w="100" w:type="dxa"/>
              <w:right w:w="100" w:type="dxa"/>
            </w:tcMar>
          </w:tcPr>
          <w:p w14:paraId="0000120A" w14:textId="77777777" w:rsidR="00410932" w:rsidRPr="00410932" w:rsidRDefault="00410932" w:rsidP="00410932">
            <w:pPr>
              <w:spacing w:line="240" w:lineRule="auto"/>
              <w:rPr>
                <w:rFonts w:ascii="Times New Roman" w:eastAsia="Times New Roman" w:hAnsi="Times New Roman" w:cs="Times New Roman"/>
                <w:b/>
                <w:bCs/>
                <w:color w:val="000000"/>
              </w:rPr>
            </w:pPr>
            <w:r w:rsidRPr="00410932">
              <w:rPr>
                <w:rFonts w:ascii="Times New Roman" w:eastAsia="Times New Roman" w:hAnsi="Times New Roman" w:cs="Times New Roman"/>
                <w:b/>
                <w:bCs/>
                <w:color w:val="000000"/>
              </w:rPr>
              <w:t>1.66</w:t>
            </w:r>
          </w:p>
        </w:tc>
      </w:tr>
    </w:tbl>
    <w:p w14:paraId="7FB1526B" w14:textId="75443E8A" w:rsidR="0064076D" w:rsidRPr="006C356B" w:rsidRDefault="0064076D" w:rsidP="0064076D">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Note</w:t>
      </w:r>
      <w:r>
        <w:rPr>
          <w:rFonts w:ascii="Times New Roman" w:eastAsia="Times New Roman" w:hAnsi="Times New Roman" w:cs="Times New Roman"/>
          <w:sz w:val="20"/>
          <w:szCs w:val="20"/>
        </w:rPr>
        <w:t xml:space="preserve">: </w:t>
      </w:r>
      <w:r w:rsidRPr="0064076D">
        <w:rPr>
          <w:rFonts w:ascii="Times New Roman" w:eastAsia="Times New Roman" w:hAnsi="Times New Roman" w:cs="Times New Roman"/>
          <w:sz w:val="20"/>
          <w:szCs w:val="20"/>
        </w:rPr>
        <w:t>All comparisons were controlled for age and gender.</w:t>
      </w:r>
      <w:r>
        <w:rPr>
          <w:rFonts w:ascii="Times New Roman" w:eastAsia="Times New Roman" w:hAnsi="Times New Roman" w:cs="Times New Roman"/>
          <w:sz w:val="20"/>
          <w:szCs w:val="20"/>
        </w:rPr>
        <w:t xml:space="preserve"> </w:t>
      </w:r>
    </w:p>
    <w:p w14:paraId="50B3D159" w14:textId="77777777" w:rsidR="0064076D" w:rsidRPr="0064076D" w:rsidRDefault="0064076D" w:rsidP="0064076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Data are presented as mean and SD.</w:t>
      </w:r>
    </w:p>
    <w:p w14:paraId="0000120B" w14:textId="489AD1C6"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Dietary Quality Score (Cleghorn et al. 2016).</w:t>
      </w:r>
    </w:p>
    <w:p w14:paraId="0000120C"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a</w:t>
      </w:r>
      <w:r>
        <w:rPr>
          <w:rFonts w:ascii="Times New Roman" w:eastAsia="Times New Roman" w:hAnsi="Times New Roman" w:cs="Times New Roman"/>
          <w:color w:val="000000"/>
          <w:sz w:val="20"/>
          <w:szCs w:val="20"/>
        </w:rPr>
        <w:t xml:space="preserve"> </w:t>
      </w:r>
      <w:r w:rsidRPr="00410932">
        <w:rPr>
          <w:rFonts w:ascii="Times New Roman" w:eastAsia="Times New Roman" w:hAnsi="Times New Roman" w:cs="Times New Roman"/>
          <w:i/>
          <w:iCs/>
          <w:color w:val="000000"/>
          <w:sz w:val="20"/>
          <w:szCs w:val="20"/>
        </w:rPr>
        <w:t>p</w:t>
      </w:r>
      <w:r>
        <w:rPr>
          <w:rFonts w:ascii="Times New Roman" w:eastAsia="Times New Roman" w:hAnsi="Times New Roman" w:cs="Times New Roman"/>
          <w:color w:val="000000"/>
          <w:sz w:val="20"/>
          <w:szCs w:val="20"/>
        </w:rPr>
        <w:t>&lt;0.001 vs no snack consumption eaters.</w:t>
      </w:r>
    </w:p>
    <w:p w14:paraId="0000120D"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b</w:t>
      </w:r>
      <w:r>
        <w:rPr>
          <w:rFonts w:ascii="Times New Roman" w:eastAsia="Times New Roman" w:hAnsi="Times New Roman" w:cs="Times New Roman"/>
          <w:color w:val="000000"/>
          <w:sz w:val="20"/>
          <w:szCs w:val="20"/>
        </w:rPr>
        <w:t xml:space="preserve"> </w:t>
      </w:r>
      <w:r w:rsidRPr="00410932">
        <w:rPr>
          <w:rFonts w:ascii="Times New Roman" w:eastAsia="Times New Roman" w:hAnsi="Times New Roman" w:cs="Times New Roman"/>
          <w:i/>
          <w:iCs/>
          <w:color w:val="000000"/>
          <w:sz w:val="20"/>
          <w:szCs w:val="20"/>
        </w:rPr>
        <w:t>p</w:t>
      </w:r>
      <w:r>
        <w:rPr>
          <w:rFonts w:ascii="Times New Roman" w:eastAsia="Times New Roman" w:hAnsi="Times New Roman" w:cs="Times New Roman"/>
          <w:color w:val="000000"/>
          <w:sz w:val="20"/>
          <w:szCs w:val="20"/>
        </w:rPr>
        <w:t>&lt;0.01 vs no snack consumption eaters.</w:t>
      </w:r>
    </w:p>
    <w:p w14:paraId="0000120E"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Significant differences are in bold and highlighted.</w:t>
      </w:r>
    </w:p>
    <w:p w14:paraId="0000120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14:paraId="00001210" w14:textId="77777777" w:rsidR="00CB4215" w:rsidRDefault="000530B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Participant Information Sheet</w:t>
      </w:r>
    </w:p>
    <w:p w14:paraId="0000121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Research Project Title: The relationship between lifestyle factors and health behaviours </w:t>
      </w:r>
    </w:p>
    <w:p w14:paraId="00001212"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are being invited to take part in a research project. Before you decide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to participate, it is important for you to understand why the research is being done and what it will involve. Please take your time to read the following information carefully and discuss it with others if you wish. If there is anything that is unclear or if you would like more information, please contact Miss Bixuan Yan:</w:t>
      </w:r>
    </w:p>
    <w:p w14:paraId="0000121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byan6@sheffield.ac.uk. </w:t>
      </w:r>
    </w:p>
    <w:p w14:paraId="00001214"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is the aim of the project?</w:t>
      </w:r>
    </w:p>
    <w:p w14:paraId="00001215"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project aims to investigate the relationship between lifestyle factors and health behaviours in the general population across the UK. </w:t>
      </w:r>
    </w:p>
    <w:p w14:paraId="00001216"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Why have I been chosen and am I eligible to take part?</w:t>
      </w:r>
    </w:p>
    <w:p w14:paraId="0000121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have been invited to take part in this study as you have signed up to Prolific. You </w:t>
      </w:r>
      <w:proofErr w:type="gramStart"/>
      <w:r>
        <w:rPr>
          <w:rFonts w:ascii="Times New Roman" w:eastAsia="Times New Roman" w:hAnsi="Times New Roman" w:cs="Times New Roman"/>
          <w:color w:val="000000"/>
          <w:sz w:val="24"/>
          <w:szCs w:val="24"/>
        </w:rPr>
        <w:t>are able to</w:t>
      </w:r>
      <w:proofErr w:type="gramEnd"/>
      <w:r>
        <w:rPr>
          <w:rFonts w:ascii="Times New Roman" w:eastAsia="Times New Roman" w:hAnsi="Times New Roman" w:cs="Times New Roman"/>
          <w:color w:val="000000"/>
          <w:sz w:val="24"/>
          <w:szCs w:val="24"/>
        </w:rPr>
        <w:t xml:space="preserve"> take part in this study if you are between 18 and 80 years old and living in the UK. </w:t>
      </w:r>
    </w:p>
    <w:p w14:paraId="00001218"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I have to take part?</w:t>
      </w:r>
    </w:p>
    <w:p w14:paraId="00001219"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up to you to decide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to take part. If you decide to take part, you can withdraw from the study (by closing the browser) and you do not have to give a reason for your withdrawal. Withdrawing from the study will have no negative consequences. However, as the data is anonymous once you start the survey, it will not be possible to remove either your partially completed or completed responses.</w:t>
      </w:r>
    </w:p>
    <w:p w14:paraId="0000121A"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note that by choosing to participate in this research, this will not create a legally binding agreement, nor is it intended to create an employment relationship between you and the University of Sheffield.</w:t>
      </w:r>
    </w:p>
    <w:p w14:paraId="0000121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will happen to me if I take part? What do I have to do?</w:t>
      </w:r>
    </w:p>
    <w:p w14:paraId="0000121C"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will ask you to complete a questionnaire which will ask you questions about yourself, such as age, gender, ethnicity, health </w:t>
      </w:r>
      <w:proofErr w:type="gramStart"/>
      <w:r>
        <w:rPr>
          <w:rFonts w:ascii="Times New Roman" w:eastAsia="Times New Roman" w:hAnsi="Times New Roman" w:cs="Times New Roman"/>
          <w:color w:val="000000"/>
          <w:sz w:val="24"/>
          <w:szCs w:val="24"/>
        </w:rPr>
        <w:t>status,  eating</w:t>
      </w:r>
      <w:proofErr w:type="gramEnd"/>
      <w:r>
        <w:rPr>
          <w:rFonts w:ascii="Times New Roman" w:eastAsia="Times New Roman" w:hAnsi="Times New Roman" w:cs="Times New Roman"/>
          <w:color w:val="000000"/>
          <w:sz w:val="24"/>
          <w:szCs w:val="24"/>
        </w:rPr>
        <w:t xml:space="preserve"> patterns (e.g. the time of day that you usually eat),  and your beliefs and attitudes towards food. This questionnaire is expected to take no longer than 15 minutes (however individual completion times can vary). </w:t>
      </w:r>
    </w:p>
    <w:p w14:paraId="0000121D" w14:textId="77777777" w:rsidR="00CB4215" w:rsidRDefault="00CB4215">
      <w:pPr>
        <w:rPr>
          <w:rFonts w:ascii="Times New Roman" w:eastAsia="Times New Roman" w:hAnsi="Times New Roman" w:cs="Times New Roman"/>
          <w:color w:val="000000"/>
          <w:sz w:val="24"/>
          <w:szCs w:val="24"/>
        </w:rPr>
      </w:pPr>
    </w:p>
    <w:p w14:paraId="0000121E"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recruited with a prize draw incentive the following will be added: </w:t>
      </w:r>
    </w:p>
    <w:p w14:paraId="0000121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enter the prize draw, you will be required to provide your email address at the end of this survey. Your email address will be collected via a separate survey link to ensure your email is not linked with your survey responses. </w:t>
      </w:r>
    </w:p>
    <w:p w14:paraId="00001220"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are the possible disadvantages and risks of taking part?</w:t>
      </w:r>
    </w:p>
    <w:p w14:paraId="00001221" w14:textId="349B3E2E"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is not expected to pose any risks to participants. However, questions about weight and eating patterns/habits might make some participants feel distressed. If you are affected by the study, we advise you to seek advice from the NHS wellbeing website (</w:t>
      </w:r>
      <w:hyperlink r:id="rId835">
        <w:r>
          <w:rPr>
            <w:rFonts w:ascii="Times New Roman" w:eastAsia="Times New Roman" w:hAnsi="Times New Roman" w:cs="Times New Roman"/>
            <w:color w:val="000000"/>
            <w:sz w:val="24"/>
            <w:szCs w:val="24"/>
            <w:u w:val="single"/>
          </w:rPr>
          <w:t>https://www.nhs.uk/mental-health/self-help/guides-tools-and-activities/five-steps-to-mental-wellbeing/</w:t>
        </w:r>
      </w:hyperlink>
      <w:r>
        <w:rPr>
          <w:rFonts w:ascii="Times New Roman" w:eastAsia="Times New Roman" w:hAnsi="Times New Roman" w:cs="Times New Roman"/>
          <w:color w:val="000000"/>
          <w:sz w:val="24"/>
          <w:szCs w:val="24"/>
        </w:rPr>
        <w:t xml:space="preserve">). If the distress </w:t>
      </w:r>
      <w:r w:rsidR="00726876">
        <w:rPr>
          <w:rFonts w:ascii="Times New Roman" w:eastAsia="Times New Roman" w:hAnsi="Times New Roman" w:cs="Times New Roman"/>
          <w:color w:val="000000"/>
          <w:sz w:val="24"/>
          <w:szCs w:val="24"/>
        </w:rPr>
        <w:t>continues,</w:t>
      </w:r>
      <w:r>
        <w:rPr>
          <w:rFonts w:ascii="Times New Roman" w:eastAsia="Times New Roman" w:hAnsi="Times New Roman" w:cs="Times New Roman"/>
          <w:color w:val="000000"/>
          <w:sz w:val="24"/>
          <w:szCs w:val="24"/>
        </w:rPr>
        <w:t xml:space="preserve"> we advise you to contact your GP. </w:t>
      </w:r>
    </w:p>
    <w:p w14:paraId="00001222"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are the possible benefits of taking part?</w:t>
      </w:r>
    </w:p>
    <w:p w14:paraId="0000122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Upon completion of each survey, you will receive £1.57 Prolific credits. </w:t>
      </w:r>
    </w:p>
    <w:p w14:paraId="00001224"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recruited with a prize draw incentive the following will be added: </w:t>
      </w:r>
    </w:p>
    <w:p w14:paraId="00001225" w14:textId="0C48659B"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Upon completion of the </w:t>
      </w:r>
      <w:r w:rsidR="00726876">
        <w:rPr>
          <w:rFonts w:ascii="Times New Roman" w:eastAsia="Times New Roman" w:hAnsi="Times New Roman" w:cs="Times New Roman"/>
          <w:color w:val="000000"/>
          <w:sz w:val="24"/>
          <w:szCs w:val="24"/>
        </w:rPr>
        <w:t>survey, you</w:t>
      </w:r>
      <w:r>
        <w:rPr>
          <w:rFonts w:ascii="Times New Roman" w:eastAsia="Times New Roman" w:hAnsi="Times New Roman" w:cs="Times New Roman"/>
          <w:color w:val="000000"/>
          <w:sz w:val="24"/>
          <w:szCs w:val="24"/>
        </w:rPr>
        <w:t xml:space="preserve"> will have the opportunity to be entered into a prize draw to win either a £</w:t>
      </w:r>
      <w:proofErr w:type="gramStart"/>
      <w:r>
        <w:rPr>
          <w:rFonts w:ascii="Times New Roman" w:eastAsia="Times New Roman" w:hAnsi="Times New Roman" w:cs="Times New Roman"/>
          <w:color w:val="000000"/>
          <w:sz w:val="24"/>
          <w:szCs w:val="24"/>
        </w:rPr>
        <w:t>100  or</w:t>
      </w:r>
      <w:proofErr w:type="gramEnd"/>
      <w:r>
        <w:rPr>
          <w:rFonts w:ascii="Times New Roman" w:eastAsia="Times New Roman" w:hAnsi="Times New Roman" w:cs="Times New Roman"/>
          <w:color w:val="000000"/>
          <w:sz w:val="24"/>
          <w:szCs w:val="24"/>
        </w:rPr>
        <w:t xml:space="preserve"> £50 Amazon electronic voucher.</w:t>
      </w:r>
    </w:p>
    <w:p w14:paraId="00001226"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Will my taking part in this project be kept confidential?</w:t>
      </w:r>
    </w:p>
    <w:p w14:paraId="0000122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 All the information that we collect about you </w:t>
      </w:r>
      <w:proofErr w:type="gramStart"/>
      <w:r>
        <w:rPr>
          <w:rFonts w:ascii="Times New Roman" w:eastAsia="Times New Roman" w:hAnsi="Times New Roman" w:cs="Times New Roman"/>
          <w:color w:val="000000"/>
          <w:sz w:val="24"/>
          <w:szCs w:val="24"/>
        </w:rPr>
        <w:t>during the course of</w:t>
      </w:r>
      <w:proofErr w:type="gramEnd"/>
      <w:r>
        <w:rPr>
          <w:rFonts w:ascii="Times New Roman" w:eastAsia="Times New Roman" w:hAnsi="Times New Roman" w:cs="Times New Roman"/>
          <w:color w:val="000000"/>
          <w:sz w:val="24"/>
          <w:szCs w:val="24"/>
        </w:rPr>
        <w:t xml:space="preserve"> the research will be kept strictly confidential. You will not be able to be identified in any reports or publications. If you agree to us sharing the information you provide with other researchers (</w:t>
      </w:r>
      <w:proofErr w:type="gramStart"/>
      <w:r>
        <w:rPr>
          <w:rFonts w:ascii="Times New Roman" w:eastAsia="Times New Roman" w:hAnsi="Times New Roman" w:cs="Times New Roman"/>
          <w:color w:val="000000"/>
          <w:sz w:val="24"/>
          <w:szCs w:val="24"/>
        </w:rPr>
        <w:t>e.g.</w:t>
      </w:r>
      <w:proofErr w:type="gramEnd"/>
      <w:r>
        <w:rPr>
          <w:rFonts w:ascii="Times New Roman" w:eastAsia="Times New Roman" w:hAnsi="Times New Roman" w:cs="Times New Roman"/>
          <w:color w:val="000000"/>
          <w:sz w:val="24"/>
          <w:szCs w:val="24"/>
        </w:rPr>
        <w:t xml:space="preserve"> by making it available in a data archive) then only anonymised data will be shared. Please note, the survey will ask you for a number of demographics and where in the UK you live (</w:t>
      </w:r>
      <w:proofErr w:type="gramStart"/>
      <w:r>
        <w:rPr>
          <w:rFonts w:ascii="Times New Roman" w:eastAsia="Times New Roman" w:hAnsi="Times New Roman" w:cs="Times New Roman"/>
          <w:color w:val="000000"/>
          <w:sz w:val="24"/>
          <w:szCs w:val="24"/>
        </w:rPr>
        <w:t>e.g.</w:t>
      </w:r>
      <w:proofErr w:type="gramEnd"/>
      <w:r>
        <w:rPr>
          <w:rFonts w:ascii="Times New Roman" w:eastAsia="Times New Roman" w:hAnsi="Times New Roman" w:cs="Times New Roman"/>
          <w:color w:val="000000"/>
          <w:sz w:val="24"/>
          <w:szCs w:val="24"/>
        </w:rPr>
        <w:t xml:space="preserve"> postcode, ethnicity etc.). Any information that could be combined and lead to individual participants being identified, will be kept strictly confidential and anonymised before sharing (</w:t>
      </w:r>
      <w:proofErr w:type="gramStart"/>
      <w:r>
        <w:rPr>
          <w:rFonts w:ascii="Times New Roman" w:eastAsia="Times New Roman" w:hAnsi="Times New Roman" w:cs="Times New Roman"/>
          <w:color w:val="000000"/>
          <w:sz w:val="24"/>
          <w:szCs w:val="24"/>
        </w:rPr>
        <w:t>e.g.</w:t>
      </w:r>
      <w:proofErr w:type="gramEnd"/>
      <w:r>
        <w:rPr>
          <w:rFonts w:ascii="Times New Roman" w:eastAsia="Times New Roman" w:hAnsi="Times New Roman" w:cs="Times New Roman"/>
          <w:color w:val="000000"/>
          <w:sz w:val="24"/>
          <w:szCs w:val="24"/>
        </w:rPr>
        <w:t xml:space="preserve"> postcodes will not be shared with anyone outside the research team).</w:t>
      </w:r>
    </w:p>
    <w:p w14:paraId="00001228"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will happen to the data collected, and the results of the research project?</w:t>
      </w:r>
    </w:p>
    <w:p w14:paraId="00001229"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data that you provide will be combined with that of other respondents, to give the researchers an idea about general trends, rather than individuals. These trends may be reported in scientific conferences and academic journals. No individuals will be identifiable in any of the outputs from this project. The anonymised data collected in this research will be kept indefinitely. If you wish to receive a summary of the findings for this research, then please contact Miss Bixuan Yan: </w:t>
      </w:r>
      <w:hyperlink r:id="rId836">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w:t>
      </w:r>
    </w:p>
    <w:p w14:paraId="0000122A"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researchers may find the anonymised data collected to be useful in answering future research questions. We will ask for your explicit consent for your anonymised data to be shared in this way.</w:t>
      </w:r>
    </w:p>
    <w:p w14:paraId="0000122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recruited with a prize draw incentive the following will be added: </w:t>
      </w:r>
    </w:p>
    <w:p w14:paraId="0000122C"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addresses collected for the prize draw will be destroyed as soon as possible after the prize draw has been completed, unless you are one of the prize draw winners. The winners of the prize draw will be selected at random and emailed at the end of the study. If you win the prize draw for this study, then you will be asked to sign a form confirming that you have received this prize when you collect it. This form will be kept securely in a locked cabinet or as a digital copy for 7 years after the end of the project, accessible by University finance and administrative staff for reference in the event of a financial audit.</w:t>
      </w:r>
    </w:p>
    <w:p w14:paraId="0000122D"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is the legal basis for processing my personal data?</w:t>
      </w:r>
    </w:p>
    <w:p w14:paraId="0000122E"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data protection legislation, we are required to inform you that the legal basis we are applying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process your personal data is that ‘processing is necessary for the </w:t>
      </w:r>
      <w:r>
        <w:rPr>
          <w:rFonts w:ascii="Times New Roman" w:eastAsia="Times New Roman" w:hAnsi="Times New Roman" w:cs="Times New Roman"/>
          <w:color w:val="000000"/>
          <w:sz w:val="24"/>
          <w:szCs w:val="24"/>
        </w:rPr>
        <w:lastRenderedPageBreak/>
        <w:t xml:space="preserve">performance of a task carried out in the public interest’ (Article 6(1)(e)). Further information can be found in the University’s Privacy Notice </w:t>
      </w:r>
      <w:hyperlink r:id="rId837">
        <w:r>
          <w:rPr>
            <w:rFonts w:ascii="Times New Roman" w:eastAsia="Times New Roman" w:hAnsi="Times New Roman" w:cs="Times New Roman"/>
            <w:color w:val="000000"/>
            <w:sz w:val="24"/>
            <w:szCs w:val="24"/>
            <w:u w:val="single"/>
          </w:rPr>
          <w:t>https://www.sheffield.ac.uk/govern/data-protection/privacy/general</w:t>
        </w:r>
      </w:hyperlink>
      <w:r>
        <w:rPr>
          <w:rFonts w:ascii="Times New Roman" w:eastAsia="Times New Roman" w:hAnsi="Times New Roman" w:cs="Times New Roman"/>
          <w:color w:val="000000"/>
          <w:sz w:val="24"/>
          <w:szCs w:val="24"/>
        </w:rPr>
        <w:t>.</w:t>
      </w:r>
    </w:p>
    <w:p w14:paraId="0000122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we will be using some data that is defined in the legislation as more sensitive (information about ethnicity), we also need to let you know that we are applying the following condition in law: that the use of your data is necessary ‘for archiving purposes in the public interest, scientific research purposes or statistical purposes' (9(2)(j)).</w:t>
      </w:r>
    </w:p>
    <w:p w14:paraId="00001230"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Who is organising and funding the research and who is the Data Controller?</w:t>
      </w:r>
    </w:p>
    <w:p w14:paraId="0000123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is being organised by the Department of Psychology at the University of Sheffield.</w:t>
      </w:r>
    </w:p>
    <w:p w14:paraId="00001232"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University of Sheffield will act as the Data Controller for this study. This means that the University is responsible for looking after your information and using it properly. </w:t>
      </w:r>
    </w:p>
    <w:p w14:paraId="0000123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Who has ethically reviewed the project?</w:t>
      </w:r>
    </w:p>
    <w:p w14:paraId="00001234"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i/>
          <w:color w:val="000000"/>
          <w:sz w:val="24"/>
          <w:szCs w:val="24"/>
        </w:rPr>
        <w:t>his project has been ethically approved via the University of Sheffield’s Ethics Review Procedure, as administered by the Department of Psychology (#: insert upon approval).</w:t>
      </w:r>
    </w:p>
    <w:p w14:paraId="00001235"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if something goes wrong and I wish to complain about the research or report a concern or incident?</w:t>
      </w:r>
    </w:p>
    <w:p w14:paraId="00001236"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are dissatisfied with any aspect of the research and wish to make a complaint, please contact the Principal Investigator Miss Bixuan Yan (</w:t>
      </w:r>
      <w:hyperlink r:id="rId838">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in the first instance. If you feel your complaint has not been handled in a satisfactory way you can contact the Head of the Department of Professor Elizabeth Milne (</w:t>
      </w:r>
      <w:hyperlink r:id="rId839">
        <w:r>
          <w:rPr>
            <w:rFonts w:ascii="Times New Roman" w:eastAsia="Times New Roman" w:hAnsi="Times New Roman" w:cs="Times New Roman"/>
            <w:color w:val="000000"/>
            <w:sz w:val="24"/>
            <w:szCs w:val="24"/>
            <w:u w:val="single"/>
          </w:rPr>
          <w:t>psy-hod@sheffield.ac.uk</w:t>
        </w:r>
      </w:hyperlink>
      <w:r>
        <w:rPr>
          <w:rFonts w:ascii="Times New Roman" w:eastAsia="Times New Roman" w:hAnsi="Times New Roman" w:cs="Times New Roman"/>
          <w:color w:val="000000"/>
          <w:sz w:val="24"/>
          <w:szCs w:val="24"/>
        </w:rPr>
        <w:t xml:space="preserve">). If the complaint relates to how your personal data has been handled, you can find information about how to raise a complaint in the University’s Privacy Notice: </w:t>
      </w:r>
      <w:hyperlink r:id="rId840">
        <w:r>
          <w:rPr>
            <w:rFonts w:ascii="Times New Roman" w:eastAsia="Times New Roman" w:hAnsi="Times New Roman" w:cs="Times New Roman"/>
            <w:color w:val="000000"/>
            <w:sz w:val="24"/>
            <w:szCs w:val="24"/>
            <w:u w:val="single"/>
          </w:rPr>
          <w:t>https://www.sheffield.ac.uk/govern/data-protection/privacy/general</w:t>
        </w:r>
      </w:hyperlink>
      <w:r>
        <w:rPr>
          <w:rFonts w:ascii="Times New Roman" w:eastAsia="Times New Roman" w:hAnsi="Times New Roman" w:cs="Times New Roman"/>
          <w:color w:val="000000"/>
          <w:sz w:val="24"/>
          <w:szCs w:val="24"/>
        </w:rPr>
        <w:t>.</w:t>
      </w:r>
    </w:p>
    <w:p w14:paraId="0000123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wish to make a report of a concern or incident relating to potential exploitation, abuse or harm resulting from your involvement in this project, please in the first instance contact one of the project’s Designated Safeguarding Contacts, that is, the primary researcher Miss Bixuan Yan (</w:t>
      </w:r>
      <w:hyperlink r:id="rId841">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or the primary project supervisor, Dr Nicola Buckland (</w:t>
      </w:r>
      <w:hyperlink r:id="rId842">
        <w:r>
          <w:rPr>
            <w:rFonts w:ascii="Times New Roman" w:eastAsia="Times New Roman" w:hAnsi="Times New Roman" w:cs="Times New Roman"/>
            <w:color w:val="000000"/>
            <w:sz w:val="24"/>
            <w:szCs w:val="24"/>
            <w:u w:val="single"/>
          </w:rPr>
          <w:t>n.buckland@sheffield.ac.uk</w:t>
        </w:r>
      </w:hyperlink>
      <w:r>
        <w:rPr>
          <w:rFonts w:ascii="Times New Roman" w:eastAsia="Times New Roman" w:hAnsi="Times New Roman" w:cs="Times New Roman"/>
          <w:color w:val="000000"/>
          <w:sz w:val="24"/>
          <w:szCs w:val="24"/>
        </w:rPr>
        <w:t>). If the concern or incident relates to the Designated Safeguarding Contact, or if you feel a report you have made to this Contact has not been handled in a satisfactory way, please contact the Head of the Department of Psychology, Professor Elizabeth Milne (</w:t>
      </w:r>
      <w:hyperlink r:id="rId843">
        <w:r>
          <w:rPr>
            <w:rFonts w:ascii="Times New Roman" w:eastAsia="Times New Roman" w:hAnsi="Times New Roman" w:cs="Times New Roman"/>
            <w:color w:val="000000"/>
            <w:sz w:val="24"/>
            <w:szCs w:val="24"/>
            <w:u w:val="single"/>
          </w:rPr>
          <w:t>psy-hod@sheffield.ac.uk</w:t>
        </w:r>
      </w:hyperlink>
      <w:r>
        <w:rPr>
          <w:rFonts w:ascii="Times New Roman" w:eastAsia="Times New Roman" w:hAnsi="Times New Roman" w:cs="Times New Roman"/>
          <w:color w:val="000000"/>
          <w:sz w:val="24"/>
          <w:szCs w:val="24"/>
        </w:rPr>
        <w:t>) and/or the University’s Research Ethics &amp; Integrity Manager (Lindsay Unwin;</w:t>
      </w:r>
      <w:hyperlink r:id="rId844">
        <w:r>
          <w:rPr>
            <w:rFonts w:ascii="Times New Roman" w:eastAsia="Times New Roman" w:hAnsi="Times New Roman" w:cs="Times New Roman"/>
            <w:color w:val="000000"/>
            <w:sz w:val="24"/>
            <w:szCs w:val="24"/>
            <w:u w:val="single"/>
          </w:rPr>
          <w:t>l.v.unwin@sheffield.ac.uk</w:t>
        </w:r>
      </w:hyperlink>
      <w:r>
        <w:rPr>
          <w:rFonts w:ascii="Times New Roman" w:eastAsia="Times New Roman" w:hAnsi="Times New Roman" w:cs="Times New Roman"/>
          <w:color w:val="000000"/>
          <w:sz w:val="24"/>
          <w:szCs w:val="24"/>
        </w:rPr>
        <w:t>).</w:t>
      </w:r>
    </w:p>
    <w:p w14:paraId="00001238" w14:textId="77777777" w:rsidR="00CB4215" w:rsidRDefault="00CB4215">
      <w:pPr>
        <w:rPr>
          <w:rFonts w:ascii="Times New Roman" w:eastAsia="Times New Roman" w:hAnsi="Times New Roman" w:cs="Times New Roman"/>
          <w:color w:val="000000"/>
          <w:sz w:val="24"/>
          <w:szCs w:val="24"/>
        </w:rPr>
      </w:pPr>
    </w:p>
    <w:p w14:paraId="00001239"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Contact for further information</w:t>
      </w:r>
    </w:p>
    <w:p w14:paraId="0000123A"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further information, please contact the Principal Investigator: Miss Bixuan Yan (</w:t>
      </w:r>
      <w:hyperlink r:id="rId845">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w:t>
      </w:r>
    </w:p>
    <w:p w14:paraId="0000123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Finally … </w:t>
      </w:r>
    </w:p>
    <w:p w14:paraId="0000123C"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would like a hard copy of this information page, then please use the “print” function on your browser or email the Principal Investigator: </w:t>
      </w:r>
      <w:hyperlink r:id="rId846">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w:t>
      </w:r>
    </w:p>
    <w:p w14:paraId="0000123D"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would like to take part in this study, please proceed to the next page. </w:t>
      </w:r>
    </w:p>
    <w:p w14:paraId="0000123E" w14:textId="77777777" w:rsidR="00CB4215" w:rsidRDefault="00CB4215">
      <w:pPr>
        <w:spacing w:line="240" w:lineRule="auto"/>
        <w:jc w:val="center"/>
        <w:rPr>
          <w:rFonts w:ascii="Calibri" w:eastAsia="Calibri" w:hAnsi="Calibri" w:cs="Calibri"/>
          <w:b/>
          <w:color w:val="000000"/>
          <w:sz w:val="28"/>
          <w:szCs w:val="28"/>
        </w:rPr>
      </w:pPr>
    </w:p>
    <w:p w14:paraId="00001242" w14:textId="77777777" w:rsidR="00CB4215" w:rsidRDefault="00CB4215" w:rsidP="00FC7B35">
      <w:pPr>
        <w:spacing w:line="240" w:lineRule="auto"/>
        <w:rPr>
          <w:rFonts w:ascii="Calibri" w:eastAsia="Calibri" w:hAnsi="Calibri" w:cs="Calibri"/>
          <w:b/>
          <w:color w:val="000000"/>
          <w:sz w:val="28"/>
          <w:szCs w:val="28"/>
        </w:rPr>
      </w:pPr>
    </w:p>
    <w:p w14:paraId="00001243" w14:textId="77777777" w:rsidR="00CB4215" w:rsidRPr="00927980" w:rsidRDefault="000530B4">
      <w:pPr>
        <w:spacing w:line="240" w:lineRule="auto"/>
        <w:jc w:val="center"/>
        <w:rPr>
          <w:rFonts w:ascii="Times New Roman" w:eastAsia="Times New Roman" w:hAnsi="Times New Roman" w:cs="Times New Roman"/>
          <w:color w:val="000000"/>
          <w:sz w:val="24"/>
          <w:szCs w:val="24"/>
        </w:rPr>
      </w:pPr>
      <w:r w:rsidRPr="00927980">
        <w:rPr>
          <w:rFonts w:ascii="Times New Roman" w:eastAsia="Calibri" w:hAnsi="Times New Roman" w:cs="Times New Roman"/>
          <w:b/>
          <w:color w:val="000000"/>
          <w:sz w:val="24"/>
          <w:szCs w:val="24"/>
        </w:rPr>
        <w:lastRenderedPageBreak/>
        <w:t>Consent Form</w:t>
      </w:r>
    </w:p>
    <w:tbl>
      <w:tblPr>
        <w:tblStyle w:val="afc"/>
        <w:tblW w:w="9019" w:type="dxa"/>
        <w:tblLayout w:type="fixed"/>
        <w:tblLook w:val="0400" w:firstRow="0" w:lastRow="0" w:firstColumn="0" w:lastColumn="0" w:noHBand="0" w:noVBand="1"/>
      </w:tblPr>
      <w:tblGrid>
        <w:gridCol w:w="7982"/>
        <w:gridCol w:w="543"/>
        <w:gridCol w:w="494"/>
      </w:tblGrid>
      <w:tr w:rsidR="00CB4215" w:rsidRPr="00927980" w14:paraId="21612F6B" w14:textId="77777777">
        <w:trPr>
          <w:trHeight w:val="280"/>
        </w:trPr>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4" w14:textId="77777777" w:rsidR="00CB4215" w:rsidRPr="00927980" w:rsidRDefault="000530B4">
            <w:pPr>
              <w:spacing w:after="80"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b/>
                <w:i/>
                <w:color w:val="000000"/>
                <w:sz w:val="24"/>
                <w:szCs w:val="24"/>
              </w:rPr>
              <w:t>Please tick the appropriate boxes</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5" w14:textId="77777777" w:rsidR="00CB4215" w:rsidRPr="00927980" w:rsidRDefault="000530B4">
            <w:pPr>
              <w:spacing w:after="80"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b/>
                <w:color w:val="000000"/>
                <w:sz w:val="24"/>
                <w:szCs w:val="24"/>
              </w:rPr>
              <w:t>Yes</w:t>
            </w: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6" w14:textId="77777777" w:rsidR="00CB4215" w:rsidRPr="00927980" w:rsidRDefault="000530B4">
            <w:pPr>
              <w:spacing w:after="80"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b/>
                <w:color w:val="000000"/>
                <w:sz w:val="24"/>
                <w:szCs w:val="24"/>
              </w:rPr>
              <w:t>No</w:t>
            </w:r>
          </w:p>
        </w:tc>
      </w:tr>
      <w:tr w:rsidR="00CB4215" w:rsidRPr="00927980" w14:paraId="2864EB26" w14:textId="77777777">
        <w:trPr>
          <w:trHeight w:val="300"/>
        </w:trPr>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7" w14:textId="77777777" w:rsidR="00CB4215" w:rsidRPr="00927980" w:rsidRDefault="000530B4">
            <w:pPr>
              <w:spacing w:after="120"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b/>
                <w:color w:val="000000"/>
                <w:sz w:val="24"/>
                <w:szCs w:val="24"/>
              </w:rPr>
              <w:t>Taking Part in the Project</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8"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9"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429DCB06" w14:textId="77777777">
        <w:trPr>
          <w:trHeight w:val="460"/>
        </w:trPr>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A"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rPr>
              <w:t>I have read and understood the project information sheet dated 22/11/2021.  (If you answer No to this question please do not proceed with this consent form until you are fully aware of what your participation in the project will mean).</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B"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C"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3A828430" w14:textId="77777777">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D"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rPr>
              <w:t>I have been given the opportunity to ask questions about the project. </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E"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F"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3C160B91" w14:textId="77777777">
        <w:trPr>
          <w:trHeight w:val="540"/>
        </w:trPr>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0"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rPr>
              <w:t>I agree to take part in the project. I understand that taking part in the project will involve completing one survey that will ask me about my eating patterns (</w:t>
            </w:r>
            <w:proofErr w:type="gramStart"/>
            <w:r w:rsidRPr="00927980">
              <w:rPr>
                <w:rFonts w:ascii="Times New Roman" w:eastAsia="Calibri" w:hAnsi="Times New Roman" w:cs="Times New Roman"/>
                <w:color w:val="000000"/>
                <w:sz w:val="24"/>
                <w:szCs w:val="24"/>
              </w:rPr>
              <w:t>e.g.</w:t>
            </w:r>
            <w:proofErr w:type="gramEnd"/>
            <w:r w:rsidRPr="00927980">
              <w:rPr>
                <w:rFonts w:ascii="Times New Roman" w:eastAsia="Calibri" w:hAnsi="Times New Roman" w:cs="Times New Roman"/>
                <w:color w:val="000000"/>
                <w:sz w:val="24"/>
                <w:szCs w:val="24"/>
              </w:rPr>
              <w:t xml:space="preserve"> the time of day that you usually eat), my beliefs and attitudes towards food, my body weight and previous weight management attempts</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1"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2"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34C68342" w14:textId="77777777">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3"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rPr>
              <w:t>I understand that my taking part is voluntary and that I can withdraw from the study. I do not have to give any reasons for why I no longer want to take part and there will be no adverse consequences if I choose to withdraw.  However, once I start the survey, partially completed responses cannot be removed.</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4"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5"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3EA63CB0" w14:textId="77777777">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6" w14:textId="77777777" w:rsidR="00CB4215" w:rsidRPr="00927980" w:rsidRDefault="000530B4">
            <w:pPr>
              <w:spacing w:after="80"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b/>
                <w:color w:val="000000"/>
                <w:sz w:val="24"/>
                <w:szCs w:val="24"/>
              </w:rPr>
              <w:t>How my information will be used during and after the project</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7"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8"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0A73113F" w14:textId="77777777">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9"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rPr>
              <w:t>I understand my personal details such as my email address will not be revealed to people outside the project.</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A"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B"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7B69412D" w14:textId="77777777">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C"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rPr>
              <w:t>I understand and agree that my words may be quoted in publications, reports, web pages, and other research outputs. I understand that I will not be named in these outputs.</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D"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E"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0FF64A65" w14:textId="77777777">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F"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rPr>
              <w:t>I understand and agree that other authorised researchers will have access to this data only if they agree to preserve the confidentiality of the information as requested in this form. </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0"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1"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7690BFA8" w14:textId="77777777">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2"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rPr>
              <w:t>I understand and agree that other authorised researchers may use my anonymous data in publications, reports, web pages, and other research outputs, only if they agree to preserve the confidentiality of the information as requested in this form.</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3"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4"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2A158E5D" w14:textId="77777777">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5"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highlight w:val="white"/>
              </w:rPr>
              <w:t>I give permission for the survey responses that I provide to be deposited in in an online</w:t>
            </w:r>
          </w:p>
          <w:p w14:paraId="00001266"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highlight w:val="white"/>
              </w:rPr>
              <w:t>research data repository so it can be used for future research and learning</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7"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8"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180342DB" w14:textId="77777777">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9" w14:textId="77777777" w:rsidR="00CB4215" w:rsidRPr="00927980" w:rsidRDefault="000530B4">
            <w:pPr>
              <w:spacing w:after="80"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b/>
                <w:color w:val="000000"/>
                <w:sz w:val="24"/>
                <w:szCs w:val="24"/>
              </w:rPr>
              <w:t>So that the information you provide can be used legally by the researchers</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A"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B" w14:textId="77777777" w:rsidR="00CB4215" w:rsidRPr="00927980" w:rsidRDefault="00CB4215">
            <w:pPr>
              <w:spacing w:line="240" w:lineRule="auto"/>
              <w:rPr>
                <w:rFonts w:ascii="Times New Roman" w:eastAsia="Times New Roman" w:hAnsi="Times New Roman" w:cs="Times New Roman"/>
                <w:color w:val="000000"/>
                <w:sz w:val="24"/>
                <w:szCs w:val="24"/>
              </w:rPr>
            </w:pPr>
          </w:p>
        </w:tc>
      </w:tr>
      <w:tr w:rsidR="00CB4215" w:rsidRPr="00927980" w14:paraId="50288075" w14:textId="77777777">
        <w:tc>
          <w:tcPr>
            <w:tcW w:w="7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C"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rPr>
              <w:t>I agree to assign the copyright I hold in any materials generated as part of this project to The University of Sheffield.</w:t>
            </w:r>
          </w:p>
        </w:tc>
        <w:tc>
          <w:tcPr>
            <w:tcW w:w="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D" w14:textId="77777777" w:rsidR="00CB4215" w:rsidRPr="00927980" w:rsidRDefault="00CB4215">
            <w:pPr>
              <w:spacing w:line="240" w:lineRule="auto"/>
              <w:rPr>
                <w:rFonts w:ascii="Times New Roman" w:eastAsia="Times New Roman" w:hAnsi="Times New Roman" w:cs="Times New Roman"/>
                <w:color w:val="000000"/>
                <w:sz w:val="24"/>
                <w:szCs w:val="24"/>
              </w:rPr>
            </w:pPr>
          </w:p>
        </w:t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E" w14:textId="77777777" w:rsidR="00CB4215" w:rsidRPr="00927980" w:rsidRDefault="00CB4215">
            <w:pPr>
              <w:spacing w:line="240" w:lineRule="auto"/>
              <w:rPr>
                <w:rFonts w:ascii="Times New Roman" w:eastAsia="Times New Roman" w:hAnsi="Times New Roman" w:cs="Times New Roman"/>
                <w:color w:val="000000"/>
                <w:sz w:val="24"/>
                <w:szCs w:val="24"/>
              </w:rPr>
            </w:pPr>
          </w:p>
        </w:tc>
      </w:tr>
    </w:tbl>
    <w:p w14:paraId="0000126F" w14:textId="77777777" w:rsidR="00CB4215" w:rsidRPr="00927980" w:rsidRDefault="00CB4215">
      <w:pPr>
        <w:spacing w:line="240" w:lineRule="auto"/>
        <w:rPr>
          <w:rFonts w:ascii="Times New Roman" w:eastAsia="Times New Roman" w:hAnsi="Times New Roman" w:cs="Times New Roman"/>
          <w:color w:val="000000"/>
          <w:sz w:val="24"/>
          <w:szCs w:val="24"/>
        </w:rPr>
      </w:pPr>
    </w:p>
    <w:p w14:paraId="00001270"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b/>
          <w:color w:val="000000"/>
          <w:sz w:val="24"/>
          <w:szCs w:val="24"/>
        </w:rPr>
        <w:t>Project contact details for further information:</w:t>
      </w:r>
    </w:p>
    <w:p w14:paraId="00001271" w14:textId="77777777" w:rsidR="00CB4215" w:rsidRPr="00927980" w:rsidRDefault="000530B4">
      <w:pPr>
        <w:spacing w:line="240" w:lineRule="auto"/>
        <w:rPr>
          <w:rFonts w:ascii="Times New Roman" w:eastAsia="Times New Roman" w:hAnsi="Times New Roman" w:cs="Times New Roman"/>
          <w:color w:val="000000"/>
          <w:sz w:val="24"/>
          <w:szCs w:val="24"/>
          <w:lang w:val="es-ES_tradnl"/>
        </w:rPr>
      </w:pPr>
      <w:r w:rsidRPr="00927980">
        <w:rPr>
          <w:rFonts w:ascii="Times New Roman" w:eastAsia="Calibri" w:hAnsi="Times New Roman" w:cs="Times New Roman"/>
          <w:color w:val="000000"/>
          <w:sz w:val="24"/>
          <w:szCs w:val="24"/>
          <w:lang w:val="es-ES_tradnl"/>
        </w:rPr>
        <w:t xml:space="preserve">Principal </w:t>
      </w:r>
      <w:proofErr w:type="spellStart"/>
      <w:r w:rsidRPr="00927980">
        <w:rPr>
          <w:rFonts w:ascii="Times New Roman" w:eastAsia="Calibri" w:hAnsi="Times New Roman" w:cs="Times New Roman"/>
          <w:color w:val="000000"/>
          <w:sz w:val="24"/>
          <w:szCs w:val="24"/>
          <w:lang w:val="es-ES_tradnl"/>
        </w:rPr>
        <w:t>Investigator</w:t>
      </w:r>
      <w:proofErr w:type="spellEnd"/>
      <w:r w:rsidRPr="00927980">
        <w:rPr>
          <w:rFonts w:ascii="Times New Roman" w:eastAsia="Calibri" w:hAnsi="Times New Roman" w:cs="Times New Roman"/>
          <w:color w:val="000000"/>
          <w:sz w:val="24"/>
          <w:szCs w:val="24"/>
          <w:lang w:val="es-ES_tradnl"/>
        </w:rPr>
        <w:t>: Bixuan YAN, byan6@sheffield.ac.uk</w:t>
      </w:r>
    </w:p>
    <w:p w14:paraId="00001272" w14:textId="77777777" w:rsidR="00CB4215" w:rsidRPr="00927980" w:rsidRDefault="000530B4">
      <w:pPr>
        <w:spacing w:line="240" w:lineRule="auto"/>
        <w:rPr>
          <w:rFonts w:ascii="Times New Roman" w:eastAsia="Times New Roman" w:hAnsi="Times New Roman" w:cs="Times New Roman"/>
          <w:color w:val="000000"/>
          <w:sz w:val="24"/>
          <w:szCs w:val="24"/>
        </w:rPr>
      </w:pPr>
      <w:r w:rsidRPr="00927980">
        <w:rPr>
          <w:rFonts w:ascii="Times New Roman" w:eastAsia="Calibri" w:hAnsi="Times New Roman" w:cs="Times New Roman"/>
          <w:color w:val="000000"/>
          <w:sz w:val="24"/>
          <w:szCs w:val="24"/>
        </w:rPr>
        <w:t>Head of the Department of Psychology: Professor Elizabeth Milne, psy-hod@sheffield.ac.uk</w:t>
      </w:r>
    </w:p>
    <w:p w14:paraId="00001273" w14:textId="77777777" w:rsidR="00CB4215" w:rsidRPr="00927980" w:rsidRDefault="00CB4215">
      <w:pPr>
        <w:spacing w:line="240" w:lineRule="auto"/>
        <w:rPr>
          <w:rFonts w:ascii="Times New Roman" w:eastAsia="Times New Roman" w:hAnsi="Times New Roman" w:cs="Times New Roman"/>
          <w:color w:val="000000"/>
          <w:sz w:val="24"/>
          <w:szCs w:val="24"/>
        </w:rPr>
      </w:pPr>
    </w:p>
    <w:p w14:paraId="00001274" w14:textId="77777777" w:rsidR="00CB4215" w:rsidRPr="00927980" w:rsidRDefault="00CB4215">
      <w:pPr>
        <w:jc w:val="center"/>
        <w:rPr>
          <w:rFonts w:ascii="Times New Roman" w:eastAsia="Times New Roman" w:hAnsi="Times New Roman" w:cs="Times New Roman"/>
          <w:b/>
          <w:color w:val="000000"/>
          <w:sz w:val="24"/>
          <w:szCs w:val="24"/>
        </w:rPr>
      </w:pPr>
    </w:p>
    <w:p w14:paraId="00001275" w14:textId="77777777" w:rsidR="00CB4215" w:rsidRPr="00927980" w:rsidRDefault="00CB4215">
      <w:pPr>
        <w:jc w:val="center"/>
        <w:rPr>
          <w:rFonts w:ascii="Times New Roman" w:eastAsia="Times New Roman" w:hAnsi="Times New Roman" w:cs="Times New Roman"/>
          <w:b/>
          <w:color w:val="000000"/>
          <w:sz w:val="24"/>
          <w:szCs w:val="24"/>
        </w:rPr>
      </w:pPr>
    </w:p>
    <w:p w14:paraId="00001276" w14:textId="77777777" w:rsidR="00CB4215" w:rsidRPr="00927980" w:rsidRDefault="000530B4">
      <w:pPr>
        <w:jc w:val="center"/>
        <w:rPr>
          <w:rFonts w:ascii="Times New Roman" w:eastAsia="Times New Roman" w:hAnsi="Times New Roman" w:cs="Times New Roman"/>
          <w:color w:val="000000"/>
          <w:sz w:val="24"/>
          <w:szCs w:val="24"/>
        </w:rPr>
      </w:pPr>
      <w:r w:rsidRPr="00927980">
        <w:rPr>
          <w:rFonts w:ascii="Times New Roman" w:eastAsia="Times New Roman" w:hAnsi="Times New Roman" w:cs="Times New Roman"/>
          <w:b/>
          <w:color w:val="000000"/>
          <w:sz w:val="24"/>
          <w:szCs w:val="24"/>
        </w:rPr>
        <w:t>DEBRIEFING FORM:</w:t>
      </w:r>
    </w:p>
    <w:p w14:paraId="00001277" w14:textId="77777777" w:rsidR="00CB4215" w:rsidRPr="00927980" w:rsidRDefault="000530B4">
      <w:pPr>
        <w:rPr>
          <w:rFonts w:ascii="Times New Roman" w:eastAsia="Times New Roman" w:hAnsi="Times New Roman" w:cs="Times New Roman"/>
          <w:color w:val="000000"/>
          <w:sz w:val="24"/>
          <w:szCs w:val="24"/>
        </w:rPr>
      </w:pPr>
      <w:r w:rsidRPr="00927980">
        <w:rPr>
          <w:rFonts w:ascii="Times New Roman" w:eastAsia="Times New Roman" w:hAnsi="Times New Roman" w:cs="Times New Roman"/>
          <w:color w:val="000000"/>
          <w:sz w:val="24"/>
          <w:szCs w:val="24"/>
        </w:rPr>
        <w:t>Thank you for taking part in this study. We hope that you found your experience participating in this study to be interesting.</w:t>
      </w:r>
    </w:p>
    <w:p w14:paraId="00001278" w14:textId="77777777" w:rsidR="00CB4215" w:rsidRPr="00927980" w:rsidRDefault="000530B4">
      <w:pPr>
        <w:rPr>
          <w:rFonts w:ascii="Times New Roman" w:eastAsia="Times New Roman" w:hAnsi="Times New Roman" w:cs="Times New Roman"/>
          <w:color w:val="000000"/>
          <w:sz w:val="24"/>
          <w:szCs w:val="24"/>
        </w:rPr>
      </w:pPr>
      <w:r w:rsidRPr="00927980">
        <w:rPr>
          <w:rFonts w:ascii="Times New Roman" w:eastAsia="Times New Roman" w:hAnsi="Times New Roman" w:cs="Times New Roman"/>
          <w:color w:val="000000"/>
          <w:sz w:val="24"/>
          <w:szCs w:val="24"/>
        </w:rPr>
        <w:t xml:space="preserve">There is more to this study than what I have told you about so far. Sometimes in psychological research it is necessary to not tell people about the true purpose of the study at </w:t>
      </w:r>
      <w:r w:rsidRPr="00927980">
        <w:rPr>
          <w:rFonts w:ascii="Times New Roman" w:eastAsia="Times New Roman" w:hAnsi="Times New Roman" w:cs="Times New Roman"/>
          <w:color w:val="000000"/>
          <w:sz w:val="24"/>
          <w:szCs w:val="24"/>
        </w:rPr>
        <w:lastRenderedPageBreak/>
        <w:t>the beginning. If we did, it may affect how they respond to the questions asked and the tasks involved, and this would change the results in a way that may make them invalid. </w:t>
      </w:r>
    </w:p>
    <w:p w14:paraId="00001279" w14:textId="77777777" w:rsidR="00CB4215" w:rsidRDefault="000530B4">
      <w:pPr>
        <w:rPr>
          <w:rFonts w:ascii="Times New Roman" w:eastAsia="Times New Roman" w:hAnsi="Times New Roman" w:cs="Times New Roman"/>
          <w:color w:val="000000"/>
          <w:sz w:val="24"/>
          <w:szCs w:val="24"/>
        </w:rPr>
      </w:pPr>
      <w:r w:rsidRPr="00927980">
        <w:rPr>
          <w:rFonts w:ascii="Times New Roman" w:eastAsia="Times New Roman" w:hAnsi="Times New Roman" w:cs="Times New Roman"/>
          <w:color w:val="000000"/>
          <w:sz w:val="24"/>
          <w:szCs w:val="24"/>
        </w:rPr>
        <w:t>Now I would like to tell you exactly what the purpose of this study was. This research aims to explore the relationship between psychological characteristics and body</w:t>
      </w:r>
      <w:r>
        <w:rPr>
          <w:rFonts w:ascii="Times New Roman" w:eastAsia="Times New Roman" w:hAnsi="Times New Roman" w:cs="Times New Roman"/>
          <w:color w:val="000000"/>
          <w:sz w:val="24"/>
          <w:szCs w:val="24"/>
        </w:rPr>
        <w:t xml:space="preserve"> mass index (BMI) using a representative sample across the UK. Particularly, we are interested in whether the time of day that people report eating meals, and whether a regular or chaotic pattern is associated with baseline body mass index (BMI). In this study, concealing the true purpose of the study (i.e., associations with BMI) </w:t>
      </w: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important as awareness that height and weight is the primary outcome (BMI) may affect some participants’ responses. </w:t>
      </w:r>
    </w:p>
    <w:p w14:paraId="0000127A"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Your participation in this research is very important. We realize that finding out that we were not up front with you regarding the purpose of the study may affect your satisfaction with your participation, especially since you gave consent to a study with what you thought had a different purpose.</w:t>
      </w:r>
    </w:p>
    <w:p w14:paraId="0000127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are affected by the study, we advise you to seek advice from the NHS wellbeing website: </w:t>
      </w:r>
    </w:p>
    <w:p w14:paraId="0000127C" w14:textId="18C66A81" w:rsidR="00CB4215" w:rsidRDefault="007E2DD6">
      <w:pPr>
        <w:rPr>
          <w:rFonts w:ascii="Times New Roman" w:eastAsia="Times New Roman" w:hAnsi="Times New Roman" w:cs="Times New Roman"/>
          <w:color w:val="000000"/>
          <w:sz w:val="24"/>
          <w:szCs w:val="24"/>
        </w:rPr>
      </w:pPr>
      <w:hyperlink r:id="rId847">
        <w:r w:rsidR="000530B4">
          <w:rPr>
            <w:rFonts w:ascii="Times New Roman" w:eastAsia="Times New Roman" w:hAnsi="Times New Roman" w:cs="Times New Roman"/>
            <w:color w:val="000000"/>
            <w:sz w:val="24"/>
            <w:szCs w:val="24"/>
            <w:u w:val="single"/>
          </w:rPr>
          <w:t>https://www.nhs.uk/mental-health/self-help/guides-tools-and-activities/five-steps-to-mental-wellbeing/</w:t>
        </w:r>
      </w:hyperlink>
      <w:r w:rsidR="000530B4">
        <w:rPr>
          <w:rFonts w:ascii="Times New Roman" w:eastAsia="Times New Roman" w:hAnsi="Times New Roman" w:cs="Times New Roman"/>
          <w:color w:val="000000"/>
          <w:sz w:val="24"/>
          <w:szCs w:val="24"/>
        </w:rPr>
        <w:t xml:space="preserve"> . If the distress </w:t>
      </w:r>
      <w:r w:rsidR="00726876">
        <w:rPr>
          <w:rFonts w:ascii="Times New Roman" w:eastAsia="Times New Roman" w:hAnsi="Times New Roman" w:cs="Times New Roman"/>
          <w:color w:val="000000"/>
          <w:sz w:val="24"/>
          <w:szCs w:val="24"/>
        </w:rPr>
        <w:t>continues,</w:t>
      </w:r>
      <w:r w:rsidR="000530B4">
        <w:rPr>
          <w:rFonts w:ascii="Times New Roman" w:eastAsia="Times New Roman" w:hAnsi="Times New Roman" w:cs="Times New Roman"/>
          <w:color w:val="000000"/>
          <w:sz w:val="24"/>
          <w:szCs w:val="24"/>
        </w:rPr>
        <w:t xml:space="preserve"> we advise you to contact your GP.</w:t>
      </w:r>
    </w:p>
    <w:p w14:paraId="0000127D"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also appreciate that answering questions about eating styles and patterns may be distressing for some participants. If you are affected, the following resource may be useful:</w:t>
      </w:r>
    </w:p>
    <w:p w14:paraId="0000127E" w14:textId="146B1135" w:rsidR="00CB4215" w:rsidRDefault="007E2DD6">
      <w:pPr>
        <w:rPr>
          <w:rFonts w:ascii="Times New Roman" w:eastAsia="Times New Roman" w:hAnsi="Times New Roman" w:cs="Times New Roman"/>
          <w:color w:val="000000"/>
          <w:sz w:val="24"/>
          <w:szCs w:val="24"/>
        </w:rPr>
      </w:pPr>
      <w:hyperlink r:id="rId848">
        <w:r w:rsidR="000530B4">
          <w:rPr>
            <w:rFonts w:ascii="Times New Roman" w:eastAsia="Times New Roman" w:hAnsi="Times New Roman" w:cs="Times New Roman"/>
            <w:color w:val="000000"/>
            <w:sz w:val="24"/>
            <w:szCs w:val="24"/>
            <w:u w:val="single"/>
          </w:rPr>
          <w:t>https://www.beateatingdisorders.org.uk/</w:t>
        </w:r>
      </w:hyperlink>
      <w:r w:rsidR="000530B4">
        <w:rPr>
          <w:rFonts w:ascii="Times New Roman" w:eastAsia="Times New Roman" w:hAnsi="Times New Roman" w:cs="Times New Roman"/>
          <w:color w:val="000000"/>
          <w:sz w:val="24"/>
          <w:szCs w:val="24"/>
        </w:rPr>
        <w:t xml:space="preserve">   If the distress </w:t>
      </w:r>
      <w:r w:rsidR="00726876">
        <w:rPr>
          <w:rFonts w:ascii="Times New Roman" w:eastAsia="Times New Roman" w:hAnsi="Times New Roman" w:cs="Times New Roman"/>
          <w:color w:val="000000"/>
          <w:sz w:val="24"/>
          <w:szCs w:val="24"/>
        </w:rPr>
        <w:t>continues,</w:t>
      </w:r>
      <w:r w:rsidR="000530B4">
        <w:rPr>
          <w:rFonts w:ascii="Times New Roman" w:eastAsia="Times New Roman" w:hAnsi="Times New Roman" w:cs="Times New Roman"/>
          <w:color w:val="000000"/>
          <w:sz w:val="24"/>
          <w:szCs w:val="24"/>
        </w:rPr>
        <w:t xml:space="preserve"> we advise you to contact your GP.</w:t>
      </w:r>
    </w:p>
    <w:p w14:paraId="0000127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CONTACT</w:t>
      </w:r>
    </w:p>
    <w:p w14:paraId="00001280"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have any questions regarding this study or if you would like a copy of the final project report, please do not hesitate to contact Miss Bixuan Yan: </w:t>
      </w:r>
    </w:p>
    <w:p w14:paraId="00001281" w14:textId="77777777" w:rsidR="00CB4215" w:rsidRDefault="007E2DD6">
      <w:pPr>
        <w:rPr>
          <w:rFonts w:ascii="Times New Roman" w:eastAsia="Times New Roman" w:hAnsi="Times New Roman" w:cs="Times New Roman"/>
          <w:color w:val="000000"/>
          <w:sz w:val="24"/>
          <w:szCs w:val="24"/>
        </w:rPr>
      </w:pPr>
      <w:hyperlink r:id="rId849">
        <w:r w:rsidR="000530B4">
          <w:rPr>
            <w:rFonts w:ascii="Times New Roman" w:eastAsia="Times New Roman" w:hAnsi="Times New Roman" w:cs="Times New Roman"/>
            <w:color w:val="000000"/>
            <w:sz w:val="24"/>
            <w:szCs w:val="24"/>
            <w:u w:val="single"/>
          </w:rPr>
          <w:t>byan6@sheffield.ac.uk</w:t>
        </w:r>
      </w:hyperlink>
      <w:r w:rsidR="000530B4">
        <w:rPr>
          <w:rFonts w:ascii="Times New Roman" w:eastAsia="Times New Roman" w:hAnsi="Times New Roman" w:cs="Times New Roman"/>
          <w:color w:val="000000"/>
          <w:sz w:val="24"/>
          <w:szCs w:val="24"/>
        </w:rPr>
        <w:t>(Principal Investigator at the University of Sheffield).</w:t>
      </w:r>
    </w:p>
    <w:p w14:paraId="00001282"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PAYMENT</w:t>
      </w:r>
    </w:p>
    <w:p w14:paraId="0000128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Thank you for taking part in this study. Every participant from Prolific will receive £1.57 Prolific credits.</w:t>
      </w:r>
    </w:p>
    <w:p w14:paraId="00001284"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If you would like an entry to the prize draw to win either a £100 Amazon e-voucher, or a £50 Amazon e-voucher, please click the link below (this </w:t>
      </w:r>
      <w:proofErr w:type="gramStart"/>
      <w:r>
        <w:rPr>
          <w:rFonts w:ascii="Times New Roman" w:eastAsia="Times New Roman" w:hAnsi="Times New Roman" w:cs="Times New Roman"/>
          <w:b/>
          <w:color w:val="000000"/>
          <w:sz w:val="24"/>
          <w:szCs w:val="24"/>
        </w:rPr>
        <w:t>will  </w:t>
      </w:r>
      <w:proofErr w:type="spellStart"/>
      <w:r>
        <w:rPr>
          <w:rFonts w:ascii="Times New Roman" w:eastAsia="Times New Roman" w:hAnsi="Times New Roman" w:cs="Times New Roman"/>
          <w:b/>
          <w:color w:val="000000"/>
          <w:sz w:val="24"/>
          <w:szCs w:val="24"/>
        </w:rPr>
        <w:t>will</w:t>
      </w:r>
      <w:proofErr w:type="spellEnd"/>
      <w:proofErr w:type="gramEnd"/>
      <w:r>
        <w:rPr>
          <w:rFonts w:ascii="Times New Roman" w:eastAsia="Times New Roman" w:hAnsi="Times New Roman" w:cs="Times New Roman"/>
          <w:b/>
          <w:color w:val="000000"/>
          <w:sz w:val="24"/>
          <w:szCs w:val="24"/>
        </w:rPr>
        <w:t xml:space="preserve"> be re-directed to another survey to give the email address to ensure your email is not linked with your response to this survey).</w:t>
      </w:r>
      <w:r>
        <w:rPr>
          <w:rFonts w:ascii="Times New Roman" w:eastAsia="Times New Roman" w:hAnsi="Times New Roman" w:cs="Times New Roman"/>
          <w:color w:val="000000"/>
          <w:sz w:val="24"/>
          <w:szCs w:val="24"/>
        </w:rPr>
        <w:br/>
      </w:r>
    </w:p>
    <w:p w14:paraId="00001285" w14:textId="77777777" w:rsidR="00CB4215" w:rsidRDefault="00CB4215">
      <w:pPr>
        <w:rPr>
          <w:rFonts w:ascii="Times New Roman" w:eastAsia="Times New Roman" w:hAnsi="Times New Roman" w:cs="Times New Roman"/>
          <w:color w:val="000000"/>
          <w:sz w:val="24"/>
          <w:szCs w:val="24"/>
        </w:rPr>
      </w:pPr>
    </w:p>
    <w:p w14:paraId="00001286" w14:textId="77777777" w:rsidR="00CB4215" w:rsidRDefault="00CB4215">
      <w:pPr>
        <w:rPr>
          <w:rFonts w:ascii="Times New Roman" w:eastAsia="Times New Roman" w:hAnsi="Times New Roman" w:cs="Times New Roman"/>
          <w:color w:val="000000"/>
          <w:sz w:val="24"/>
          <w:szCs w:val="24"/>
        </w:rPr>
      </w:pPr>
    </w:p>
    <w:p w14:paraId="00001287" w14:textId="77777777" w:rsidR="00CB4215" w:rsidRDefault="00CB4215">
      <w:pPr>
        <w:rPr>
          <w:rFonts w:ascii="Times New Roman" w:eastAsia="Times New Roman" w:hAnsi="Times New Roman" w:cs="Times New Roman"/>
          <w:color w:val="000000"/>
          <w:sz w:val="24"/>
          <w:szCs w:val="24"/>
        </w:rPr>
      </w:pPr>
    </w:p>
    <w:p w14:paraId="00001288" w14:textId="77777777" w:rsidR="00CB4215" w:rsidRDefault="00CB4215">
      <w:pPr>
        <w:rPr>
          <w:rFonts w:ascii="Times New Roman" w:eastAsia="Times New Roman" w:hAnsi="Times New Roman" w:cs="Times New Roman"/>
          <w:color w:val="000000"/>
          <w:sz w:val="24"/>
          <w:szCs w:val="24"/>
        </w:rPr>
      </w:pPr>
    </w:p>
    <w:p w14:paraId="00001289" w14:textId="77777777" w:rsidR="00CB4215" w:rsidRDefault="00CB4215">
      <w:pPr>
        <w:rPr>
          <w:rFonts w:ascii="Times New Roman" w:eastAsia="Times New Roman" w:hAnsi="Times New Roman" w:cs="Times New Roman"/>
          <w:color w:val="000000"/>
          <w:sz w:val="24"/>
          <w:szCs w:val="24"/>
        </w:rPr>
      </w:pPr>
    </w:p>
    <w:p w14:paraId="0000128A" w14:textId="77777777" w:rsidR="00CB4215" w:rsidRDefault="00CB4215">
      <w:pPr>
        <w:rPr>
          <w:rFonts w:ascii="Times New Roman" w:eastAsia="Times New Roman" w:hAnsi="Times New Roman" w:cs="Times New Roman"/>
          <w:color w:val="000000"/>
          <w:sz w:val="24"/>
          <w:szCs w:val="24"/>
        </w:rPr>
      </w:pPr>
    </w:p>
    <w:p w14:paraId="0000128B" w14:textId="77777777" w:rsidR="00CB4215" w:rsidRDefault="00CB4215">
      <w:pPr>
        <w:rPr>
          <w:rFonts w:ascii="Times New Roman" w:eastAsia="Times New Roman" w:hAnsi="Times New Roman" w:cs="Times New Roman"/>
          <w:color w:val="000000"/>
          <w:sz w:val="24"/>
          <w:szCs w:val="24"/>
        </w:rPr>
      </w:pPr>
    </w:p>
    <w:p w14:paraId="0000128C" w14:textId="77777777" w:rsidR="00CB4215" w:rsidRDefault="00CB4215">
      <w:pPr>
        <w:rPr>
          <w:rFonts w:ascii="Times New Roman" w:eastAsia="Times New Roman" w:hAnsi="Times New Roman" w:cs="Times New Roman"/>
          <w:color w:val="000000"/>
          <w:sz w:val="24"/>
          <w:szCs w:val="24"/>
        </w:rPr>
      </w:pPr>
    </w:p>
    <w:p w14:paraId="0000128D" w14:textId="77777777" w:rsidR="00CB4215" w:rsidRDefault="00CB4215">
      <w:pPr>
        <w:rPr>
          <w:rFonts w:ascii="Times New Roman" w:eastAsia="Times New Roman" w:hAnsi="Times New Roman" w:cs="Times New Roman"/>
          <w:color w:val="000000"/>
          <w:sz w:val="24"/>
          <w:szCs w:val="24"/>
        </w:rPr>
      </w:pPr>
    </w:p>
    <w:p w14:paraId="0000128E" w14:textId="77777777" w:rsidR="00CB4215" w:rsidRDefault="00CB4215">
      <w:pPr>
        <w:rPr>
          <w:rFonts w:ascii="Times New Roman" w:eastAsia="Times New Roman" w:hAnsi="Times New Roman" w:cs="Times New Roman"/>
          <w:color w:val="000000"/>
          <w:sz w:val="24"/>
          <w:szCs w:val="24"/>
        </w:rPr>
      </w:pPr>
    </w:p>
    <w:p w14:paraId="00001295" w14:textId="77777777" w:rsidR="00CB4215" w:rsidRDefault="00CB4215">
      <w:pPr>
        <w:rPr>
          <w:rFonts w:ascii="Times New Roman" w:eastAsia="Times New Roman" w:hAnsi="Times New Roman" w:cs="Times New Roman"/>
          <w:color w:val="000000"/>
          <w:sz w:val="24"/>
          <w:szCs w:val="24"/>
        </w:rPr>
      </w:pPr>
    </w:p>
    <w:p w14:paraId="00001296" w14:textId="77777777" w:rsidR="00CB4215" w:rsidRDefault="000530B4">
      <w:pPr>
        <w:pStyle w:val="Heading1"/>
        <w:spacing w:line="240" w:lineRule="auto"/>
        <w:rPr>
          <w:rFonts w:ascii="Times New Roman" w:eastAsia="Times New Roman" w:hAnsi="Times New Roman" w:cs="Times New Roman"/>
          <w:b/>
          <w:color w:val="000000"/>
        </w:rPr>
      </w:pPr>
      <w:bookmarkStart w:id="152" w:name="_Toc172984845"/>
      <w:r>
        <w:rPr>
          <w:rFonts w:ascii="Times New Roman" w:eastAsia="Times New Roman" w:hAnsi="Times New Roman" w:cs="Times New Roman"/>
          <w:b/>
          <w:color w:val="000000"/>
        </w:rPr>
        <w:lastRenderedPageBreak/>
        <w:t>Appendix C Supplementary materials for Study 2 (Chapter 5)</w:t>
      </w:r>
      <w:bookmarkEnd w:id="152"/>
    </w:p>
    <w:p w14:paraId="00001297" w14:textId="77777777" w:rsidR="00CB4215" w:rsidRDefault="00CB4215">
      <w:pPr>
        <w:spacing w:line="240" w:lineRule="auto"/>
        <w:rPr>
          <w:rFonts w:ascii="Times New Roman" w:eastAsia="Times New Roman" w:hAnsi="Times New Roman" w:cs="Times New Roman"/>
          <w:color w:val="000000"/>
          <w:sz w:val="24"/>
          <w:szCs w:val="24"/>
        </w:rPr>
      </w:pPr>
    </w:p>
    <w:p w14:paraId="00001298" w14:textId="77777777" w:rsidR="00CB4215" w:rsidRPr="0064076D" w:rsidRDefault="000530B4">
      <w:pPr>
        <w:spacing w:line="240" w:lineRule="auto"/>
        <w:rPr>
          <w:rFonts w:ascii="Times New Roman" w:eastAsia="Times New Roman" w:hAnsi="Times New Roman" w:cs="Times New Roman"/>
          <w:color w:val="000000"/>
          <w:sz w:val="20"/>
          <w:szCs w:val="20"/>
        </w:rPr>
      </w:pPr>
      <w:r w:rsidRPr="0064076D">
        <w:rPr>
          <w:rFonts w:ascii="Times New Roman" w:eastAsia="Times New Roman" w:hAnsi="Times New Roman" w:cs="Times New Roman"/>
          <w:i/>
          <w:iCs/>
          <w:color w:val="000000"/>
          <w:sz w:val="20"/>
          <w:szCs w:val="20"/>
        </w:rPr>
        <w:t>Table S1.</w:t>
      </w:r>
      <w:r w:rsidRPr="0064076D">
        <w:rPr>
          <w:rFonts w:ascii="Times New Roman" w:eastAsia="Times New Roman" w:hAnsi="Times New Roman" w:cs="Times New Roman"/>
          <w:color w:val="000000"/>
          <w:sz w:val="20"/>
          <w:szCs w:val="20"/>
        </w:rPr>
        <w:t xml:space="preserve"> Descriptive statistics of study sample.</w:t>
      </w:r>
    </w:p>
    <w:tbl>
      <w:tblPr>
        <w:tblStyle w:val="afd"/>
        <w:tblW w:w="904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0"/>
        <w:gridCol w:w="3675"/>
      </w:tblGrid>
      <w:tr w:rsidR="00CB4215" w14:paraId="3CD4EB7C" w14:textId="77777777">
        <w:tc>
          <w:tcPr>
            <w:tcW w:w="5370" w:type="dxa"/>
            <w:tcBorders>
              <w:left w:val="nil"/>
              <w:right w:val="nil"/>
            </w:tcBorders>
            <w:shd w:val="clear" w:color="auto" w:fill="auto"/>
            <w:tcMar>
              <w:top w:w="100" w:type="dxa"/>
              <w:left w:w="100" w:type="dxa"/>
              <w:bottom w:w="100" w:type="dxa"/>
              <w:right w:w="100" w:type="dxa"/>
            </w:tcMar>
          </w:tcPr>
          <w:p w14:paraId="0000129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Variable (total n)</w:t>
            </w:r>
          </w:p>
        </w:tc>
        <w:tc>
          <w:tcPr>
            <w:tcW w:w="3675" w:type="dxa"/>
            <w:tcBorders>
              <w:left w:val="nil"/>
              <w:right w:val="nil"/>
            </w:tcBorders>
            <w:shd w:val="clear" w:color="auto" w:fill="auto"/>
            <w:tcMar>
              <w:top w:w="100" w:type="dxa"/>
              <w:left w:w="100" w:type="dxa"/>
              <w:bottom w:w="100" w:type="dxa"/>
              <w:right w:w="100" w:type="dxa"/>
            </w:tcMar>
          </w:tcPr>
          <w:p w14:paraId="0000129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n (%) or M ± SD (95% CI)</w:t>
            </w:r>
          </w:p>
        </w:tc>
      </w:tr>
      <w:tr w:rsidR="00CB4215" w14:paraId="4F5ACBDD" w14:textId="77777777">
        <w:trPr>
          <w:trHeight w:val="25"/>
        </w:trPr>
        <w:tc>
          <w:tcPr>
            <w:tcW w:w="5370" w:type="dxa"/>
            <w:tcBorders>
              <w:left w:val="nil"/>
              <w:bottom w:val="nil"/>
              <w:right w:val="nil"/>
            </w:tcBorders>
            <w:shd w:val="clear" w:color="auto" w:fill="auto"/>
            <w:tcMar>
              <w:top w:w="100" w:type="dxa"/>
              <w:left w:w="100" w:type="dxa"/>
              <w:bottom w:w="100" w:type="dxa"/>
              <w:right w:w="100" w:type="dxa"/>
            </w:tcMar>
          </w:tcPr>
          <w:p w14:paraId="0000129B" w14:textId="77777777" w:rsidR="00CB4215" w:rsidRDefault="000530B4">
            <w:pPr>
              <w:widowControl w:val="0"/>
              <w:spacing w:line="240" w:lineRule="auto"/>
              <w:rPr>
                <w:rFonts w:ascii="Times New Roman" w:eastAsia="Times New Roman" w:hAnsi="Times New Roman" w:cs="Times New Roman"/>
                <w:b/>
                <w:i/>
                <w:color w:val="000000"/>
                <w:vertAlign w:val="superscript"/>
              </w:rPr>
            </w:pPr>
            <w:r>
              <w:rPr>
                <w:rFonts w:ascii="Times New Roman" w:eastAsia="Times New Roman" w:hAnsi="Times New Roman" w:cs="Times New Roman"/>
                <w:b/>
                <w:i/>
                <w:color w:val="000000"/>
              </w:rPr>
              <w:t xml:space="preserve">Physical activity (n = </w:t>
            </w:r>
            <w:proofErr w:type="gramStart"/>
            <w:r>
              <w:rPr>
                <w:rFonts w:ascii="Times New Roman" w:eastAsia="Times New Roman" w:hAnsi="Times New Roman" w:cs="Times New Roman"/>
                <w:b/>
                <w:i/>
                <w:color w:val="000000"/>
              </w:rPr>
              <w:t>28)</w:t>
            </w:r>
            <w:r>
              <w:rPr>
                <w:rFonts w:ascii="Times New Roman" w:eastAsia="Times New Roman" w:hAnsi="Times New Roman" w:cs="Times New Roman"/>
                <w:b/>
                <w:i/>
                <w:color w:val="000000"/>
                <w:vertAlign w:val="superscript"/>
              </w:rPr>
              <w:t>a</w:t>
            </w:r>
            <w:proofErr w:type="gramEnd"/>
          </w:p>
        </w:tc>
        <w:tc>
          <w:tcPr>
            <w:tcW w:w="3675" w:type="dxa"/>
            <w:tcBorders>
              <w:left w:val="nil"/>
              <w:bottom w:val="nil"/>
              <w:right w:val="nil"/>
            </w:tcBorders>
            <w:shd w:val="clear" w:color="auto" w:fill="auto"/>
            <w:tcMar>
              <w:top w:w="100" w:type="dxa"/>
              <w:left w:w="100" w:type="dxa"/>
              <w:bottom w:w="100" w:type="dxa"/>
              <w:right w:w="100" w:type="dxa"/>
            </w:tcMar>
          </w:tcPr>
          <w:p w14:paraId="0000129C" w14:textId="77777777" w:rsidR="00CB4215" w:rsidRDefault="00CB4215">
            <w:pPr>
              <w:widowControl w:val="0"/>
              <w:spacing w:line="240" w:lineRule="auto"/>
              <w:rPr>
                <w:rFonts w:ascii="Times New Roman" w:eastAsia="Times New Roman" w:hAnsi="Times New Roman" w:cs="Times New Roman"/>
                <w:color w:val="000000"/>
              </w:rPr>
            </w:pPr>
          </w:p>
        </w:tc>
      </w:tr>
      <w:tr w:rsidR="00CB4215" w14:paraId="694BB2A0" w14:textId="77777777">
        <w:trPr>
          <w:trHeight w:val="35"/>
        </w:trPr>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9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Energy expenditure (kcal/d)</w:t>
            </w:r>
          </w:p>
        </w:tc>
        <w:tc>
          <w:tcPr>
            <w:tcW w:w="3675" w:type="dxa"/>
            <w:tcBorders>
              <w:top w:val="nil"/>
              <w:left w:val="nil"/>
              <w:bottom w:val="nil"/>
              <w:right w:val="nil"/>
            </w:tcBorders>
            <w:tcMar>
              <w:top w:w="40" w:type="dxa"/>
              <w:left w:w="40" w:type="dxa"/>
              <w:bottom w:w="40" w:type="dxa"/>
              <w:right w:w="40" w:type="dxa"/>
            </w:tcMar>
            <w:vAlign w:val="bottom"/>
          </w:tcPr>
          <w:p w14:paraId="0000129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2483.6 ± 533.4 (2276.8, 2690.4)</w:t>
            </w:r>
          </w:p>
        </w:tc>
      </w:tr>
      <w:tr w:rsidR="00CB4215" w14:paraId="1810A00F" w14:textId="77777777">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9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MVPA (minutes/d)</w:t>
            </w:r>
          </w:p>
        </w:tc>
        <w:tc>
          <w:tcPr>
            <w:tcW w:w="3675" w:type="dxa"/>
            <w:tcBorders>
              <w:top w:val="nil"/>
              <w:left w:val="nil"/>
              <w:bottom w:val="nil"/>
              <w:right w:val="nil"/>
            </w:tcBorders>
            <w:tcMar>
              <w:top w:w="40" w:type="dxa"/>
              <w:left w:w="40" w:type="dxa"/>
              <w:bottom w:w="40" w:type="dxa"/>
              <w:right w:w="40" w:type="dxa"/>
            </w:tcMar>
            <w:vAlign w:val="bottom"/>
          </w:tcPr>
          <w:p w14:paraId="000012A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141.3 ± 45.2 (123.7, 158.8)</w:t>
            </w:r>
          </w:p>
        </w:tc>
      </w:tr>
      <w:tr w:rsidR="00CB4215" w14:paraId="50D9238F" w14:textId="77777777">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A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Step count</w:t>
            </w:r>
          </w:p>
        </w:tc>
        <w:tc>
          <w:tcPr>
            <w:tcW w:w="3675" w:type="dxa"/>
            <w:tcBorders>
              <w:top w:val="nil"/>
              <w:left w:val="nil"/>
              <w:bottom w:val="nil"/>
              <w:right w:val="nil"/>
            </w:tcBorders>
            <w:tcMar>
              <w:top w:w="40" w:type="dxa"/>
              <w:left w:w="40" w:type="dxa"/>
              <w:bottom w:w="40" w:type="dxa"/>
              <w:right w:w="40" w:type="dxa"/>
            </w:tcMar>
            <w:vAlign w:val="bottom"/>
          </w:tcPr>
          <w:p w14:paraId="000012A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5635.2 ± 2167.9 (4794.6, 6475.8))</w:t>
            </w:r>
          </w:p>
        </w:tc>
      </w:tr>
      <w:tr w:rsidR="00CB4215" w14:paraId="3536030F" w14:textId="77777777">
        <w:trPr>
          <w:trHeight w:val="339"/>
        </w:trPr>
        <w:tc>
          <w:tcPr>
            <w:tcW w:w="5370" w:type="dxa"/>
            <w:tcBorders>
              <w:top w:val="nil"/>
              <w:left w:val="nil"/>
              <w:bottom w:val="nil"/>
              <w:right w:val="nil"/>
            </w:tcBorders>
            <w:tcMar>
              <w:top w:w="40" w:type="dxa"/>
              <w:left w:w="40" w:type="dxa"/>
              <w:bottom w:w="40" w:type="dxa"/>
              <w:right w:w="40" w:type="dxa"/>
            </w:tcMar>
            <w:vAlign w:val="bottom"/>
          </w:tcPr>
          <w:p w14:paraId="000012A3" w14:textId="77777777" w:rsidR="00CB4215" w:rsidRDefault="000530B4">
            <w:pPr>
              <w:widowControl w:val="0"/>
              <w:spacing w:line="240" w:lineRule="auto"/>
              <w:rPr>
                <w:rFonts w:ascii="Times New Roman" w:eastAsia="Times New Roman" w:hAnsi="Times New Roman" w:cs="Times New Roman"/>
                <w:i/>
                <w:color w:val="000000"/>
                <w:sz w:val="20"/>
                <w:szCs w:val="20"/>
                <w:vertAlign w:val="superscript"/>
              </w:rPr>
            </w:pPr>
            <w:r>
              <w:rPr>
                <w:rFonts w:ascii="Times New Roman" w:eastAsia="Times New Roman" w:hAnsi="Times New Roman" w:cs="Times New Roman"/>
                <w:b/>
                <w:i/>
                <w:color w:val="000000"/>
              </w:rPr>
              <w:t xml:space="preserve">Dietary intake (n = </w:t>
            </w:r>
            <w:proofErr w:type="gramStart"/>
            <w:r>
              <w:rPr>
                <w:rFonts w:ascii="Times New Roman" w:eastAsia="Times New Roman" w:hAnsi="Times New Roman" w:cs="Times New Roman"/>
                <w:b/>
                <w:i/>
                <w:color w:val="000000"/>
              </w:rPr>
              <w:t>28)</w:t>
            </w:r>
            <w:r>
              <w:rPr>
                <w:rFonts w:ascii="Times New Roman" w:eastAsia="Times New Roman" w:hAnsi="Times New Roman" w:cs="Times New Roman"/>
                <w:b/>
                <w:i/>
                <w:color w:val="000000"/>
                <w:vertAlign w:val="superscript"/>
              </w:rPr>
              <w:t>b</w:t>
            </w:r>
            <w:proofErr w:type="gramEnd"/>
          </w:p>
        </w:tc>
        <w:tc>
          <w:tcPr>
            <w:tcW w:w="3675" w:type="dxa"/>
            <w:tcBorders>
              <w:top w:val="nil"/>
              <w:left w:val="nil"/>
              <w:bottom w:val="nil"/>
              <w:right w:val="nil"/>
            </w:tcBorders>
            <w:tcMar>
              <w:top w:w="40" w:type="dxa"/>
              <w:left w:w="40" w:type="dxa"/>
              <w:bottom w:w="40" w:type="dxa"/>
              <w:right w:w="40" w:type="dxa"/>
            </w:tcMar>
            <w:vAlign w:val="bottom"/>
          </w:tcPr>
          <w:p w14:paraId="000012A4" w14:textId="77777777" w:rsidR="00CB4215" w:rsidRDefault="00CB4215">
            <w:pPr>
              <w:widowControl w:val="0"/>
              <w:spacing w:line="240" w:lineRule="auto"/>
              <w:rPr>
                <w:rFonts w:ascii="Times New Roman" w:eastAsia="Times New Roman" w:hAnsi="Times New Roman" w:cs="Times New Roman"/>
                <w:color w:val="000000"/>
              </w:rPr>
            </w:pPr>
          </w:p>
        </w:tc>
      </w:tr>
      <w:tr w:rsidR="00CB4215" w14:paraId="742035AE" w14:textId="77777777">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A5" w14:textId="77777777" w:rsidR="00CB4215" w:rsidRDefault="000530B4">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Energy intake (kcal/d)</w:t>
            </w:r>
          </w:p>
        </w:tc>
        <w:tc>
          <w:tcPr>
            <w:tcW w:w="3675" w:type="dxa"/>
            <w:tcBorders>
              <w:top w:val="nil"/>
              <w:left w:val="nil"/>
              <w:bottom w:val="nil"/>
              <w:right w:val="nil"/>
            </w:tcBorders>
            <w:tcMar>
              <w:top w:w="40" w:type="dxa"/>
              <w:left w:w="40" w:type="dxa"/>
              <w:bottom w:w="40" w:type="dxa"/>
              <w:right w:w="40" w:type="dxa"/>
            </w:tcMar>
            <w:vAlign w:val="bottom"/>
          </w:tcPr>
          <w:p w14:paraId="000012A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1933.9 ± 488.8 (1744.4, 2123.5)</w:t>
            </w:r>
          </w:p>
        </w:tc>
      </w:tr>
      <w:tr w:rsidR="00CB4215" w14:paraId="12B84F3F" w14:textId="77777777">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A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 (%)</w:t>
            </w:r>
          </w:p>
        </w:tc>
        <w:tc>
          <w:tcPr>
            <w:tcW w:w="3675" w:type="dxa"/>
            <w:tcBorders>
              <w:top w:val="nil"/>
              <w:left w:val="nil"/>
              <w:bottom w:val="nil"/>
              <w:right w:val="nil"/>
            </w:tcBorders>
            <w:tcMar>
              <w:top w:w="40" w:type="dxa"/>
              <w:left w:w="40" w:type="dxa"/>
              <w:bottom w:w="40" w:type="dxa"/>
              <w:right w:w="40" w:type="dxa"/>
            </w:tcMar>
            <w:vAlign w:val="bottom"/>
          </w:tcPr>
          <w:p w14:paraId="000012A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16.1% ± 5.6% (13.8%, 18.2%)</w:t>
            </w:r>
          </w:p>
        </w:tc>
      </w:tr>
      <w:tr w:rsidR="00CB4215" w14:paraId="43C4E141" w14:textId="77777777">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A9" w14:textId="77777777" w:rsidR="00CB4215" w:rsidRDefault="000530B4">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CHO (%)</w:t>
            </w:r>
          </w:p>
        </w:tc>
        <w:tc>
          <w:tcPr>
            <w:tcW w:w="3675" w:type="dxa"/>
            <w:tcBorders>
              <w:top w:val="nil"/>
              <w:left w:val="nil"/>
              <w:bottom w:val="nil"/>
              <w:right w:val="nil"/>
            </w:tcBorders>
            <w:tcMar>
              <w:top w:w="40" w:type="dxa"/>
              <w:left w:w="40" w:type="dxa"/>
              <w:bottom w:w="40" w:type="dxa"/>
              <w:right w:w="40" w:type="dxa"/>
            </w:tcMar>
            <w:vAlign w:val="bottom"/>
          </w:tcPr>
          <w:p w14:paraId="000012AA" w14:textId="77777777" w:rsidR="00CB4215" w:rsidRDefault="000530B4">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48.2% ± 7.4% (45.4%, 51.1%)</w:t>
            </w:r>
          </w:p>
        </w:tc>
      </w:tr>
      <w:tr w:rsidR="00CB4215" w14:paraId="73024B62" w14:textId="77777777">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AB" w14:textId="77777777" w:rsidR="00CB4215" w:rsidRDefault="000530B4">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Fat (%)</w:t>
            </w:r>
          </w:p>
        </w:tc>
        <w:tc>
          <w:tcPr>
            <w:tcW w:w="3675" w:type="dxa"/>
            <w:tcBorders>
              <w:top w:val="nil"/>
              <w:left w:val="nil"/>
              <w:bottom w:val="nil"/>
              <w:right w:val="nil"/>
            </w:tcBorders>
            <w:tcMar>
              <w:top w:w="40" w:type="dxa"/>
              <w:left w:w="40" w:type="dxa"/>
              <w:bottom w:w="40" w:type="dxa"/>
              <w:right w:w="40" w:type="dxa"/>
            </w:tcMar>
            <w:vAlign w:val="bottom"/>
          </w:tcPr>
          <w:p w14:paraId="000012AC" w14:textId="77777777" w:rsidR="00CB4215" w:rsidRDefault="000530B4">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34.7% ± 5.4% (32.6%, 36.8%)</w:t>
            </w:r>
          </w:p>
        </w:tc>
      </w:tr>
      <w:tr w:rsidR="00CB4215" w14:paraId="3A12E776" w14:textId="77777777">
        <w:trPr>
          <w:trHeight w:val="361"/>
        </w:trPr>
        <w:tc>
          <w:tcPr>
            <w:tcW w:w="5370" w:type="dxa"/>
            <w:tcBorders>
              <w:top w:val="nil"/>
              <w:left w:val="nil"/>
              <w:bottom w:val="nil"/>
              <w:right w:val="nil"/>
            </w:tcBorders>
            <w:tcMar>
              <w:top w:w="40" w:type="dxa"/>
              <w:left w:w="40" w:type="dxa"/>
              <w:bottom w:w="40" w:type="dxa"/>
              <w:right w:w="40" w:type="dxa"/>
            </w:tcMar>
            <w:vAlign w:val="bottom"/>
          </w:tcPr>
          <w:p w14:paraId="000012AD" w14:textId="77777777" w:rsidR="00CB4215" w:rsidRDefault="000530B4">
            <w:pPr>
              <w:widowControl w:val="0"/>
              <w:spacing w:line="240" w:lineRule="auto"/>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rPr>
              <w:t>Diet Quality Score (n = 30)</w:t>
            </w:r>
          </w:p>
        </w:tc>
        <w:tc>
          <w:tcPr>
            <w:tcW w:w="3675" w:type="dxa"/>
            <w:tcBorders>
              <w:top w:val="nil"/>
              <w:left w:val="nil"/>
              <w:bottom w:val="nil"/>
              <w:right w:val="nil"/>
            </w:tcBorders>
            <w:shd w:val="clear" w:color="auto" w:fill="auto"/>
            <w:tcMar>
              <w:top w:w="100" w:type="dxa"/>
              <w:left w:w="100" w:type="dxa"/>
              <w:bottom w:w="100" w:type="dxa"/>
              <w:right w:w="100" w:type="dxa"/>
            </w:tcMar>
          </w:tcPr>
          <w:p w14:paraId="000012A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9.5 ± 2.0</w:t>
            </w:r>
          </w:p>
        </w:tc>
      </w:tr>
      <w:tr w:rsidR="00CB4215" w14:paraId="02467343" w14:textId="77777777">
        <w:trPr>
          <w:trHeight w:val="287"/>
        </w:trPr>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AF" w14:textId="77777777" w:rsidR="00CB4215" w:rsidRDefault="000530B4">
            <w:pPr>
              <w:widowControl w:val="0"/>
              <w:spacing w:line="240" w:lineRule="auto"/>
              <w:rPr>
                <w:rFonts w:ascii="Times New Roman" w:eastAsia="Times New Roman" w:hAnsi="Times New Roman" w:cs="Times New Roman"/>
                <w:b/>
                <w:i/>
                <w:color w:val="000000"/>
                <w:vertAlign w:val="superscript"/>
              </w:rPr>
            </w:pPr>
            <w:r>
              <w:rPr>
                <w:rFonts w:ascii="Times New Roman" w:eastAsia="Times New Roman" w:hAnsi="Times New Roman" w:cs="Times New Roman"/>
                <w:b/>
                <w:i/>
                <w:color w:val="000000"/>
              </w:rPr>
              <w:t xml:space="preserve">Sleep (n = </w:t>
            </w:r>
            <w:proofErr w:type="gramStart"/>
            <w:r>
              <w:rPr>
                <w:rFonts w:ascii="Times New Roman" w:eastAsia="Times New Roman" w:hAnsi="Times New Roman" w:cs="Times New Roman"/>
                <w:b/>
                <w:i/>
                <w:color w:val="000000"/>
              </w:rPr>
              <w:t>28)</w:t>
            </w:r>
            <w:r>
              <w:rPr>
                <w:rFonts w:ascii="Times New Roman" w:eastAsia="Times New Roman" w:hAnsi="Times New Roman" w:cs="Times New Roman"/>
                <w:b/>
                <w:i/>
                <w:color w:val="000000"/>
                <w:vertAlign w:val="superscript"/>
              </w:rPr>
              <w:t>a</w:t>
            </w:r>
            <w:proofErr w:type="gramEnd"/>
          </w:p>
        </w:tc>
        <w:tc>
          <w:tcPr>
            <w:tcW w:w="3675" w:type="dxa"/>
            <w:tcBorders>
              <w:top w:val="nil"/>
              <w:left w:val="nil"/>
              <w:bottom w:val="nil"/>
              <w:right w:val="nil"/>
            </w:tcBorders>
            <w:tcMar>
              <w:top w:w="40" w:type="dxa"/>
              <w:left w:w="40" w:type="dxa"/>
              <w:bottom w:w="40" w:type="dxa"/>
              <w:right w:w="40" w:type="dxa"/>
            </w:tcMar>
            <w:vAlign w:val="bottom"/>
          </w:tcPr>
          <w:p w14:paraId="000012B0" w14:textId="77777777" w:rsidR="00CB4215" w:rsidRDefault="000530B4">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20 (67%)</w:t>
            </w:r>
          </w:p>
        </w:tc>
      </w:tr>
      <w:tr w:rsidR="00CB4215" w14:paraId="63C07933" w14:textId="77777777">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B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Sleep efficiency (%)</w:t>
            </w:r>
          </w:p>
        </w:tc>
        <w:tc>
          <w:tcPr>
            <w:tcW w:w="3675" w:type="dxa"/>
            <w:tcBorders>
              <w:top w:val="nil"/>
              <w:left w:val="nil"/>
              <w:bottom w:val="nil"/>
              <w:right w:val="nil"/>
            </w:tcBorders>
            <w:tcMar>
              <w:top w:w="40" w:type="dxa"/>
              <w:left w:w="40" w:type="dxa"/>
              <w:bottom w:w="40" w:type="dxa"/>
              <w:right w:w="40" w:type="dxa"/>
            </w:tcMar>
            <w:vAlign w:val="bottom"/>
          </w:tcPr>
          <w:p w14:paraId="000012B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90.1% ± 2.9% (89.7%, 92.0%)</w:t>
            </w:r>
          </w:p>
        </w:tc>
      </w:tr>
      <w:tr w:rsidR="00CB4215" w14:paraId="69F68BA5" w14:textId="77777777">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B3" w14:textId="77777777" w:rsidR="00CB4215" w:rsidRDefault="000530B4">
            <w:pPr>
              <w:widowControl w:val="0"/>
              <w:spacing w:line="240" w:lineRule="auto"/>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color w:val="000000"/>
              </w:rPr>
              <w:t>Sleep duration (minutes)</w:t>
            </w:r>
          </w:p>
        </w:tc>
        <w:tc>
          <w:tcPr>
            <w:tcW w:w="3675" w:type="dxa"/>
            <w:tcBorders>
              <w:top w:val="nil"/>
              <w:left w:val="nil"/>
              <w:bottom w:val="nil"/>
              <w:right w:val="nil"/>
            </w:tcBorders>
            <w:tcMar>
              <w:top w:w="40" w:type="dxa"/>
              <w:left w:w="40" w:type="dxa"/>
              <w:bottom w:w="40" w:type="dxa"/>
              <w:right w:w="40" w:type="dxa"/>
            </w:tcMar>
            <w:vAlign w:val="bottom"/>
          </w:tcPr>
          <w:p w14:paraId="000012B4" w14:textId="77777777" w:rsidR="00CB4215" w:rsidRDefault="000530B4">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393.7 ± 62.7 (369.3, 418.1)</w:t>
            </w:r>
          </w:p>
        </w:tc>
      </w:tr>
      <w:tr w:rsidR="00CB4215" w14:paraId="32581BEC" w14:textId="77777777">
        <w:trPr>
          <w:trHeight w:val="387"/>
        </w:trPr>
        <w:tc>
          <w:tcPr>
            <w:tcW w:w="5370" w:type="dxa"/>
            <w:tcBorders>
              <w:top w:val="nil"/>
              <w:left w:val="nil"/>
              <w:bottom w:val="nil"/>
              <w:right w:val="nil"/>
            </w:tcBorders>
            <w:shd w:val="clear" w:color="auto" w:fill="FFFFFF"/>
            <w:tcMar>
              <w:top w:w="40" w:type="dxa"/>
              <w:left w:w="40" w:type="dxa"/>
              <w:bottom w:w="40" w:type="dxa"/>
              <w:right w:w="40" w:type="dxa"/>
            </w:tcMar>
            <w:vAlign w:val="bottom"/>
          </w:tcPr>
          <w:p w14:paraId="000012B5" w14:textId="77777777" w:rsidR="00CB4215" w:rsidRDefault="000530B4">
            <w:pPr>
              <w:widowControl w:val="0"/>
              <w:spacing w:line="240" w:lineRule="auto"/>
              <w:rPr>
                <w:rFonts w:ascii="Times New Roman" w:eastAsia="Times New Roman" w:hAnsi="Times New Roman" w:cs="Times New Roman"/>
                <w:b/>
                <w:i/>
                <w:color w:val="000000"/>
                <w:vertAlign w:val="superscript"/>
              </w:rPr>
            </w:pPr>
            <w:r>
              <w:rPr>
                <w:rFonts w:ascii="Times New Roman" w:eastAsia="Times New Roman" w:hAnsi="Times New Roman" w:cs="Times New Roman"/>
                <w:b/>
                <w:i/>
                <w:color w:val="000000"/>
              </w:rPr>
              <w:t xml:space="preserve">Perceived stress (n = </w:t>
            </w:r>
            <w:proofErr w:type="gramStart"/>
            <w:r>
              <w:rPr>
                <w:rFonts w:ascii="Times New Roman" w:eastAsia="Times New Roman" w:hAnsi="Times New Roman" w:cs="Times New Roman"/>
                <w:b/>
                <w:i/>
                <w:color w:val="000000"/>
              </w:rPr>
              <w:t>29)</w:t>
            </w:r>
            <w:r>
              <w:rPr>
                <w:rFonts w:ascii="Times New Roman" w:eastAsia="Times New Roman" w:hAnsi="Times New Roman" w:cs="Times New Roman"/>
                <w:b/>
                <w:i/>
                <w:color w:val="000000"/>
                <w:vertAlign w:val="superscript"/>
              </w:rPr>
              <w:t>c</w:t>
            </w:r>
            <w:proofErr w:type="gramEnd"/>
          </w:p>
        </w:tc>
        <w:tc>
          <w:tcPr>
            <w:tcW w:w="3675" w:type="dxa"/>
            <w:tcBorders>
              <w:top w:val="nil"/>
              <w:left w:val="nil"/>
              <w:bottom w:val="nil"/>
              <w:right w:val="nil"/>
            </w:tcBorders>
            <w:tcMar>
              <w:top w:w="40" w:type="dxa"/>
              <w:left w:w="40" w:type="dxa"/>
              <w:bottom w:w="40" w:type="dxa"/>
              <w:right w:w="40" w:type="dxa"/>
            </w:tcMar>
            <w:vAlign w:val="bottom"/>
          </w:tcPr>
          <w:p w14:paraId="000012B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6.6 ± 2.7 (5.6, 7.6)</w:t>
            </w:r>
          </w:p>
        </w:tc>
      </w:tr>
      <w:tr w:rsidR="00CB4215" w14:paraId="7934048C" w14:textId="77777777">
        <w:trPr>
          <w:trHeight w:val="337"/>
        </w:trPr>
        <w:tc>
          <w:tcPr>
            <w:tcW w:w="5370" w:type="dxa"/>
            <w:tcBorders>
              <w:top w:val="nil"/>
              <w:left w:val="nil"/>
              <w:right w:val="nil"/>
            </w:tcBorders>
            <w:shd w:val="clear" w:color="auto" w:fill="FFFFFF"/>
            <w:tcMar>
              <w:top w:w="40" w:type="dxa"/>
              <w:left w:w="40" w:type="dxa"/>
              <w:bottom w:w="40" w:type="dxa"/>
              <w:right w:w="40" w:type="dxa"/>
            </w:tcMar>
            <w:vAlign w:val="bottom"/>
          </w:tcPr>
          <w:p w14:paraId="000012B7" w14:textId="77777777" w:rsidR="00CB4215" w:rsidRDefault="000530B4">
            <w:pPr>
              <w:widowControl w:val="0"/>
              <w:spacing w:line="240" w:lineRule="auto"/>
              <w:rPr>
                <w:rFonts w:ascii="Times New Roman" w:eastAsia="Times New Roman" w:hAnsi="Times New Roman" w:cs="Times New Roman"/>
                <w:b/>
                <w:i/>
                <w:color w:val="000000"/>
                <w:vertAlign w:val="superscript"/>
              </w:rPr>
            </w:pPr>
            <w:r>
              <w:rPr>
                <w:rFonts w:ascii="Times New Roman" w:eastAsia="Times New Roman" w:hAnsi="Times New Roman" w:cs="Times New Roman"/>
                <w:b/>
                <w:i/>
                <w:color w:val="000000"/>
              </w:rPr>
              <w:t xml:space="preserve">Ideal portion size (kcal) (n = </w:t>
            </w:r>
            <w:proofErr w:type="gramStart"/>
            <w:r>
              <w:rPr>
                <w:rFonts w:ascii="Times New Roman" w:eastAsia="Times New Roman" w:hAnsi="Times New Roman" w:cs="Times New Roman"/>
                <w:b/>
                <w:i/>
                <w:color w:val="000000"/>
              </w:rPr>
              <w:t>29)</w:t>
            </w:r>
            <w:r>
              <w:rPr>
                <w:rFonts w:ascii="Times New Roman" w:eastAsia="Times New Roman" w:hAnsi="Times New Roman" w:cs="Times New Roman"/>
                <w:b/>
                <w:i/>
                <w:color w:val="000000"/>
                <w:vertAlign w:val="superscript"/>
              </w:rPr>
              <w:t>c</w:t>
            </w:r>
            <w:proofErr w:type="gramEnd"/>
          </w:p>
        </w:tc>
        <w:tc>
          <w:tcPr>
            <w:tcW w:w="3675" w:type="dxa"/>
            <w:tcBorders>
              <w:top w:val="nil"/>
              <w:left w:val="nil"/>
              <w:right w:val="nil"/>
            </w:tcBorders>
            <w:tcMar>
              <w:top w:w="40" w:type="dxa"/>
              <w:left w:w="40" w:type="dxa"/>
              <w:bottom w:w="40" w:type="dxa"/>
              <w:right w:w="40" w:type="dxa"/>
            </w:tcMar>
            <w:vAlign w:val="bottom"/>
          </w:tcPr>
          <w:p w14:paraId="000012B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270.8 ± 254.5 (174.0, 367.6)</w:t>
            </w:r>
          </w:p>
        </w:tc>
      </w:tr>
    </w:tbl>
    <w:p w14:paraId="000012B9" w14:textId="77777777" w:rsidR="00CB4215" w:rsidRPr="000E4FE6"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vertAlign w:val="superscript"/>
        </w:rPr>
        <w:t>a</w:t>
      </w:r>
      <w:sdt>
        <w:sdtPr>
          <w:rPr>
            <w:rFonts w:ascii="Times New Roman" w:hAnsi="Times New Roman" w:cs="Times New Roman"/>
            <w:sz w:val="20"/>
            <w:szCs w:val="20"/>
          </w:rPr>
          <w:tag w:val="goog_rdk_208"/>
          <w:id w:val="-1220666480"/>
        </w:sdtPr>
        <w:sdtEndPr/>
        <w:sdtContent>
          <w:r w:rsidRPr="000E4FE6">
            <w:rPr>
              <w:rFonts w:ascii="Times New Roman" w:eastAsia="Gungsuh" w:hAnsi="Times New Roman" w:cs="Times New Roman"/>
              <w:color w:val="000000"/>
              <w:sz w:val="20"/>
              <w:szCs w:val="20"/>
            </w:rPr>
            <w:t xml:space="preserve"> n = 28 due to participants not wearing the accelerometers for a minimum for 20 hours for ≥10 days.</w:t>
          </w:r>
        </w:sdtContent>
      </w:sdt>
    </w:p>
    <w:p w14:paraId="000012BA" w14:textId="77777777" w:rsidR="00CB4215" w:rsidRPr="000E4FE6" w:rsidRDefault="000530B4">
      <w:pPr>
        <w:spacing w:line="240" w:lineRule="auto"/>
        <w:rPr>
          <w:rFonts w:ascii="Times New Roman" w:eastAsia="Times New Roman" w:hAnsi="Times New Roman" w:cs="Times New Roman"/>
          <w:color w:val="000000"/>
          <w:sz w:val="20"/>
          <w:szCs w:val="20"/>
        </w:rPr>
      </w:pPr>
      <w:r w:rsidRPr="000E4FE6">
        <w:rPr>
          <w:rFonts w:ascii="Times New Roman" w:eastAsia="Times New Roman" w:hAnsi="Times New Roman" w:cs="Times New Roman"/>
          <w:color w:val="000000"/>
          <w:sz w:val="20"/>
          <w:szCs w:val="20"/>
          <w:vertAlign w:val="superscript"/>
        </w:rPr>
        <w:t>b</w:t>
      </w:r>
      <w:r w:rsidRPr="000E4FE6">
        <w:rPr>
          <w:rFonts w:ascii="Times New Roman" w:eastAsia="Times New Roman" w:hAnsi="Times New Roman" w:cs="Times New Roman"/>
          <w:color w:val="000000"/>
          <w:sz w:val="20"/>
          <w:szCs w:val="20"/>
        </w:rPr>
        <w:t xml:space="preserve"> n = 28 due to participants not completing the food diary at least 2 days.</w:t>
      </w:r>
    </w:p>
    <w:p w14:paraId="000012BB" w14:textId="77777777" w:rsidR="00CB4215" w:rsidRPr="000E4FE6" w:rsidRDefault="000530B4">
      <w:pPr>
        <w:spacing w:line="240" w:lineRule="auto"/>
        <w:rPr>
          <w:rFonts w:ascii="Times New Roman" w:eastAsia="Times New Roman" w:hAnsi="Times New Roman" w:cs="Times New Roman"/>
          <w:color w:val="000000"/>
          <w:sz w:val="20"/>
          <w:szCs w:val="20"/>
        </w:rPr>
      </w:pPr>
      <w:r w:rsidRPr="000E4FE6">
        <w:rPr>
          <w:rFonts w:ascii="Times New Roman" w:eastAsia="Times New Roman" w:hAnsi="Times New Roman" w:cs="Times New Roman"/>
          <w:color w:val="000000"/>
          <w:sz w:val="20"/>
          <w:szCs w:val="20"/>
          <w:vertAlign w:val="superscript"/>
        </w:rPr>
        <w:t>c</w:t>
      </w:r>
      <w:r w:rsidRPr="000E4FE6">
        <w:rPr>
          <w:rFonts w:ascii="Times New Roman" w:eastAsia="Times New Roman" w:hAnsi="Times New Roman" w:cs="Times New Roman"/>
          <w:color w:val="000000"/>
          <w:sz w:val="20"/>
          <w:szCs w:val="20"/>
        </w:rPr>
        <w:t xml:space="preserve"> n = 29 due to participants not completing a daily questionnaire at least 10 days.</w:t>
      </w:r>
    </w:p>
    <w:p w14:paraId="000012BC" w14:textId="77777777" w:rsidR="00CB4215" w:rsidRDefault="00CB4215">
      <w:pPr>
        <w:spacing w:line="240" w:lineRule="auto"/>
        <w:rPr>
          <w:rFonts w:ascii="Times New Roman" w:eastAsia="Times New Roman" w:hAnsi="Times New Roman" w:cs="Times New Roman"/>
          <w:color w:val="000000"/>
        </w:rPr>
      </w:pPr>
    </w:p>
    <w:p w14:paraId="000012BD" w14:textId="77777777" w:rsidR="00CB4215" w:rsidRDefault="00CB4215">
      <w:pPr>
        <w:spacing w:line="240" w:lineRule="auto"/>
        <w:rPr>
          <w:rFonts w:ascii="Times New Roman" w:eastAsia="Times New Roman" w:hAnsi="Times New Roman" w:cs="Times New Roman"/>
          <w:color w:val="000000"/>
        </w:rPr>
      </w:pPr>
    </w:p>
    <w:p w14:paraId="000012BE" w14:textId="77777777" w:rsidR="00CB4215" w:rsidRDefault="00CB4215">
      <w:pPr>
        <w:spacing w:line="240" w:lineRule="auto"/>
        <w:rPr>
          <w:rFonts w:ascii="Times New Roman" w:eastAsia="Times New Roman" w:hAnsi="Times New Roman" w:cs="Times New Roman"/>
          <w:color w:val="000000"/>
        </w:rPr>
      </w:pPr>
    </w:p>
    <w:p w14:paraId="000012BF" w14:textId="77777777" w:rsidR="00CB4215" w:rsidRPr="0064076D" w:rsidRDefault="000530B4">
      <w:pPr>
        <w:spacing w:line="240" w:lineRule="auto"/>
        <w:rPr>
          <w:rFonts w:ascii="Times New Roman" w:eastAsia="Times New Roman" w:hAnsi="Times New Roman" w:cs="Times New Roman"/>
          <w:color w:val="000000"/>
          <w:sz w:val="20"/>
          <w:szCs w:val="20"/>
        </w:rPr>
      </w:pPr>
      <w:r w:rsidRPr="0064076D">
        <w:rPr>
          <w:rFonts w:ascii="Times New Roman" w:eastAsia="Times New Roman" w:hAnsi="Times New Roman" w:cs="Times New Roman"/>
          <w:i/>
          <w:iCs/>
          <w:color w:val="000000"/>
          <w:sz w:val="20"/>
          <w:szCs w:val="20"/>
        </w:rPr>
        <w:t>Table S2.</w:t>
      </w:r>
      <w:r w:rsidRPr="0064076D">
        <w:rPr>
          <w:rFonts w:ascii="Times New Roman" w:eastAsia="Times New Roman" w:hAnsi="Times New Roman" w:cs="Times New Roman"/>
          <w:color w:val="000000"/>
          <w:sz w:val="20"/>
          <w:szCs w:val="20"/>
        </w:rPr>
        <w:t xml:space="preserve"> Comparison of eating behaviour traits in low vs high chaotic meal eater </w:t>
      </w:r>
    </w:p>
    <w:tbl>
      <w:tblPr>
        <w:tblStyle w:val="afe"/>
        <w:tblW w:w="898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1320"/>
        <w:gridCol w:w="1200"/>
        <w:gridCol w:w="1275"/>
        <w:gridCol w:w="1290"/>
        <w:gridCol w:w="1140"/>
      </w:tblGrid>
      <w:tr w:rsidR="00CB4215" w14:paraId="4F739EDE" w14:textId="77777777" w:rsidTr="005E542D">
        <w:trPr>
          <w:trHeight w:val="448"/>
        </w:trPr>
        <w:tc>
          <w:tcPr>
            <w:tcW w:w="408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12C0" w14:textId="77777777" w:rsidR="00CB4215" w:rsidRDefault="00CB4215">
            <w:pPr>
              <w:widowControl w:val="0"/>
              <w:spacing w:line="240" w:lineRule="auto"/>
              <w:rPr>
                <w:rFonts w:ascii="Times New Roman" w:eastAsia="Times New Roman" w:hAnsi="Times New Roman" w:cs="Times New Roman"/>
                <w:color w:val="000000"/>
              </w:rPr>
            </w:pPr>
          </w:p>
        </w:tc>
        <w:tc>
          <w:tcPr>
            <w:tcW w:w="2475"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12C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chaotic meal eater </w:t>
            </w:r>
          </w:p>
          <w:p w14:paraId="000012C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 = 13) </w:t>
            </w:r>
          </w:p>
        </w:tc>
        <w:tc>
          <w:tcPr>
            <w:tcW w:w="243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000012C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chaotic meal eater</w:t>
            </w:r>
          </w:p>
          <w:p w14:paraId="000012C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 = 17)</w:t>
            </w:r>
          </w:p>
        </w:tc>
      </w:tr>
      <w:tr w:rsidR="00CB4215" w14:paraId="21A284A4" w14:textId="77777777" w:rsidTr="005E542D">
        <w:trPr>
          <w:trHeight w:val="25"/>
        </w:trPr>
        <w:tc>
          <w:tcPr>
            <w:tcW w:w="2760" w:type="dxa"/>
            <w:tcBorders>
              <w:top w:val="single" w:sz="4" w:space="0" w:color="000000"/>
              <w:left w:val="nil"/>
              <w:bottom w:val="single" w:sz="4" w:space="0" w:color="auto"/>
              <w:right w:val="nil"/>
            </w:tcBorders>
            <w:tcMar>
              <w:top w:w="100" w:type="dxa"/>
              <w:left w:w="100" w:type="dxa"/>
              <w:bottom w:w="100" w:type="dxa"/>
              <w:right w:w="100" w:type="dxa"/>
            </w:tcMar>
          </w:tcPr>
          <w:p w14:paraId="000012C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Dependent variable</w:t>
            </w:r>
          </w:p>
        </w:tc>
        <w:tc>
          <w:tcPr>
            <w:tcW w:w="1320" w:type="dxa"/>
            <w:tcBorders>
              <w:top w:val="single" w:sz="4" w:space="0" w:color="000000"/>
              <w:left w:val="nil"/>
              <w:bottom w:val="single" w:sz="4" w:space="0" w:color="auto"/>
              <w:right w:val="nil"/>
            </w:tcBorders>
            <w:tcMar>
              <w:top w:w="100" w:type="dxa"/>
              <w:left w:w="100" w:type="dxa"/>
              <w:bottom w:w="100" w:type="dxa"/>
              <w:right w:w="100" w:type="dxa"/>
            </w:tcMar>
          </w:tcPr>
          <w:p w14:paraId="000012C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i/>
                <w:color w:val="000000"/>
                <w:highlight w:val="white"/>
              </w:rPr>
              <w:t>η2</w:t>
            </w:r>
          </w:p>
        </w:tc>
        <w:tc>
          <w:tcPr>
            <w:tcW w:w="1200" w:type="dxa"/>
            <w:tcBorders>
              <w:top w:val="single" w:sz="4" w:space="0" w:color="000000"/>
              <w:left w:val="nil"/>
              <w:bottom w:val="single" w:sz="4" w:space="0" w:color="auto"/>
              <w:right w:val="nil"/>
            </w:tcBorders>
            <w:tcMar>
              <w:top w:w="100" w:type="dxa"/>
              <w:left w:w="100" w:type="dxa"/>
              <w:bottom w:w="100" w:type="dxa"/>
              <w:right w:w="100" w:type="dxa"/>
            </w:tcMar>
          </w:tcPr>
          <w:p w14:paraId="000012C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275" w:type="dxa"/>
            <w:tcBorders>
              <w:top w:val="single" w:sz="4" w:space="0" w:color="000000"/>
              <w:left w:val="nil"/>
              <w:bottom w:val="single" w:sz="4" w:space="0" w:color="auto"/>
              <w:right w:val="nil"/>
            </w:tcBorders>
            <w:tcMar>
              <w:top w:w="100" w:type="dxa"/>
              <w:left w:w="100" w:type="dxa"/>
              <w:bottom w:w="100" w:type="dxa"/>
              <w:right w:w="100" w:type="dxa"/>
            </w:tcMar>
          </w:tcPr>
          <w:p w14:paraId="000012C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c>
          <w:tcPr>
            <w:tcW w:w="1290" w:type="dxa"/>
            <w:tcBorders>
              <w:top w:val="single" w:sz="4" w:space="0" w:color="000000"/>
              <w:left w:val="nil"/>
              <w:bottom w:val="single" w:sz="4" w:space="0" w:color="auto"/>
              <w:right w:val="nil"/>
            </w:tcBorders>
            <w:tcMar>
              <w:top w:w="100" w:type="dxa"/>
              <w:left w:w="100" w:type="dxa"/>
              <w:bottom w:w="100" w:type="dxa"/>
              <w:right w:w="100" w:type="dxa"/>
            </w:tcMar>
          </w:tcPr>
          <w:p w14:paraId="000012C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140" w:type="dxa"/>
            <w:tcBorders>
              <w:top w:val="single" w:sz="4" w:space="0" w:color="000000"/>
              <w:left w:val="nil"/>
              <w:bottom w:val="single" w:sz="4" w:space="0" w:color="auto"/>
              <w:right w:val="nil"/>
            </w:tcBorders>
            <w:tcMar>
              <w:top w:w="100" w:type="dxa"/>
              <w:left w:w="100" w:type="dxa"/>
              <w:bottom w:w="100" w:type="dxa"/>
              <w:right w:w="100" w:type="dxa"/>
            </w:tcMar>
          </w:tcPr>
          <w:p w14:paraId="000012C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r>
      <w:tr w:rsidR="00CB4215" w14:paraId="72C740D2" w14:textId="77777777" w:rsidTr="005E542D">
        <w:trPr>
          <w:trHeight w:val="24"/>
        </w:trPr>
        <w:tc>
          <w:tcPr>
            <w:tcW w:w="2760" w:type="dxa"/>
            <w:tcBorders>
              <w:top w:val="single" w:sz="4" w:space="0" w:color="auto"/>
              <w:left w:val="nil"/>
              <w:bottom w:val="nil"/>
              <w:right w:val="nil"/>
            </w:tcBorders>
            <w:tcMar>
              <w:top w:w="100" w:type="dxa"/>
              <w:left w:w="100" w:type="dxa"/>
              <w:bottom w:w="100" w:type="dxa"/>
              <w:right w:w="100" w:type="dxa"/>
            </w:tcMar>
          </w:tcPr>
          <w:p w14:paraId="000012C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TFEQ-CR</w:t>
            </w:r>
          </w:p>
        </w:tc>
        <w:tc>
          <w:tcPr>
            <w:tcW w:w="1320" w:type="dxa"/>
            <w:tcBorders>
              <w:top w:val="single" w:sz="4" w:space="0" w:color="auto"/>
              <w:left w:val="nil"/>
              <w:bottom w:val="nil"/>
              <w:right w:val="nil"/>
            </w:tcBorders>
            <w:tcMar>
              <w:top w:w="100" w:type="dxa"/>
              <w:left w:w="100" w:type="dxa"/>
              <w:bottom w:w="100" w:type="dxa"/>
              <w:right w:w="100" w:type="dxa"/>
            </w:tcMar>
          </w:tcPr>
          <w:p w14:paraId="000012C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1200" w:type="dxa"/>
            <w:tcBorders>
              <w:top w:val="single" w:sz="4" w:space="0" w:color="auto"/>
              <w:left w:val="nil"/>
              <w:bottom w:val="nil"/>
              <w:right w:val="nil"/>
            </w:tcBorders>
            <w:tcMar>
              <w:top w:w="100" w:type="dxa"/>
              <w:left w:w="100" w:type="dxa"/>
              <w:bottom w:w="100" w:type="dxa"/>
              <w:right w:w="100" w:type="dxa"/>
            </w:tcMar>
          </w:tcPr>
          <w:p w14:paraId="000012D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275" w:type="dxa"/>
            <w:tcBorders>
              <w:top w:val="single" w:sz="4" w:space="0" w:color="auto"/>
              <w:left w:val="nil"/>
              <w:bottom w:val="nil"/>
              <w:right w:val="nil"/>
            </w:tcBorders>
            <w:tcMar>
              <w:top w:w="100" w:type="dxa"/>
              <w:left w:w="100" w:type="dxa"/>
              <w:bottom w:w="100" w:type="dxa"/>
              <w:right w:w="100" w:type="dxa"/>
            </w:tcMar>
          </w:tcPr>
          <w:p w14:paraId="000012D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1290" w:type="dxa"/>
            <w:tcBorders>
              <w:top w:val="single" w:sz="4" w:space="0" w:color="auto"/>
              <w:left w:val="nil"/>
              <w:bottom w:val="nil"/>
              <w:right w:val="nil"/>
            </w:tcBorders>
            <w:tcMar>
              <w:top w:w="100" w:type="dxa"/>
              <w:left w:w="100" w:type="dxa"/>
              <w:bottom w:w="100" w:type="dxa"/>
              <w:right w:w="100" w:type="dxa"/>
            </w:tcMar>
          </w:tcPr>
          <w:p w14:paraId="000012D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140" w:type="dxa"/>
            <w:tcBorders>
              <w:top w:val="single" w:sz="4" w:space="0" w:color="auto"/>
              <w:left w:val="nil"/>
              <w:bottom w:val="nil"/>
              <w:right w:val="nil"/>
            </w:tcBorders>
            <w:tcMar>
              <w:top w:w="100" w:type="dxa"/>
              <w:left w:w="100" w:type="dxa"/>
              <w:bottom w:w="100" w:type="dxa"/>
              <w:right w:w="100" w:type="dxa"/>
            </w:tcMar>
          </w:tcPr>
          <w:p w14:paraId="000012D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0.4</w:t>
            </w:r>
          </w:p>
        </w:tc>
      </w:tr>
      <w:tr w:rsidR="00CB4215" w14:paraId="610EAFCC" w14:textId="77777777">
        <w:trPr>
          <w:trHeight w:val="24"/>
        </w:trPr>
        <w:tc>
          <w:tcPr>
            <w:tcW w:w="2760" w:type="dxa"/>
            <w:tcBorders>
              <w:top w:val="nil"/>
              <w:left w:val="nil"/>
              <w:bottom w:val="nil"/>
              <w:right w:val="nil"/>
            </w:tcBorders>
            <w:tcMar>
              <w:top w:w="100" w:type="dxa"/>
              <w:left w:w="100" w:type="dxa"/>
              <w:bottom w:w="100" w:type="dxa"/>
              <w:right w:w="100" w:type="dxa"/>
            </w:tcMar>
          </w:tcPr>
          <w:p w14:paraId="000012D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TFEQ-UE</w:t>
            </w:r>
          </w:p>
        </w:tc>
        <w:tc>
          <w:tcPr>
            <w:tcW w:w="1320" w:type="dxa"/>
            <w:tcBorders>
              <w:top w:val="nil"/>
              <w:left w:val="nil"/>
              <w:bottom w:val="nil"/>
              <w:right w:val="nil"/>
            </w:tcBorders>
            <w:tcMar>
              <w:top w:w="100" w:type="dxa"/>
              <w:left w:w="100" w:type="dxa"/>
              <w:bottom w:w="100" w:type="dxa"/>
              <w:right w:w="100" w:type="dxa"/>
            </w:tcMar>
          </w:tcPr>
          <w:p w14:paraId="000012D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0.06</w:t>
            </w:r>
          </w:p>
        </w:tc>
        <w:tc>
          <w:tcPr>
            <w:tcW w:w="1200" w:type="dxa"/>
            <w:tcBorders>
              <w:top w:val="nil"/>
              <w:left w:val="nil"/>
              <w:bottom w:val="nil"/>
              <w:right w:val="nil"/>
            </w:tcBorders>
            <w:tcMar>
              <w:top w:w="100" w:type="dxa"/>
              <w:left w:w="100" w:type="dxa"/>
              <w:bottom w:w="100" w:type="dxa"/>
              <w:right w:w="100" w:type="dxa"/>
            </w:tcMar>
          </w:tcPr>
          <w:p w14:paraId="000012D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275" w:type="dxa"/>
            <w:tcBorders>
              <w:top w:val="nil"/>
              <w:left w:val="nil"/>
              <w:bottom w:val="nil"/>
              <w:right w:val="nil"/>
            </w:tcBorders>
            <w:tcMar>
              <w:top w:w="100" w:type="dxa"/>
              <w:left w:w="100" w:type="dxa"/>
              <w:bottom w:w="100" w:type="dxa"/>
              <w:right w:w="100" w:type="dxa"/>
            </w:tcMar>
          </w:tcPr>
          <w:p w14:paraId="000012D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w:t>
            </w:r>
          </w:p>
        </w:tc>
        <w:tc>
          <w:tcPr>
            <w:tcW w:w="1290" w:type="dxa"/>
            <w:tcBorders>
              <w:top w:val="nil"/>
              <w:left w:val="nil"/>
              <w:bottom w:val="nil"/>
              <w:right w:val="nil"/>
            </w:tcBorders>
            <w:tcMar>
              <w:top w:w="100" w:type="dxa"/>
              <w:left w:w="100" w:type="dxa"/>
              <w:bottom w:w="100" w:type="dxa"/>
              <w:right w:w="100" w:type="dxa"/>
            </w:tcMar>
          </w:tcPr>
          <w:p w14:paraId="000012D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140" w:type="dxa"/>
            <w:tcBorders>
              <w:top w:val="nil"/>
              <w:left w:val="nil"/>
              <w:bottom w:val="nil"/>
              <w:right w:val="nil"/>
            </w:tcBorders>
            <w:tcMar>
              <w:top w:w="100" w:type="dxa"/>
              <w:left w:w="100" w:type="dxa"/>
              <w:bottom w:w="100" w:type="dxa"/>
              <w:right w:w="100" w:type="dxa"/>
            </w:tcMar>
          </w:tcPr>
          <w:p w14:paraId="000012D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w:t>
            </w:r>
          </w:p>
        </w:tc>
      </w:tr>
      <w:tr w:rsidR="00CB4215" w14:paraId="0B7B1A87" w14:textId="77777777">
        <w:trPr>
          <w:trHeight w:val="24"/>
        </w:trPr>
        <w:tc>
          <w:tcPr>
            <w:tcW w:w="2760" w:type="dxa"/>
            <w:tcBorders>
              <w:top w:val="nil"/>
              <w:left w:val="nil"/>
              <w:bottom w:val="nil"/>
              <w:right w:val="nil"/>
            </w:tcBorders>
            <w:tcMar>
              <w:top w:w="100" w:type="dxa"/>
              <w:left w:w="100" w:type="dxa"/>
              <w:bottom w:w="100" w:type="dxa"/>
              <w:right w:w="100" w:type="dxa"/>
            </w:tcMar>
          </w:tcPr>
          <w:p w14:paraId="000012D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TFEQ-EE</w:t>
            </w:r>
          </w:p>
        </w:tc>
        <w:tc>
          <w:tcPr>
            <w:tcW w:w="1320" w:type="dxa"/>
            <w:tcBorders>
              <w:top w:val="nil"/>
              <w:left w:val="nil"/>
              <w:bottom w:val="nil"/>
              <w:right w:val="nil"/>
            </w:tcBorders>
            <w:tcMar>
              <w:top w:w="100" w:type="dxa"/>
              <w:left w:w="100" w:type="dxa"/>
              <w:bottom w:w="100" w:type="dxa"/>
              <w:right w:w="100" w:type="dxa"/>
            </w:tcMar>
          </w:tcPr>
          <w:p w14:paraId="000012D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0.004</w:t>
            </w:r>
          </w:p>
        </w:tc>
        <w:tc>
          <w:tcPr>
            <w:tcW w:w="1200" w:type="dxa"/>
            <w:tcBorders>
              <w:top w:val="nil"/>
              <w:left w:val="nil"/>
              <w:bottom w:val="nil"/>
              <w:right w:val="nil"/>
            </w:tcBorders>
            <w:tcMar>
              <w:top w:w="100" w:type="dxa"/>
              <w:left w:w="100" w:type="dxa"/>
              <w:bottom w:w="100" w:type="dxa"/>
              <w:right w:w="100" w:type="dxa"/>
            </w:tcMar>
          </w:tcPr>
          <w:p w14:paraId="000012D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275" w:type="dxa"/>
            <w:tcBorders>
              <w:top w:val="nil"/>
              <w:left w:val="nil"/>
              <w:bottom w:val="nil"/>
              <w:right w:val="nil"/>
            </w:tcBorders>
            <w:tcMar>
              <w:top w:w="100" w:type="dxa"/>
              <w:left w:w="100" w:type="dxa"/>
              <w:bottom w:w="100" w:type="dxa"/>
              <w:right w:w="100" w:type="dxa"/>
            </w:tcMar>
          </w:tcPr>
          <w:p w14:paraId="000012D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w:t>
            </w:r>
          </w:p>
        </w:tc>
        <w:tc>
          <w:tcPr>
            <w:tcW w:w="1290" w:type="dxa"/>
            <w:tcBorders>
              <w:top w:val="nil"/>
              <w:left w:val="nil"/>
              <w:bottom w:val="nil"/>
              <w:right w:val="nil"/>
            </w:tcBorders>
            <w:tcMar>
              <w:top w:w="100" w:type="dxa"/>
              <w:left w:w="100" w:type="dxa"/>
              <w:bottom w:w="100" w:type="dxa"/>
              <w:right w:w="100" w:type="dxa"/>
            </w:tcMar>
          </w:tcPr>
          <w:p w14:paraId="000012D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140" w:type="dxa"/>
            <w:tcBorders>
              <w:top w:val="nil"/>
              <w:left w:val="nil"/>
              <w:bottom w:val="nil"/>
              <w:right w:val="nil"/>
            </w:tcBorders>
            <w:tcMar>
              <w:top w:w="100" w:type="dxa"/>
              <w:left w:w="100" w:type="dxa"/>
              <w:bottom w:w="100" w:type="dxa"/>
              <w:right w:w="100" w:type="dxa"/>
            </w:tcMar>
          </w:tcPr>
          <w:p w14:paraId="000012D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w:t>
            </w:r>
          </w:p>
        </w:tc>
      </w:tr>
      <w:tr w:rsidR="00CB4215" w14:paraId="0CB5525C" w14:textId="77777777">
        <w:trPr>
          <w:trHeight w:val="24"/>
        </w:trPr>
        <w:tc>
          <w:tcPr>
            <w:tcW w:w="2760" w:type="dxa"/>
            <w:tcBorders>
              <w:top w:val="nil"/>
              <w:left w:val="nil"/>
              <w:bottom w:val="nil"/>
              <w:right w:val="nil"/>
            </w:tcBorders>
            <w:tcMar>
              <w:top w:w="100" w:type="dxa"/>
              <w:left w:w="100" w:type="dxa"/>
              <w:bottom w:w="100" w:type="dxa"/>
              <w:right w:w="100" w:type="dxa"/>
            </w:tcMar>
          </w:tcPr>
          <w:p w14:paraId="000012E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AEBQ-FR</w:t>
            </w:r>
          </w:p>
        </w:tc>
        <w:tc>
          <w:tcPr>
            <w:tcW w:w="1320" w:type="dxa"/>
            <w:tcBorders>
              <w:top w:val="nil"/>
              <w:left w:val="nil"/>
              <w:bottom w:val="nil"/>
              <w:right w:val="nil"/>
            </w:tcBorders>
            <w:tcMar>
              <w:top w:w="100" w:type="dxa"/>
              <w:left w:w="100" w:type="dxa"/>
              <w:bottom w:w="100" w:type="dxa"/>
              <w:right w:w="100" w:type="dxa"/>
            </w:tcMar>
          </w:tcPr>
          <w:p w14:paraId="000012E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200" w:type="dxa"/>
            <w:tcBorders>
              <w:top w:val="nil"/>
              <w:left w:val="nil"/>
              <w:bottom w:val="nil"/>
              <w:right w:val="nil"/>
            </w:tcBorders>
            <w:tcMar>
              <w:top w:w="100" w:type="dxa"/>
              <w:left w:w="100" w:type="dxa"/>
              <w:bottom w:w="100" w:type="dxa"/>
              <w:right w:w="100" w:type="dxa"/>
            </w:tcMar>
          </w:tcPr>
          <w:p w14:paraId="000012E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275" w:type="dxa"/>
            <w:tcBorders>
              <w:top w:val="nil"/>
              <w:left w:val="nil"/>
              <w:bottom w:val="nil"/>
              <w:right w:val="nil"/>
            </w:tcBorders>
            <w:tcMar>
              <w:top w:w="100" w:type="dxa"/>
              <w:left w:w="100" w:type="dxa"/>
              <w:bottom w:w="100" w:type="dxa"/>
              <w:right w:w="100" w:type="dxa"/>
            </w:tcMar>
          </w:tcPr>
          <w:p w14:paraId="000012E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w:t>
            </w:r>
          </w:p>
        </w:tc>
        <w:tc>
          <w:tcPr>
            <w:tcW w:w="1290" w:type="dxa"/>
            <w:tcBorders>
              <w:top w:val="nil"/>
              <w:left w:val="nil"/>
              <w:bottom w:val="nil"/>
              <w:right w:val="nil"/>
            </w:tcBorders>
            <w:tcMar>
              <w:top w:w="100" w:type="dxa"/>
              <w:left w:w="100" w:type="dxa"/>
              <w:bottom w:w="100" w:type="dxa"/>
              <w:right w:w="100" w:type="dxa"/>
            </w:tcMar>
          </w:tcPr>
          <w:p w14:paraId="000012E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1140" w:type="dxa"/>
            <w:tcBorders>
              <w:top w:val="nil"/>
              <w:left w:val="nil"/>
              <w:bottom w:val="nil"/>
              <w:right w:val="nil"/>
            </w:tcBorders>
            <w:tcMar>
              <w:top w:w="100" w:type="dxa"/>
              <w:left w:w="100" w:type="dxa"/>
              <w:bottom w:w="100" w:type="dxa"/>
              <w:right w:w="100" w:type="dxa"/>
            </w:tcMar>
          </w:tcPr>
          <w:p w14:paraId="000012E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0.9</w:t>
            </w:r>
          </w:p>
        </w:tc>
      </w:tr>
      <w:tr w:rsidR="00CB4215" w14:paraId="2325586F" w14:textId="77777777">
        <w:trPr>
          <w:trHeight w:val="24"/>
        </w:trPr>
        <w:tc>
          <w:tcPr>
            <w:tcW w:w="2760" w:type="dxa"/>
            <w:tcBorders>
              <w:top w:val="nil"/>
              <w:left w:val="nil"/>
              <w:bottom w:val="nil"/>
              <w:right w:val="nil"/>
            </w:tcBorders>
            <w:tcMar>
              <w:top w:w="100" w:type="dxa"/>
              <w:left w:w="100" w:type="dxa"/>
              <w:bottom w:w="100" w:type="dxa"/>
              <w:right w:w="100" w:type="dxa"/>
            </w:tcMar>
          </w:tcPr>
          <w:p w14:paraId="000012E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AEBQ-EOE</w:t>
            </w:r>
          </w:p>
        </w:tc>
        <w:tc>
          <w:tcPr>
            <w:tcW w:w="1320" w:type="dxa"/>
            <w:tcBorders>
              <w:top w:val="nil"/>
              <w:left w:val="nil"/>
              <w:bottom w:val="nil"/>
              <w:right w:val="nil"/>
            </w:tcBorders>
            <w:tcMar>
              <w:top w:w="100" w:type="dxa"/>
              <w:left w:w="100" w:type="dxa"/>
              <w:bottom w:w="100" w:type="dxa"/>
              <w:right w:w="100" w:type="dxa"/>
            </w:tcMar>
          </w:tcPr>
          <w:p w14:paraId="000012E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=0.18</w:t>
            </w:r>
            <w:r>
              <w:rPr>
                <w:rFonts w:ascii="Times New Roman" w:eastAsia="Times New Roman" w:hAnsi="Times New Roman" w:cs="Times New Roman"/>
                <w:color w:val="000000"/>
                <w:vertAlign w:val="superscript"/>
              </w:rPr>
              <w:t>a</w:t>
            </w:r>
          </w:p>
        </w:tc>
        <w:tc>
          <w:tcPr>
            <w:tcW w:w="1200" w:type="dxa"/>
            <w:tcBorders>
              <w:top w:val="nil"/>
              <w:left w:val="nil"/>
              <w:bottom w:val="nil"/>
              <w:right w:val="nil"/>
            </w:tcBorders>
            <w:tcMar>
              <w:top w:w="100" w:type="dxa"/>
              <w:left w:w="100" w:type="dxa"/>
              <w:bottom w:w="100" w:type="dxa"/>
              <w:right w:w="100" w:type="dxa"/>
            </w:tcMar>
          </w:tcPr>
          <w:p w14:paraId="000012E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275" w:type="dxa"/>
            <w:tcBorders>
              <w:top w:val="nil"/>
              <w:left w:val="nil"/>
              <w:bottom w:val="nil"/>
              <w:right w:val="nil"/>
            </w:tcBorders>
            <w:tcMar>
              <w:top w:w="100" w:type="dxa"/>
              <w:left w:w="100" w:type="dxa"/>
              <w:bottom w:w="100" w:type="dxa"/>
              <w:right w:w="100" w:type="dxa"/>
            </w:tcMar>
          </w:tcPr>
          <w:p w14:paraId="000012E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w:t>
            </w:r>
          </w:p>
        </w:tc>
        <w:tc>
          <w:tcPr>
            <w:tcW w:w="1290" w:type="dxa"/>
            <w:tcBorders>
              <w:top w:val="nil"/>
              <w:left w:val="nil"/>
              <w:bottom w:val="nil"/>
              <w:right w:val="nil"/>
            </w:tcBorders>
            <w:tcMar>
              <w:top w:w="100" w:type="dxa"/>
              <w:left w:w="100" w:type="dxa"/>
              <w:bottom w:w="100" w:type="dxa"/>
              <w:right w:w="100" w:type="dxa"/>
            </w:tcMar>
          </w:tcPr>
          <w:p w14:paraId="000012E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140" w:type="dxa"/>
            <w:tcBorders>
              <w:top w:val="nil"/>
              <w:left w:val="nil"/>
              <w:bottom w:val="nil"/>
              <w:right w:val="nil"/>
            </w:tcBorders>
            <w:tcMar>
              <w:top w:w="100" w:type="dxa"/>
              <w:left w:w="100" w:type="dxa"/>
              <w:bottom w:w="100" w:type="dxa"/>
              <w:right w:w="100" w:type="dxa"/>
            </w:tcMar>
          </w:tcPr>
          <w:p w14:paraId="000012E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r w:rsidR="00CB4215" w14:paraId="6ABE58F6" w14:textId="77777777">
        <w:trPr>
          <w:trHeight w:val="24"/>
        </w:trPr>
        <w:tc>
          <w:tcPr>
            <w:tcW w:w="2760" w:type="dxa"/>
            <w:tcBorders>
              <w:top w:val="nil"/>
              <w:left w:val="nil"/>
              <w:bottom w:val="nil"/>
              <w:right w:val="nil"/>
            </w:tcBorders>
            <w:tcMar>
              <w:top w:w="100" w:type="dxa"/>
              <w:left w:w="100" w:type="dxa"/>
              <w:bottom w:w="100" w:type="dxa"/>
              <w:right w:w="100" w:type="dxa"/>
            </w:tcMar>
          </w:tcPr>
          <w:p w14:paraId="000012E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AEBQ-EUE</w:t>
            </w:r>
          </w:p>
        </w:tc>
        <w:tc>
          <w:tcPr>
            <w:tcW w:w="1320" w:type="dxa"/>
            <w:tcBorders>
              <w:top w:val="nil"/>
              <w:left w:val="nil"/>
              <w:bottom w:val="nil"/>
              <w:right w:val="nil"/>
            </w:tcBorders>
            <w:tcMar>
              <w:top w:w="100" w:type="dxa"/>
              <w:left w:w="100" w:type="dxa"/>
              <w:bottom w:w="100" w:type="dxa"/>
              <w:right w:w="100" w:type="dxa"/>
            </w:tcMar>
          </w:tcPr>
          <w:p w14:paraId="000012E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200" w:type="dxa"/>
            <w:tcBorders>
              <w:top w:val="nil"/>
              <w:left w:val="nil"/>
              <w:bottom w:val="nil"/>
              <w:right w:val="nil"/>
            </w:tcBorders>
            <w:tcMar>
              <w:top w:w="100" w:type="dxa"/>
              <w:left w:w="100" w:type="dxa"/>
              <w:bottom w:w="100" w:type="dxa"/>
              <w:right w:w="100" w:type="dxa"/>
            </w:tcMar>
          </w:tcPr>
          <w:p w14:paraId="000012E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275" w:type="dxa"/>
            <w:tcBorders>
              <w:top w:val="nil"/>
              <w:left w:val="nil"/>
              <w:bottom w:val="nil"/>
              <w:right w:val="nil"/>
            </w:tcBorders>
            <w:tcMar>
              <w:top w:w="100" w:type="dxa"/>
              <w:left w:w="100" w:type="dxa"/>
              <w:bottom w:w="100" w:type="dxa"/>
              <w:right w:w="100" w:type="dxa"/>
            </w:tcMar>
          </w:tcPr>
          <w:p w14:paraId="000012E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w:t>
            </w:r>
          </w:p>
        </w:tc>
        <w:tc>
          <w:tcPr>
            <w:tcW w:w="1290" w:type="dxa"/>
            <w:tcBorders>
              <w:top w:val="nil"/>
              <w:left w:val="nil"/>
              <w:bottom w:val="nil"/>
              <w:right w:val="nil"/>
            </w:tcBorders>
            <w:tcMar>
              <w:top w:w="100" w:type="dxa"/>
              <w:left w:w="100" w:type="dxa"/>
              <w:bottom w:w="100" w:type="dxa"/>
              <w:right w:w="100" w:type="dxa"/>
            </w:tcMar>
          </w:tcPr>
          <w:p w14:paraId="000012F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140" w:type="dxa"/>
            <w:tcBorders>
              <w:top w:val="nil"/>
              <w:left w:val="nil"/>
              <w:bottom w:val="nil"/>
              <w:right w:val="nil"/>
            </w:tcBorders>
            <w:tcMar>
              <w:top w:w="100" w:type="dxa"/>
              <w:left w:w="100" w:type="dxa"/>
              <w:bottom w:w="100" w:type="dxa"/>
              <w:right w:w="100" w:type="dxa"/>
            </w:tcMar>
          </w:tcPr>
          <w:p w14:paraId="000012F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0.9</w:t>
            </w:r>
          </w:p>
        </w:tc>
      </w:tr>
      <w:tr w:rsidR="00CB4215" w14:paraId="2367CFE1" w14:textId="77777777">
        <w:trPr>
          <w:trHeight w:val="24"/>
        </w:trPr>
        <w:tc>
          <w:tcPr>
            <w:tcW w:w="2760" w:type="dxa"/>
            <w:tcBorders>
              <w:top w:val="nil"/>
              <w:left w:val="nil"/>
              <w:bottom w:val="nil"/>
              <w:right w:val="nil"/>
            </w:tcBorders>
            <w:tcMar>
              <w:top w:w="100" w:type="dxa"/>
              <w:left w:w="100" w:type="dxa"/>
              <w:bottom w:w="100" w:type="dxa"/>
              <w:right w:w="100" w:type="dxa"/>
            </w:tcMar>
          </w:tcPr>
          <w:p w14:paraId="000012F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AEBQ-EF</w:t>
            </w:r>
          </w:p>
        </w:tc>
        <w:tc>
          <w:tcPr>
            <w:tcW w:w="1320" w:type="dxa"/>
            <w:tcBorders>
              <w:top w:val="nil"/>
              <w:left w:val="nil"/>
              <w:bottom w:val="nil"/>
              <w:right w:val="nil"/>
            </w:tcBorders>
            <w:tcMar>
              <w:top w:w="100" w:type="dxa"/>
              <w:left w:w="100" w:type="dxa"/>
              <w:bottom w:w="100" w:type="dxa"/>
              <w:right w:w="100" w:type="dxa"/>
            </w:tcMar>
          </w:tcPr>
          <w:p w14:paraId="000012F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=0.15</w:t>
            </w:r>
            <w:r>
              <w:rPr>
                <w:rFonts w:ascii="Times New Roman" w:eastAsia="Times New Roman" w:hAnsi="Times New Roman" w:cs="Times New Roman"/>
                <w:color w:val="000000"/>
                <w:vertAlign w:val="superscript"/>
              </w:rPr>
              <w:t>a</w:t>
            </w:r>
          </w:p>
        </w:tc>
        <w:tc>
          <w:tcPr>
            <w:tcW w:w="1200" w:type="dxa"/>
            <w:tcBorders>
              <w:top w:val="nil"/>
              <w:left w:val="nil"/>
              <w:bottom w:val="nil"/>
              <w:right w:val="nil"/>
            </w:tcBorders>
            <w:tcMar>
              <w:top w:w="100" w:type="dxa"/>
              <w:left w:w="100" w:type="dxa"/>
              <w:bottom w:w="100" w:type="dxa"/>
              <w:right w:w="100" w:type="dxa"/>
            </w:tcMar>
          </w:tcPr>
          <w:p w14:paraId="000012F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275" w:type="dxa"/>
            <w:tcBorders>
              <w:top w:val="nil"/>
              <w:left w:val="nil"/>
              <w:bottom w:val="nil"/>
              <w:right w:val="nil"/>
            </w:tcBorders>
            <w:tcMar>
              <w:top w:w="100" w:type="dxa"/>
              <w:left w:w="100" w:type="dxa"/>
              <w:bottom w:w="100" w:type="dxa"/>
              <w:right w:w="100" w:type="dxa"/>
            </w:tcMar>
          </w:tcPr>
          <w:p w14:paraId="000012F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w:t>
            </w:r>
          </w:p>
        </w:tc>
        <w:tc>
          <w:tcPr>
            <w:tcW w:w="1290" w:type="dxa"/>
            <w:tcBorders>
              <w:top w:val="nil"/>
              <w:left w:val="nil"/>
              <w:bottom w:val="nil"/>
              <w:right w:val="nil"/>
            </w:tcBorders>
            <w:tcMar>
              <w:top w:w="100" w:type="dxa"/>
              <w:left w:w="100" w:type="dxa"/>
              <w:bottom w:w="100" w:type="dxa"/>
              <w:right w:w="100" w:type="dxa"/>
            </w:tcMar>
          </w:tcPr>
          <w:p w14:paraId="000012F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140" w:type="dxa"/>
            <w:tcBorders>
              <w:top w:val="nil"/>
              <w:left w:val="nil"/>
              <w:bottom w:val="nil"/>
              <w:right w:val="nil"/>
            </w:tcBorders>
            <w:tcMar>
              <w:top w:w="100" w:type="dxa"/>
              <w:left w:w="100" w:type="dxa"/>
              <w:bottom w:w="100" w:type="dxa"/>
              <w:right w:w="100" w:type="dxa"/>
            </w:tcMar>
          </w:tcPr>
          <w:p w14:paraId="000012F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w:t>
            </w:r>
          </w:p>
        </w:tc>
      </w:tr>
      <w:tr w:rsidR="00CB4215" w14:paraId="609E9D8A" w14:textId="77777777">
        <w:trPr>
          <w:trHeight w:val="505"/>
        </w:trPr>
        <w:tc>
          <w:tcPr>
            <w:tcW w:w="2760" w:type="dxa"/>
            <w:tcBorders>
              <w:top w:val="nil"/>
              <w:left w:val="nil"/>
              <w:bottom w:val="nil"/>
              <w:right w:val="nil"/>
            </w:tcBorders>
            <w:tcMar>
              <w:top w:w="100" w:type="dxa"/>
              <w:left w:w="100" w:type="dxa"/>
              <w:bottom w:w="100" w:type="dxa"/>
              <w:right w:w="100" w:type="dxa"/>
            </w:tcMar>
          </w:tcPr>
          <w:p w14:paraId="000012F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AEBQ-SR</w:t>
            </w:r>
          </w:p>
        </w:tc>
        <w:tc>
          <w:tcPr>
            <w:tcW w:w="1320" w:type="dxa"/>
            <w:tcBorders>
              <w:top w:val="nil"/>
              <w:left w:val="nil"/>
              <w:bottom w:val="nil"/>
              <w:right w:val="nil"/>
            </w:tcBorders>
            <w:tcMar>
              <w:top w:w="100" w:type="dxa"/>
              <w:left w:w="100" w:type="dxa"/>
              <w:bottom w:w="100" w:type="dxa"/>
              <w:right w:w="100" w:type="dxa"/>
            </w:tcMar>
          </w:tcPr>
          <w:p w14:paraId="000012F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&lt;0.001</w:t>
            </w:r>
          </w:p>
        </w:tc>
        <w:tc>
          <w:tcPr>
            <w:tcW w:w="1200" w:type="dxa"/>
            <w:tcBorders>
              <w:top w:val="nil"/>
              <w:left w:val="nil"/>
              <w:bottom w:val="nil"/>
              <w:right w:val="nil"/>
            </w:tcBorders>
            <w:tcMar>
              <w:top w:w="100" w:type="dxa"/>
              <w:left w:w="100" w:type="dxa"/>
              <w:bottom w:w="100" w:type="dxa"/>
              <w:right w:w="100" w:type="dxa"/>
            </w:tcMar>
          </w:tcPr>
          <w:p w14:paraId="000012F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275" w:type="dxa"/>
            <w:tcBorders>
              <w:top w:val="nil"/>
              <w:left w:val="nil"/>
              <w:bottom w:val="nil"/>
              <w:right w:val="nil"/>
            </w:tcBorders>
            <w:tcMar>
              <w:top w:w="100" w:type="dxa"/>
              <w:left w:w="100" w:type="dxa"/>
              <w:bottom w:w="100" w:type="dxa"/>
              <w:right w:w="100" w:type="dxa"/>
            </w:tcMar>
          </w:tcPr>
          <w:p w14:paraId="000012F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w:t>
            </w:r>
          </w:p>
        </w:tc>
        <w:tc>
          <w:tcPr>
            <w:tcW w:w="1290" w:type="dxa"/>
            <w:tcBorders>
              <w:top w:val="nil"/>
              <w:left w:val="nil"/>
              <w:bottom w:val="nil"/>
              <w:right w:val="nil"/>
            </w:tcBorders>
            <w:tcMar>
              <w:top w:w="100" w:type="dxa"/>
              <w:left w:w="100" w:type="dxa"/>
              <w:bottom w:w="100" w:type="dxa"/>
              <w:right w:w="100" w:type="dxa"/>
            </w:tcMar>
          </w:tcPr>
          <w:p w14:paraId="000012F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140" w:type="dxa"/>
            <w:tcBorders>
              <w:top w:val="nil"/>
              <w:left w:val="nil"/>
              <w:bottom w:val="nil"/>
              <w:right w:val="nil"/>
            </w:tcBorders>
            <w:tcMar>
              <w:top w:w="100" w:type="dxa"/>
              <w:left w:w="100" w:type="dxa"/>
              <w:bottom w:w="100" w:type="dxa"/>
              <w:right w:w="100" w:type="dxa"/>
            </w:tcMar>
          </w:tcPr>
          <w:p w14:paraId="000012F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w:t>
            </w:r>
          </w:p>
        </w:tc>
      </w:tr>
      <w:tr w:rsidR="00CB4215" w14:paraId="400E96D1" w14:textId="77777777">
        <w:trPr>
          <w:trHeight w:val="24"/>
        </w:trPr>
        <w:tc>
          <w:tcPr>
            <w:tcW w:w="2760" w:type="dxa"/>
            <w:tcBorders>
              <w:top w:val="nil"/>
              <w:left w:val="nil"/>
              <w:bottom w:val="nil"/>
              <w:right w:val="nil"/>
            </w:tcBorders>
            <w:tcMar>
              <w:top w:w="100" w:type="dxa"/>
              <w:left w:w="100" w:type="dxa"/>
              <w:bottom w:w="100" w:type="dxa"/>
              <w:right w:w="100" w:type="dxa"/>
            </w:tcMar>
          </w:tcPr>
          <w:p w14:paraId="000012F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AEBQ-SE</w:t>
            </w:r>
          </w:p>
        </w:tc>
        <w:tc>
          <w:tcPr>
            <w:tcW w:w="1320" w:type="dxa"/>
            <w:tcBorders>
              <w:top w:val="nil"/>
              <w:left w:val="nil"/>
              <w:bottom w:val="nil"/>
              <w:right w:val="nil"/>
            </w:tcBorders>
            <w:tcMar>
              <w:top w:w="100" w:type="dxa"/>
              <w:left w:w="100" w:type="dxa"/>
              <w:bottom w:w="100" w:type="dxa"/>
              <w:right w:w="100" w:type="dxa"/>
            </w:tcMar>
          </w:tcPr>
          <w:p w14:paraId="000012F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=0.21</w:t>
            </w:r>
            <w:r>
              <w:rPr>
                <w:rFonts w:ascii="Times New Roman" w:eastAsia="Times New Roman" w:hAnsi="Times New Roman" w:cs="Times New Roman"/>
                <w:color w:val="000000"/>
                <w:vertAlign w:val="superscript"/>
              </w:rPr>
              <w:t>a</w:t>
            </w:r>
          </w:p>
        </w:tc>
        <w:tc>
          <w:tcPr>
            <w:tcW w:w="1200" w:type="dxa"/>
            <w:tcBorders>
              <w:top w:val="nil"/>
              <w:left w:val="nil"/>
              <w:bottom w:val="nil"/>
              <w:right w:val="nil"/>
            </w:tcBorders>
            <w:tcMar>
              <w:top w:w="100" w:type="dxa"/>
              <w:left w:w="100" w:type="dxa"/>
              <w:bottom w:w="100" w:type="dxa"/>
              <w:right w:w="100" w:type="dxa"/>
            </w:tcMar>
          </w:tcPr>
          <w:p w14:paraId="0000130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275" w:type="dxa"/>
            <w:tcBorders>
              <w:top w:val="nil"/>
              <w:left w:val="nil"/>
              <w:bottom w:val="nil"/>
              <w:right w:val="nil"/>
            </w:tcBorders>
            <w:tcMar>
              <w:top w:w="100" w:type="dxa"/>
              <w:left w:w="100" w:type="dxa"/>
              <w:bottom w:w="100" w:type="dxa"/>
              <w:right w:w="100" w:type="dxa"/>
            </w:tcMar>
          </w:tcPr>
          <w:p w14:paraId="0000130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90" w:type="dxa"/>
            <w:tcBorders>
              <w:top w:val="nil"/>
              <w:left w:val="nil"/>
              <w:bottom w:val="nil"/>
              <w:right w:val="nil"/>
            </w:tcBorders>
            <w:tcMar>
              <w:top w:w="100" w:type="dxa"/>
              <w:left w:w="100" w:type="dxa"/>
              <w:bottom w:w="100" w:type="dxa"/>
              <w:right w:w="100" w:type="dxa"/>
            </w:tcMar>
          </w:tcPr>
          <w:p w14:paraId="0000130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140" w:type="dxa"/>
            <w:tcBorders>
              <w:top w:val="nil"/>
              <w:left w:val="nil"/>
              <w:bottom w:val="nil"/>
              <w:right w:val="nil"/>
            </w:tcBorders>
            <w:tcMar>
              <w:top w:w="100" w:type="dxa"/>
              <w:left w:w="100" w:type="dxa"/>
              <w:bottom w:w="100" w:type="dxa"/>
              <w:right w:w="100" w:type="dxa"/>
            </w:tcMar>
          </w:tcPr>
          <w:p w14:paraId="0000130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r w:rsidR="00CB4215" w14:paraId="0ABCA80C" w14:textId="77777777">
        <w:trPr>
          <w:trHeight w:val="24"/>
        </w:trPr>
        <w:tc>
          <w:tcPr>
            <w:tcW w:w="2760" w:type="dxa"/>
            <w:tcBorders>
              <w:top w:val="nil"/>
              <w:left w:val="nil"/>
              <w:right w:val="nil"/>
            </w:tcBorders>
            <w:tcMar>
              <w:top w:w="100" w:type="dxa"/>
              <w:left w:w="100" w:type="dxa"/>
              <w:bottom w:w="100" w:type="dxa"/>
              <w:right w:w="100" w:type="dxa"/>
            </w:tcMar>
          </w:tcPr>
          <w:p w14:paraId="00001304" w14:textId="3B7A42DA"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1C6F50">
              <w:rPr>
                <w:rFonts w:ascii="Times New Roman" w:eastAsia="Times New Roman" w:hAnsi="Times New Roman" w:cs="Times New Roman"/>
                <w:color w:val="000000"/>
              </w:rPr>
              <w:t>O</w:t>
            </w:r>
            <w:r>
              <w:rPr>
                <w:rFonts w:ascii="Times New Roman" w:eastAsia="Times New Roman" w:hAnsi="Times New Roman" w:cs="Times New Roman"/>
                <w:color w:val="000000"/>
              </w:rPr>
              <w:t>EQ-CC</w:t>
            </w:r>
          </w:p>
        </w:tc>
        <w:tc>
          <w:tcPr>
            <w:tcW w:w="1320" w:type="dxa"/>
            <w:tcBorders>
              <w:top w:val="nil"/>
              <w:left w:val="nil"/>
              <w:right w:val="nil"/>
            </w:tcBorders>
            <w:tcMar>
              <w:top w:w="100" w:type="dxa"/>
              <w:left w:w="100" w:type="dxa"/>
              <w:bottom w:w="100" w:type="dxa"/>
              <w:right w:w="100" w:type="dxa"/>
            </w:tcMar>
          </w:tcPr>
          <w:p w14:paraId="0000130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0.11</w:t>
            </w:r>
          </w:p>
        </w:tc>
        <w:tc>
          <w:tcPr>
            <w:tcW w:w="1200" w:type="dxa"/>
            <w:tcBorders>
              <w:top w:val="nil"/>
              <w:left w:val="nil"/>
              <w:right w:val="nil"/>
            </w:tcBorders>
            <w:tcMar>
              <w:top w:w="100" w:type="dxa"/>
              <w:left w:w="100" w:type="dxa"/>
              <w:bottom w:w="100" w:type="dxa"/>
              <w:right w:w="100" w:type="dxa"/>
            </w:tcMar>
          </w:tcPr>
          <w:p w14:paraId="0000130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34.9</w:t>
            </w:r>
          </w:p>
        </w:tc>
        <w:tc>
          <w:tcPr>
            <w:tcW w:w="1275" w:type="dxa"/>
            <w:tcBorders>
              <w:top w:val="nil"/>
              <w:left w:val="nil"/>
              <w:right w:val="nil"/>
            </w:tcBorders>
            <w:tcMar>
              <w:top w:w="100" w:type="dxa"/>
              <w:left w:w="100" w:type="dxa"/>
              <w:bottom w:w="100" w:type="dxa"/>
              <w:right w:w="100" w:type="dxa"/>
            </w:tcMar>
          </w:tcPr>
          <w:p w14:paraId="0000130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20.1</w:t>
            </w:r>
          </w:p>
        </w:tc>
        <w:tc>
          <w:tcPr>
            <w:tcW w:w="1290" w:type="dxa"/>
            <w:tcBorders>
              <w:top w:val="nil"/>
              <w:left w:val="nil"/>
              <w:right w:val="nil"/>
            </w:tcBorders>
            <w:tcMar>
              <w:top w:w="100" w:type="dxa"/>
              <w:left w:w="100" w:type="dxa"/>
              <w:bottom w:w="100" w:type="dxa"/>
              <w:right w:w="100" w:type="dxa"/>
            </w:tcMar>
          </w:tcPr>
          <w:p w14:paraId="0000130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28.6</w:t>
            </w:r>
          </w:p>
        </w:tc>
        <w:tc>
          <w:tcPr>
            <w:tcW w:w="1140" w:type="dxa"/>
            <w:tcBorders>
              <w:top w:val="nil"/>
              <w:left w:val="nil"/>
              <w:right w:val="nil"/>
            </w:tcBorders>
            <w:tcMar>
              <w:top w:w="100" w:type="dxa"/>
              <w:left w:w="100" w:type="dxa"/>
              <w:bottom w:w="100" w:type="dxa"/>
              <w:right w:w="100" w:type="dxa"/>
            </w:tcMar>
          </w:tcPr>
          <w:p w14:paraId="0000130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14.9</w:t>
            </w:r>
          </w:p>
        </w:tc>
      </w:tr>
    </w:tbl>
    <w:p w14:paraId="562028A5" w14:textId="77777777" w:rsidR="0064076D" w:rsidRPr="006C356B" w:rsidRDefault="0064076D" w:rsidP="0064076D">
      <w:pPr>
        <w:spacing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i/>
          <w:color w:val="000000"/>
          <w:sz w:val="20"/>
          <w:szCs w:val="20"/>
        </w:rPr>
        <w:t>Note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r w:rsidRPr="0064076D">
        <w:rPr>
          <w:rFonts w:ascii="Times New Roman" w:eastAsia="Times New Roman" w:hAnsi="Times New Roman" w:cs="Times New Roman"/>
          <w:sz w:val="20"/>
          <w:szCs w:val="20"/>
        </w:rPr>
        <w:t>All comparisons were controlled for age and gender.</w:t>
      </w:r>
      <w:r>
        <w:rPr>
          <w:rFonts w:ascii="Times New Roman" w:eastAsia="Times New Roman" w:hAnsi="Times New Roman" w:cs="Times New Roman"/>
          <w:sz w:val="20"/>
          <w:szCs w:val="20"/>
        </w:rPr>
        <w:t xml:space="preserve"> </w:t>
      </w:r>
    </w:p>
    <w:p w14:paraId="0000130B"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are presented as mean, SD or median rank.</w:t>
      </w:r>
    </w:p>
    <w:p w14:paraId="0000130C" w14:textId="33D954C1" w:rsidR="00CB4215" w:rsidRDefault="000530B4">
      <w:pPr>
        <w:widowControl w:val="0"/>
        <w:spacing w:line="240" w:lineRule="auto"/>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CR: cognitive restraint, UE: uncontrolled eating, EE: emotional eating, FR: food responsiveness, EOE: emotional overeating, EUE: emotional under-eating, EF: enjoy of food, SR: satiety responsiveness, SE: slowness of eating, CC: craving control.</w:t>
      </w:r>
    </w:p>
    <w:p w14:paraId="33953AAB" w14:textId="1C0A84F9" w:rsidR="0064076D" w:rsidRDefault="0064076D" w:rsidP="0064076D">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a</w:t>
      </w:r>
      <w:r>
        <w:rPr>
          <w:rFonts w:ascii="Times New Roman" w:eastAsia="Times New Roman" w:hAnsi="Times New Roman" w:cs="Times New Roman"/>
          <w:color w:val="000000"/>
          <w:sz w:val="20"/>
          <w:szCs w:val="20"/>
        </w:rPr>
        <w:t xml:space="preserve"> Kruskal-Wallis H test</w:t>
      </w:r>
      <w:r w:rsidR="00FC7B35">
        <w:rPr>
          <w:rFonts w:ascii="Times New Roman" w:eastAsia="Times New Roman" w:hAnsi="Times New Roman" w:cs="Times New Roman"/>
          <w:color w:val="000000"/>
          <w:sz w:val="20"/>
          <w:szCs w:val="20"/>
        </w:rPr>
        <w:t>.</w:t>
      </w:r>
    </w:p>
    <w:p w14:paraId="5A9C06EB" w14:textId="47D22340" w:rsidR="00FC7B35" w:rsidRPr="0064076D" w:rsidRDefault="00FC7B35" w:rsidP="0064076D">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Significant differences are shown in bold.</w:t>
      </w:r>
    </w:p>
    <w:p w14:paraId="0000130D" w14:textId="77777777" w:rsidR="00CB4215" w:rsidRDefault="00CB4215">
      <w:pPr>
        <w:spacing w:line="240" w:lineRule="auto"/>
        <w:rPr>
          <w:rFonts w:ascii="Times New Roman" w:eastAsia="Times New Roman" w:hAnsi="Times New Roman" w:cs="Times New Roman"/>
          <w:color w:val="000000"/>
          <w:sz w:val="24"/>
          <w:szCs w:val="24"/>
        </w:rPr>
      </w:pPr>
    </w:p>
    <w:p w14:paraId="0000130F" w14:textId="77777777" w:rsidR="00CB4215" w:rsidRDefault="00CB4215">
      <w:pPr>
        <w:spacing w:line="240" w:lineRule="auto"/>
        <w:rPr>
          <w:rFonts w:ascii="Times New Roman" w:eastAsia="Times New Roman" w:hAnsi="Times New Roman" w:cs="Times New Roman"/>
          <w:color w:val="000000"/>
          <w:sz w:val="24"/>
          <w:szCs w:val="24"/>
        </w:rPr>
      </w:pPr>
    </w:p>
    <w:p w14:paraId="00001310" w14:textId="77777777" w:rsidR="00CB4215" w:rsidRPr="0064076D" w:rsidRDefault="000530B4">
      <w:pPr>
        <w:spacing w:line="240" w:lineRule="auto"/>
        <w:rPr>
          <w:rFonts w:ascii="Times New Roman" w:eastAsia="Times New Roman" w:hAnsi="Times New Roman" w:cs="Times New Roman"/>
          <w:b/>
          <w:color w:val="000000"/>
          <w:sz w:val="20"/>
          <w:szCs w:val="20"/>
        </w:rPr>
      </w:pPr>
      <w:r w:rsidRPr="0064076D">
        <w:rPr>
          <w:rFonts w:ascii="Times New Roman" w:eastAsia="Times New Roman" w:hAnsi="Times New Roman" w:cs="Times New Roman"/>
          <w:i/>
          <w:iCs/>
          <w:color w:val="000000"/>
          <w:sz w:val="20"/>
          <w:szCs w:val="20"/>
        </w:rPr>
        <w:t>Table S3.</w:t>
      </w:r>
      <w:r w:rsidRPr="0064076D">
        <w:rPr>
          <w:rFonts w:ascii="Times New Roman" w:eastAsia="Times New Roman" w:hAnsi="Times New Roman" w:cs="Times New Roman"/>
          <w:color w:val="000000"/>
          <w:sz w:val="20"/>
          <w:szCs w:val="20"/>
        </w:rPr>
        <w:t xml:space="preserve"> Comparison of health behaviours in low vs high chaotic meal eater</w:t>
      </w:r>
    </w:p>
    <w:tbl>
      <w:tblPr>
        <w:tblStyle w:val="aff"/>
        <w:tblW w:w="8931" w:type="dxa"/>
        <w:tblLayout w:type="fixed"/>
        <w:tblLook w:val="0600" w:firstRow="0" w:lastRow="0" w:firstColumn="0" w:lastColumn="0" w:noHBand="1" w:noVBand="1"/>
      </w:tblPr>
      <w:tblGrid>
        <w:gridCol w:w="2040"/>
        <w:gridCol w:w="1350"/>
        <w:gridCol w:w="1755"/>
        <w:gridCol w:w="1376"/>
        <w:gridCol w:w="1559"/>
        <w:gridCol w:w="851"/>
      </w:tblGrid>
      <w:tr w:rsidR="00CB4215" w14:paraId="028778DB" w14:textId="77777777" w:rsidTr="005E542D">
        <w:trPr>
          <w:trHeight w:val="440"/>
        </w:trPr>
        <w:tc>
          <w:tcPr>
            <w:tcW w:w="3390" w:type="dxa"/>
            <w:gridSpan w:val="2"/>
            <w:tcBorders>
              <w:top w:val="single" w:sz="4" w:space="0" w:color="000000"/>
              <w:bottom w:val="single" w:sz="4" w:space="0" w:color="000000"/>
            </w:tcBorders>
            <w:tcMar>
              <w:top w:w="100" w:type="dxa"/>
              <w:left w:w="100" w:type="dxa"/>
              <w:bottom w:w="100" w:type="dxa"/>
              <w:right w:w="100" w:type="dxa"/>
            </w:tcMar>
          </w:tcPr>
          <w:p w14:paraId="00001311" w14:textId="77777777" w:rsidR="00CB4215" w:rsidRDefault="00CB4215">
            <w:pPr>
              <w:widowControl w:val="0"/>
              <w:spacing w:line="240" w:lineRule="auto"/>
              <w:rPr>
                <w:rFonts w:ascii="Times New Roman" w:eastAsia="Times New Roman" w:hAnsi="Times New Roman" w:cs="Times New Roman"/>
                <w:color w:val="000000"/>
              </w:rPr>
            </w:pPr>
          </w:p>
        </w:tc>
        <w:tc>
          <w:tcPr>
            <w:tcW w:w="3131" w:type="dxa"/>
            <w:gridSpan w:val="2"/>
            <w:tcBorders>
              <w:top w:val="single" w:sz="4" w:space="0" w:color="000000"/>
              <w:bottom w:val="single" w:sz="4" w:space="0" w:color="000000"/>
            </w:tcBorders>
            <w:tcMar>
              <w:top w:w="100" w:type="dxa"/>
              <w:left w:w="100" w:type="dxa"/>
              <w:bottom w:w="100" w:type="dxa"/>
              <w:right w:w="100" w:type="dxa"/>
            </w:tcMar>
          </w:tcPr>
          <w:p w14:paraId="0000131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chaotic meal eater </w:t>
            </w:r>
          </w:p>
        </w:tc>
        <w:tc>
          <w:tcPr>
            <w:tcW w:w="2410" w:type="dxa"/>
            <w:gridSpan w:val="2"/>
            <w:tcBorders>
              <w:top w:val="single" w:sz="4" w:space="0" w:color="000000"/>
              <w:bottom w:val="single" w:sz="4" w:space="0" w:color="000000"/>
            </w:tcBorders>
            <w:tcMar>
              <w:top w:w="100" w:type="dxa"/>
              <w:left w:w="100" w:type="dxa"/>
              <w:bottom w:w="100" w:type="dxa"/>
              <w:right w:w="100" w:type="dxa"/>
            </w:tcMar>
          </w:tcPr>
          <w:p w14:paraId="0000131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chaotic meal eater</w:t>
            </w:r>
          </w:p>
        </w:tc>
      </w:tr>
      <w:tr w:rsidR="00CB4215" w14:paraId="22340848" w14:textId="77777777" w:rsidTr="005E542D">
        <w:trPr>
          <w:trHeight w:val="25"/>
        </w:trPr>
        <w:tc>
          <w:tcPr>
            <w:tcW w:w="2040" w:type="dxa"/>
            <w:tcBorders>
              <w:top w:val="single" w:sz="4" w:space="0" w:color="000000"/>
              <w:bottom w:val="single" w:sz="4" w:space="0" w:color="auto"/>
            </w:tcBorders>
            <w:tcMar>
              <w:top w:w="100" w:type="dxa"/>
              <w:left w:w="100" w:type="dxa"/>
              <w:bottom w:w="100" w:type="dxa"/>
              <w:right w:w="100" w:type="dxa"/>
            </w:tcMar>
          </w:tcPr>
          <w:p w14:paraId="0000131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Dependent variable</w:t>
            </w:r>
          </w:p>
        </w:tc>
        <w:tc>
          <w:tcPr>
            <w:tcW w:w="1350" w:type="dxa"/>
            <w:tcBorders>
              <w:top w:val="single" w:sz="4" w:space="0" w:color="000000"/>
              <w:bottom w:val="single" w:sz="4" w:space="0" w:color="auto"/>
            </w:tcBorders>
            <w:tcMar>
              <w:top w:w="100" w:type="dxa"/>
              <w:left w:w="100" w:type="dxa"/>
              <w:bottom w:w="100" w:type="dxa"/>
              <w:right w:w="100" w:type="dxa"/>
            </w:tcMar>
          </w:tcPr>
          <w:p w14:paraId="0000131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i/>
                <w:color w:val="000000"/>
                <w:highlight w:val="white"/>
              </w:rPr>
              <w:t>η2</w:t>
            </w:r>
          </w:p>
        </w:tc>
        <w:tc>
          <w:tcPr>
            <w:tcW w:w="1755" w:type="dxa"/>
            <w:tcBorders>
              <w:top w:val="single" w:sz="4" w:space="0" w:color="000000"/>
              <w:bottom w:val="single" w:sz="4" w:space="0" w:color="auto"/>
            </w:tcBorders>
            <w:tcMar>
              <w:top w:w="100" w:type="dxa"/>
              <w:left w:w="100" w:type="dxa"/>
              <w:bottom w:w="100" w:type="dxa"/>
              <w:right w:w="100" w:type="dxa"/>
            </w:tcMar>
          </w:tcPr>
          <w:p w14:paraId="0000131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376" w:type="dxa"/>
            <w:tcBorders>
              <w:top w:val="single" w:sz="4" w:space="0" w:color="000000"/>
              <w:bottom w:val="single" w:sz="4" w:space="0" w:color="auto"/>
            </w:tcBorders>
            <w:tcMar>
              <w:top w:w="100" w:type="dxa"/>
              <w:left w:w="100" w:type="dxa"/>
              <w:bottom w:w="100" w:type="dxa"/>
              <w:right w:w="100" w:type="dxa"/>
            </w:tcMar>
          </w:tcPr>
          <w:p w14:paraId="0000131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c>
          <w:tcPr>
            <w:tcW w:w="1559" w:type="dxa"/>
            <w:tcBorders>
              <w:top w:val="single" w:sz="4" w:space="0" w:color="000000"/>
              <w:bottom w:val="single" w:sz="4" w:space="0" w:color="auto"/>
            </w:tcBorders>
            <w:tcMar>
              <w:top w:w="100" w:type="dxa"/>
              <w:left w:w="100" w:type="dxa"/>
              <w:bottom w:w="100" w:type="dxa"/>
              <w:right w:w="100" w:type="dxa"/>
            </w:tcMar>
          </w:tcPr>
          <w:p w14:paraId="0000131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851" w:type="dxa"/>
            <w:tcBorders>
              <w:top w:val="single" w:sz="4" w:space="0" w:color="000000"/>
              <w:bottom w:val="single" w:sz="4" w:space="0" w:color="auto"/>
            </w:tcBorders>
            <w:tcMar>
              <w:top w:w="100" w:type="dxa"/>
              <w:left w:w="100" w:type="dxa"/>
              <w:bottom w:w="100" w:type="dxa"/>
              <w:right w:w="100" w:type="dxa"/>
            </w:tcMar>
          </w:tcPr>
          <w:p w14:paraId="0000131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r>
      <w:tr w:rsidR="00CB4215" w14:paraId="412E77C4" w14:textId="77777777" w:rsidTr="005E542D">
        <w:trPr>
          <w:trHeight w:val="155"/>
        </w:trPr>
        <w:tc>
          <w:tcPr>
            <w:tcW w:w="2040" w:type="dxa"/>
            <w:tcBorders>
              <w:top w:val="single" w:sz="4" w:space="0" w:color="auto"/>
            </w:tcBorders>
            <w:tcMar>
              <w:top w:w="100" w:type="dxa"/>
              <w:left w:w="100" w:type="dxa"/>
              <w:bottom w:w="100" w:type="dxa"/>
              <w:right w:w="100" w:type="dxa"/>
            </w:tcMar>
          </w:tcPr>
          <w:p w14:paraId="0000131D" w14:textId="77777777" w:rsidR="00CB4215" w:rsidRDefault="000530B4">
            <w:pPr>
              <w:widowControl w:val="0"/>
              <w:spacing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Energy expenditure (kcal/d)</w:t>
            </w:r>
            <w:r>
              <w:rPr>
                <w:rFonts w:ascii="Times New Roman" w:eastAsia="Times New Roman" w:hAnsi="Times New Roman" w:cs="Times New Roman"/>
                <w:color w:val="000000"/>
                <w:vertAlign w:val="superscript"/>
              </w:rPr>
              <w:t xml:space="preserve">1 </w:t>
            </w:r>
          </w:p>
        </w:tc>
        <w:tc>
          <w:tcPr>
            <w:tcW w:w="1350" w:type="dxa"/>
            <w:tcBorders>
              <w:top w:val="single" w:sz="4" w:space="0" w:color="auto"/>
            </w:tcBorders>
            <w:tcMar>
              <w:top w:w="100" w:type="dxa"/>
              <w:left w:w="100" w:type="dxa"/>
              <w:bottom w:w="100" w:type="dxa"/>
              <w:right w:w="100" w:type="dxa"/>
            </w:tcMar>
          </w:tcPr>
          <w:p w14:paraId="0000131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0.009</w:t>
            </w:r>
          </w:p>
        </w:tc>
        <w:tc>
          <w:tcPr>
            <w:tcW w:w="1755" w:type="dxa"/>
            <w:tcBorders>
              <w:top w:val="single" w:sz="4" w:space="0" w:color="auto"/>
            </w:tcBorders>
            <w:tcMar>
              <w:top w:w="100" w:type="dxa"/>
              <w:left w:w="100" w:type="dxa"/>
              <w:bottom w:w="100" w:type="dxa"/>
              <w:right w:w="100" w:type="dxa"/>
            </w:tcMar>
          </w:tcPr>
          <w:p w14:paraId="0000131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2519.8</w:t>
            </w:r>
          </w:p>
        </w:tc>
        <w:tc>
          <w:tcPr>
            <w:tcW w:w="1376" w:type="dxa"/>
            <w:tcBorders>
              <w:top w:val="single" w:sz="4" w:space="0" w:color="auto"/>
            </w:tcBorders>
            <w:tcMar>
              <w:top w:w="100" w:type="dxa"/>
              <w:left w:w="100" w:type="dxa"/>
              <w:bottom w:w="100" w:type="dxa"/>
              <w:right w:w="100" w:type="dxa"/>
            </w:tcMar>
          </w:tcPr>
          <w:p w14:paraId="0000132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565.1</w:t>
            </w:r>
          </w:p>
        </w:tc>
        <w:tc>
          <w:tcPr>
            <w:tcW w:w="1559" w:type="dxa"/>
            <w:tcBorders>
              <w:top w:val="single" w:sz="4" w:space="0" w:color="auto"/>
            </w:tcBorders>
            <w:tcMar>
              <w:top w:w="100" w:type="dxa"/>
              <w:left w:w="100" w:type="dxa"/>
              <w:bottom w:w="100" w:type="dxa"/>
              <w:right w:w="100" w:type="dxa"/>
            </w:tcMar>
          </w:tcPr>
          <w:p w14:paraId="0000132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2440.6</w:t>
            </w:r>
          </w:p>
        </w:tc>
        <w:tc>
          <w:tcPr>
            <w:tcW w:w="851" w:type="dxa"/>
            <w:tcBorders>
              <w:top w:val="single" w:sz="4" w:space="0" w:color="auto"/>
            </w:tcBorders>
            <w:tcMar>
              <w:top w:w="100" w:type="dxa"/>
              <w:left w:w="100" w:type="dxa"/>
              <w:bottom w:w="100" w:type="dxa"/>
              <w:right w:w="100" w:type="dxa"/>
            </w:tcMar>
          </w:tcPr>
          <w:p w14:paraId="0000132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540.0</w:t>
            </w:r>
          </w:p>
        </w:tc>
      </w:tr>
      <w:tr w:rsidR="00CB4215" w14:paraId="2EB5813B" w14:textId="77777777">
        <w:trPr>
          <w:trHeight w:val="24"/>
        </w:trPr>
        <w:tc>
          <w:tcPr>
            <w:tcW w:w="2040" w:type="dxa"/>
            <w:tcMar>
              <w:top w:w="100" w:type="dxa"/>
              <w:left w:w="100" w:type="dxa"/>
              <w:bottom w:w="100" w:type="dxa"/>
              <w:right w:w="100" w:type="dxa"/>
            </w:tcMar>
          </w:tcPr>
          <w:p w14:paraId="0000132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MVPA</w:t>
            </w:r>
            <w:r>
              <w:rPr>
                <w:rFonts w:ascii="Times New Roman" w:eastAsia="Times New Roman" w:hAnsi="Times New Roman" w:cs="Times New Roman"/>
                <w:color w:val="000000"/>
                <w:vertAlign w:val="superscript"/>
              </w:rPr>
              <w:t>1</w:t>
            </w:r>
          </w:p>
        </w:tc>
        <w:tc>
          <w:tcPr>
            <w:tcW w:w="1350" w:type="dxa"/>
            <w:tcMar>
              <w:top w:w="100" w:type="dxa"/>
              <w:left w:w="100" w:type="dxa"/>
              <w:bottom w:w="100" w:type="dxa"/>
              <w:right w:w="100" w:type="dxa"/>
            </w:tcMar>
          </w:tcPr>
          <w:p w14:paraId="0000132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755" w:type="dxa"/>
            <w:tcMar>
              <w:top w:w="100" w:type="dxa"/>
              <w:left w:w="100" w:type="dxa"/>
              <w:bottom w:w="100" w:type="dxa"/>
              <w:right w:w="100" w:type="dxa"/>
            </w:tcMar>
          </w:tcPr>
          <w:p w14:paraId="0000132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136.1</w:t>
            </w:r>
          </w:p>
        </w:tc>
        <w:tc>
          <w:tcPr>
            <w:tcW w:w="1376" w:type="dxa"/>
            <w:tcMar>
              <w:top w:w="100" w:type="dxa"/>
              <w:left w:w="100" w:type="dxa"/>
              <w:bottom w:w="100" w:type="dxa"/>
              <w:right w:w="100" w:type="dxa"/>
            </w:tcMar>
          </w:tcPr>
          <w:p w14:paraId="0000132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47.1</w:t>
            </w:r>
          </w:p>
        </w:tc>
        <w:tc>
          <w:tcPr>
            <w:tcW w:w="1559" w:type="dxa"/>
            <w:tcMar>
              <w:top w:w="100" w:type="dxa"/>
              <w:left w:w="100" w:type="dxa"/>
              <w:bottom w:w="100" w:type="dxa"/>
              <w:right w:w="100" w:type="dxa"/>
            </w:tcMar>
          </w:tcPr>
          <w:p w14:paraId="0000132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143.8</w:t>
            </w:r>
          </w:p>
        </w:tc>
        <w:tc>
          <w:tcPr>
            <w:tcW w:w="851" w:type="dxa"/>
            <w:tcMar>
              <w:top w:w="100" w:type="dxa"/>
              <w:left w:w="100" w:type="dxa"/>
              <w:bottom w:w="100" w:type="dxa"/>
              <w:right w:w="100" w:type="dxa"/>
            </w:tcMar>
          </w:tcPr>
          <w:p w14:paraId="0000132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46.1</w:t>
            </w:r>
          </w:p>
        </w:tc>
      </w:tr>
      <w:tr w:rsidR="00CB4215" w14:paraId="042B84E9" w14:textId="77777777">
        <w:trPr>
          <w:trHeight w:val="24"/>
        </w:trPr>
        <w:tc>
          <w:tcPr>
            <w:tcW w:w="2040" w:type="dxa"/>
            <w:tcMar>
              <w:top w:w="100" w:type="dxa"/>
              <w:left w:w="100" w:type="dxa"/>
              <w:bottom w:w="100" w:type="dxa"/>
              <w:right w:w="100" w:type="dxa"/>
            </w:tcMar>
          </w:tcPr>
          <w:p w14:paraId="0000132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Step count</w:t>
            </w:r>
            <w:r>
              <w:rPr>
                <w:rFonts w:ascii="Times New Roman" w:eastAsia="Times New Roman" w:hAnsi="Times New Roman" w:cs="Times New Roman"/>
                <w:color w:val="000000"/>
                <w:vertAlign w:val="superscript"/>
              </w:rPr>
              <w:t>1</w:t>
            </w:r>
          </w:p>
        </w:tc>
        <w:tc>
          <w:tcPr>
            <w:tcW w:w="1350" w:type="dxa"/>
            <w:tcMar>
              <w:top w:w="100" w:type="dxa"/>
              <w:left w:w="100" w:type="dxa"/>
              <w:bottom w:w="100" w:type="dxa"/>
              <w:right w:w="100" w:type="dxa"/>
            </w:tcMar>
          </w:tcPr>
          <w:p w14:paraId="0000132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0.002</w:t>
            </w:r>
          </w:p>
        </w:tc>
        <w:tc>
          <w:tcPr>
            <w:tcW w:w="1755" w:type="dxa"/>
            <w:tcMar>
              <w:top w:w="100" w:type="dxa"/>
              <w:left w:w="100" w:type="dxa"/>
              <w:bottom w:w="100" w:type="dxa"/>
              <w:right w:w="100" w:type="dxa"/>
            </w:tcMar>
          </w:tcPr>
          <w:p w14:paraId="0000132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5600.6</w:t>
            </w:r>
          </w:p>
        </w:tc>
        <w:tc>
          <w:tcPr>
            <w:tcW w:w="1376" w:type="dxa"/>
            <w:tcMar>
              <w:top w:w="100" w:type="dxa"/>
              <w:left w:w="100" w:type="dxa"/>
              <w:bottom w:w="100" w:type="dxa"/>
              <w:right w:w="100" w:type="dxa"/>
            </w:tcMar>
          </w:tcPr>
          <w:p w14:paraId="0000132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631.1</w:t>
            </w:r>
          </w:p>
        </w:tc>
        <w:tc>
          <w:tcPr>
            <w:tcW w:w="1559" w:type="dxa"/>
            <w:tcMar>
              <w:top w:w="100" w:type="dxa"/>
              <w:left w:w="100" w:type="dxa"/>
              <w:bottom w:w="100" w:type="dxa"/>
              <w:right w:w="100" w:type="dxa"/>
            </w:tcMar>
          </w:tcPr>
          <w:p w14:paraId="0000132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5793.8</w:t>
            </w:r>
          </w:p>
        </w:tc>
        <w:tc>
          <w:tcPr>
            <w:tcW w:w="851" w:type="dxa"/>
            <w:tcMar>
              <w:top w:w="100" w:type="dxa"/>
              <w:left w:w="100" w:type="dxa"/>
              <w:bottom w:w="100" w:type="dxa"/>
              <w:right w:w="100" w:type="dxa"/>
            </w:tcMar>
          </w:tcPr>
          <w:p w14:paraId="0000132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560.6</w:t>
            </w:r>
          </w:p>
        </w:tc>
      </w:tr>
      <w:tr w:rsidR="00CB4215" w14:paraId="14969545" w14:textId="77777777">
        <w:trPr>
          <w:trHeight w:val="24"/>
        </w:trPr>
        <w:tc>
          <w:tcPr>
            <w:tcW w:w="2040" w:type="dxa"/>
            <w:tcMar>
              <w:top w:w="100" w:type="dxa"/>
              <w:left w:w="100" w:type="dxa"/>
              <w:bottom w:w="100" w:type="dxa"/>
              <w:right w:w="100" w:type="dxa"/>
            </w:tcMar>
          </w:tcPr>
          <w:p w14:paraId="0000132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Energy intake (kcal/d)</w:t>
            </w:r>
            <w:r>
              <w:rPr>
                <w:rFonts w:ascii="Times New Roman" w:eastAsia="Times New Roman" w:hAnsi="Times New Roman" w:cs="Times New Roman"/>
                <w:color w:val="000000"/>
                <w:vertAlign w:val="superscript"/>
              </w:rPr>
              <w:t xml:space="preserve">2 </w:t>
            </w:r>
          </w:p>
        </w:tc>
        <w:tc>
          <w:tcPr>
            <w:tcW w:w="1350" w:type="dxa"/>
            <w:tcMar>
              <w:top w:w="100" w:type="dxa"/>
              <w:left w:w="100" w:type="dxa"/>
              <w:bottom w:w="100" w:type="dxa"/>
              <w:right w:w="100" w:type="dxa"/>
            </w:tcMar>
          </w:tcPr>
          <w:p w14:paraId="0000133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0.03 </w:t>
            </w:r>
          </w:p>
        </w:tc>
        <w:tc>
          <w:tcPr>
            <w:tcW w:w="1755" w:type="dxa"/>
            <w:tcMar>
              <w:top w:w="100" w:type="dxa"/>
              <w:left w:w="100" w:type="dxa"/>
              <w:bottom w:w="100" w:type="dxa"/>
              <w:right w:w="100" w:type="dxa"/>
            </w:tcMar>
          </w:tcPr>
          <w:p w14:paraId="0000133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1871.1</w:t>
            </w:r>
          </w:p>
        </w:tc>
        <w:tc>
          <w:tcPr>
            <w:tcW w:w="1376" w:type="dxa"/>
            <w:tcMar>
              <w:top w:w="100" w:type="dxa"/>
              <w:left w:w="100" w:type="dxa"/>
              <w:bottom w:w="100" w:type="dxa"/>
              <w:right w:w="100" w:type="dxa"/>
            </w:tcMar>
          </w:tcPr>
          <w:p w14:paraId="0000133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536.1</w:t>
            </w:r>
          </w:p>
        </w:tc>
        <w:tc>
          <w:tcPr>
            <w:tcW w:w="1559" w:type="dxa"/>
            <w:tcMar>
              <w:top w:w="100" w:type="dxa"/>
              <w:left w:w="100" w:type="dxa"/>
              <w:bottom w:w="100" w:type="dxa"/>
              <w:right w:w="100" w:type="dxa"/>
            </w:tcMar>
          </w:tcPr>
          <w:p w14:paraId="0000133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1955.7</w:t>
            </w:r>
          </w:p>
        </w:tc>
        <w:tc>
          <w:tcPr>
            <w:tcW w:w="851" w:type="dxa"/>
            <w:tcMar>
              <w:top w:w="100" w:type="dxa"/>
              <w:left w:w="100" w:type="dxa"/>
              <w:bottom w:w="100" w:type="dxa"/>
              <w:right w:w="100" w:type="dxa"/>
            </w:tcMar>
          </w:tcPr>
          <w:p w14:paraId="0000133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454.1 </w:t>
            </w:r>
          </w:p>
        </w:tc>
      </w:tr>
      <w:tr w:rsidR="00CB4215" w14:paraId="6FE93B80" w14:textId="77777777">
        <w:trPr>
          <w:trHeight w:val="24"/>
        </w:trPr>
        <w:tc>
          <w:tcPr>
            <w:tcW w:w="2040" w:type="dxa"/>
            <w:tcMar>
              <w:top w:w="100" w:type="dxa"/>
              <w:left w:w="100" w:type="dxa"/>
              <w:bottom w:w="100" w:type="dxa"/>
              <w:right w:w="100" w:type="dxa"/>
            </w:tcMar>
          </w:tcPr>
          <w:p w14:paraId="0000133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 (%)</w:t>
            </w:r>
          </w:p>
        </w:tc>
        <w:tc>
          <w:tcPr>
            <w:tcW w:w="1350" w:type="dxa"/>
            <w:tcMar>
              <w:top w:w="100" w:type="dxa"/>
              <w:left w:w="100" w:type="dxa"/>
              <w:bottom w:w="100" w:type="dxa"/>
              <w:right w:w="100" w:type="dxa"/>
            </w:tcMar>
          </w:tcPr>
          <w:p w14:paraId="0000133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755" w:type="dxa"/>
            <w:tcMar>
              <w:top w:w="100" w:type="dxa"/>
              <w:left w:w="100" w:type="dxa"/>
              <w:bottom w:w="100" w:type="dxa"/>
              <w:right w:w="100" w:type="dxa"/>
            </w:tcMar>
          </w:tcPr>
          <w:p w14:paraId="0000133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16.8</w:t>
            </w:r>
          </w:p>
        </w:tc>
        <w:tc>
          <w:tcPr>
            <w:tcW w:w="1376" w:type="dxa"/>
            <w:tcMar>
              <w:top w:w="100" w:type="dxa"/>
              <w:left w:w="100" w:type="dxa"/>
              <w:bottom w:w="100" w:type="dxa"/>
              <w:right w:w="100" w:type="dxa"/>
            </w:tcMar>
          </w:tcPr>
          <w:p w14:paraId="0000133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559" w:type="dxa"/>
            <w:tcMar>
              <w:top w:w="100" w:type="dxa"/>
              <w:left w:w="100" w:type="dxa"/>
              <w:bottom w:w="100" w:type="dxa"/>
              <w:right w:w="100" w:type="dxa"/>
            </w:tcMar>
          </w:tcPr>
          <w:p w14:paraId="0000133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15.5</w:t>
            </w:r>
          </w:p>
        </w:tc>
        <w:tc>
          <w:tcPr>
            <w:tcW w:w="851" w:type="dxa"/>
            <w:tcMar>
              <w:top w:w="100" w:type="dxa"/>
              <w:left w:w="100" w:type="dxa"/>
              <w:bottom w:w="100" w:type="dxa"/>
              <w:right w:w="100" w:type="dxa"/>
            </w:tcMar>
          </w:tcPr>
          <w:p w14:paraId="0000133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w:t>
            </w:r>
          </w:p>
        </w:tc>
      </w:tr>
      <w:tr w:rsidR="00CB4215" w14:paraId="619C899F" w14:textId="77777777">
        <w:trPr>
          <w:trHeight w:val="24"/>
        </w:trPr>
        <w:tc>
          <w:tcPr>
            <w:tcW w:w="2040" w:type="dxa"/>
            <w:tcMar>
              <w:top w:w="100" w:type="dxa"/>
              <w:left w:w="100" w:type="dxa"/>
              <w:bottom w:w="100" w:type="dxa"/>
              <w:right w:w="100" w:type="dxa"/>
            </w:tcMar>
          </w:tcPr>
          <w:p w14:paraId="0000133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CHO (%)</w:t>
            </w:r>
          </w:p>
        </w:tc>
        <w:tc>
          <w:tcPr>
            <w:tcW w:w="1350" w:type="dxa"/>
            <w:tcMar>
              <w:top w:w="100" w:type="dxa"/>
              <w:left w:w="100" w:type="dxa"/>
              <w:bottom w:w="100" w:type="dxa"/>
              <w:right w:w="100" w:type="dxa"/>
            </w:tcMar>
          </w:tcPr>
          <w:p w14:paraId="0000133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1755" w:type="dxa"/>
            <w:tcMar>
              <w:top w:w="100" w:type="dxa"/>
              <w:left w:w="100" w:type="dxa"/>
              <w:bottom w:w="100" w:type="dxa"/>
              <w:right w:w="100" w:type="dxa"/>
            </w:tcMar>
          </w:tcPr>
          <w:p w14:paraId="0000133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48.5</w:t>
            </w:r>
          </w:p>
        </w:tc>
        <w:tc>
          <w:tcPr>
            <w:tcW w:w="1376" w:type="dxa"/>
            <w:tcMar>
              <w:top w:w="100" w:type="dxa"/>
              <w:left w:w="100" w:type="dxa"/>
              <w:bottom w:w="100" w:type="dxa"/>
              <w:right w:w="100" w:type="dxa"/>
            </w:tcMar>
          </w:tcPr>
          <w:p w14:paraId="0000133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9.4</w:t>
            </w:r>
          </w:p>
        </w:tc>
        <w:tc>
          <w:tcPr>
            <w:tcW w:w="1559" w:type="dxa"/>
            <w:tcMar>
              <w:top w:w="100" w:type="dxa"/>
              <w:left w:w="100" w:type="dxa"/>
              <w:bottom w:w="100" w:type="dxa"/>
              <w:right w:w="100" w:type="dxa"/>
            </w:tcMar>
          </w:tcPr>
          <w:p w14:paraId="0000133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47.3</w:t>
            </w:r>
          </w:p>
        </w:tc>
        <w:tc>
          <w:tcPr>
            <w:tcW w:w="851" w:type="dxa"/>
            <w:tcMar>
              <w:top w:w="100" w:type="dxa"/>
              <w:left w:w="100" w:type="dxa"/>
              <w:bottom w:w="100" w:type="dxa"/>
              <w:right w:w="100" w:type="dxa"/>
            </w:tcMar>
          </w:tcPr>
          <w:p w14:paraId="0000134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4.8</w:t>
            </w:r>
          </w:p>
        </w:tc>
      </w:tr>
      <w:tr w:rsidR="00CB4215" w14:paraId="4D5876CC" w14:textId="77777777">
        <w:trPr>
          <w:trHeight w:val="24"/>
        </w:trPr>
        <w:tc>
          <w:tcPr>
            <w:tcW w:w="2040" w:type="dxa"/>
            <w:tcMar>
              <w:top w:w="100" w:type="dxa"/>
              <w:left w:w="100" w:type="dxa"/>
              <w:bottom w:w="100" w:type="dxa"/>
              <w:right w:w="100" w:type="dxa"/>
            </w:tcMar>
          </w:tcPr>
          <w:p w14:paraId="0000134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 (%)</w:t>
            </w:r>
          </w:p>
        </w:tc>
        <w:tc>
          <w:tcPr>
            <w:tcW w:w="1350" w:type="dxa"/>
            <w:tcMar>
              <w:top w:w="100" w:type="dxa"/>
              <w:left w:w="100" w:type="dxa"/>
              <w:bottom w:w="100" w:type="dxa"/>
              <w:right w:w="100" w:type="dxa"/>
            </w:tcMar>
          </w:tcPr>
          <w:p w14:paraId="0000134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0.05</w:t>
            </w:r>
          </w:p>
        </w:tc>
        <w:tc>
          <w:tcPr>
            <w:tcW w:w="1755" w:type="dxa"/>
            <w:tcMar>
              <w:top w:w="100" w:type="dxa"/>
              <w:left w:w="100" w:type="dxa"/>
              <w:bottom w:w="100" w:type="dxa"/>
              <w:right w:w="100" w:type="dxa"/>
            </w:tcMar>
          </w:tcPr>
          <w:p w14:paraId="0000134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33.9</w:t>
            </w:r>
          </w:p>
        </w:tc>
        <w:tc>
          <w:tcPr>
            <w:tcW w:w="1376" w:type="dxa"/>
            <w:tcMar>
              <w:top w:w="100" w:type="dxa"/>
              <w:left w:w="100" w:type="dxa"/>
              <w:bottom w:w="100" w:type="dxa"/>
              <w:right w:w="100" w:type="dxa"/>
            </w:tcMar>
          </w:tcPr>
          <w:p w14:paraId="0000134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1559" w:type="dxa"/>
            <w:tcMar>
              <w:top w:w="100" w:type="dxa"/>
              <w:left w:w="100" w:type="dxa"/>
              <w:bottom w:w="100" w:type="dxa"/>
              <w:right w:w="100" w:type="dxa"/>
            </w:tcMar>
          </w:tcPr>
          <w:p w14:paraId="0000134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35.6</w:t>
            </w:r>
          </w:p>
        </w:tc>
        <w:tc>
          <w:tcPr>
            <w:tcW w:w="851" w:type="dxa"/>
            <w:tcMar>
              <w:top w:w="100" w:type="dxa"/>
              <w:left w:w="100" w:type="dxa"/>
              <w:bottom w:w="100" w:type="dxa"/>
              <w:right w:w="100" w:type="dxa"/>
            </w:tcMar>
          </w:tcPr>
          <w:p w14:paraId="0000134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4.7</w:t>
            </w:r>
          </w:p>
        </w:tc>
      </w:tr>
      <w:tr w:rsidR="00CB4215" w14:paraId="55D24860" w14:textId="77777777">
        <w:trPr>
          <w:trHeight w:val="24"/>
        </w:trPr>
        <w:tc>
          <w:tcPr>
            <w:tcW w:w="2040" w:type="dxa"/>
            <w:tcMar>
              <w:top w:w="100" w:type="dxa"/>
              <w:left w:w="100" w:type="dxa"/>
              <w:bottom w:w="100" w:type="dxa"/>
              <w:right w:w="100" w:type="dxa"/>
            </w:tcMar>
          </w:tcPr>
          <w:p w14:paraId="00001347" w14:textId="77777777" w:rsidR="00CB4215" w:rsidRDefault="000530B4">
            <w:pPr>
              <w:widowControl w:val="0"/>
              <w:spacing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Diet Quality Score</w:t>
            </w:r>
            <w:r>
              <w:rPr>
                <w:rFonts w:ascii="Times New Roman" w:eastAsia="Times New Roman" w:hAnsi="Times New Roman" w:cs="Times New Roman"/>
                <w:color w:val="000000"/>
                <w:vertAlign w:val="superscript"/>
              </w:rPr>
              <w:t>3</w:t>
            </w:r>
          </w:p>
        </w:tc>
        <w:tc>
          <w:tcPr>
            <w:tcW w:w="1350" w:type="dxa"/>
            <w:tcMar>
              <w:top w:w="100" w:type="dxa"/>
              <w:left w:w="100" w:type="dxa"/>
              <w:bottom w:w="100" w:type="dxa"/>
              <w:right w:w="100" w:type="dxa"/>
            </w:tcMar>
          </w:tcPr>
          <w:p w14:paraId="0000134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755" w:type="dxa"/>
            <w:tcMar>
              <w:top w:w="100" w:type="dxa"/>
              <w:left w:w="100" w:type="dxa"/>
              <w:bottom w:w="100" w:type="dxa"/>
              <w:right w:w="100" w:type="dxa"/>
            </w:tcMar>
          </w:tcPr>
          <w:p w14:paraId="0000134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1376" w:type="dxa"/>
            <w:tcMar>
              <w:top w:w="100" w:type="dxa"/>
              <w:left w:w="100" w:type="dxa"/>
              <w:bottom w:w="100" w:type="dxa"/>
              <w:right w:w="100" w:type="dxa"/>
            </w:tcMar>
          </w:tcPr>
          <w:p w14:paraId="0000134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559" w:type="dxa"/>
            <w:tcMar>
              <w:top w:w="100" w:type="dxa"/>
              <w:left w:w="100" w:type="dxa"/>
              <w:bottom w:w="100" w:type="dxa"/>
              <w:right w:w="100" w:type="dxa"/>
            </w:tcMar>
          </w:tcPr>
          <w:p w14:paraId="0000134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9.4</w:t>
            </w:r>
          </w:p>
        </w:tc>
        <w:tc>
          <w:tcPr>
            <w:tcW w:w="851" w:type="dxa"/>
            <w:tcMar>
              <w:top w:w="100" w:type="dxa"/>
              <w:left w:w="100" w:type="dxa"/>
              <w:bottom w:w="100" w:type="dxa"/>
              <w:right w:w="100" w:type="dxa"/>
            </w:tcMar>
          </w:tcPr>
          <w:p w14:paraId="0000134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4.6</w:t>
            </w:r>
          </w:p>
        </w:tc>
      </w:tr>
      <w:tr w:rsidR="00CB4215" w14:paraId="7F2F63A9" w14:textId="77777777">
        <w:trPr>
          <w:trHeight w:val="24"/>
        </w:trPr>
        <w:tc>
          <w:tcPr>
            <w:tcW w:w="2040" w:type="dxa"/>
            <w:tcMar>
              <w:top w:w="100" w:type="dxa"/>
              <w:left w:w="100" w:type="dxa"/>
              <w:bottom w:w="100" w:type="dxa"/>
              <w:right w:w="100" w:type="dxa"/>
            </w:tcMar>
          </w:tcPr>
          <w:p w14:paraId="0000134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Sleep efficiency (%)</w:t>
            </w:r>
            <w:r>
              <w:rPr>
                <w:rFonts w:ascii="Times New Roman" w:eastAsia="Times New Roman" w:hAnsi="Times New Roman" w:cs="Times New Roman"/>
                <w:color w:val="000000"/>
                <w:vertAlign w:val="superscript"/>
              </w:rPr>
              <w:t>1</w:t>
            </w:r>
          </w:p>
        </w:tc>
        <w:tc>
          <w:tcPr>
            <w:tcW w:w="1350" w:type="dxa"/>
            <w:tcMar>
              <w:top w:w="100" w:type="dxa"/>
              <w:left w:w="100" w:type="dxa"/>
              <w:bottom w:w="100" w:type="dxa"/>
              <w:right w:w="100" w:type="dxa"/>
            </w:tcMar>
          </w:tcPr>
          <w:p w14:paraId="0000134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0.06</w:t>
            </w:r>
          </w:p>
        </w:tc>
        <w:tc>
          <w:tcPr>
            <w:tcW w:w="1755" w:type="dxa"/>
            <w:tcMar>
              <w:top w:w="100" w:type="dxa"/>
              <w:left w:w="100" w:type="dxa"/>
              <w:bottom w:w="100" w:type="dxa"/>
              <w:right w:w="100" w:type="dxa"/>
            </w:tcMar>
          </w:tcPr>
          <w:p w14:paraId="0000134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91.3</w:t>
            </w:r>
          </w:p>
        </w:tc>
        <w:tc>
          <w:tcPr>
            <w:tcW w:w="1376" w:type="dxa"/>
            <w:tcMar>
              <w:top w:w="100" w:type="dxa"/>
              <w:left w:w="100" w:type="dxa"/>
              <w:bottom w:w="100" w:type="dxa"/>
              <w:right w:w="100" w:type="dxa"/>
            </w:tcMar>
          </w:tcPr>
          <w:p w14:paraId="0000135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559" w:type="dxa"/>
            <w:tcMar>
              <w:top w:w="100" w:type="dxa"/>
              <w:left w:w="100" w:type="dxa"/>
              <w:bottom w:w="100" w:type="dxa"/>
              <w:right w:w="100" w:type="dxa"/>
            </w:tcMar>
          </w:tcPr>
          <w:p w14:paraId="0000135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90.1</w:t>
            </w:r>
          </w:p>
        </w:tc>
        <w:tc>
          <w:tcPr>
            <w:tcW w:w="851" w:type="dxa"/>
            <w:tcMar>
              <w:top w:w="100" w:type="dxa"/>
              <w:left w:w="100" w:type="dxa"/>
              <w:bottom w:w="100" w:type="dxa"/>
              <w:right w:w="100" w:type="dxa"/>
            </w:tcMar>
          </w:tcPr>
          <w:p w14:paraId="0000135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p>
        </w:tc>
      </w:tr>
      <w:tr w:rsidR="00CB4215" w14:paraId="580F53F6" w14:textId="77777777">
        <w:trPr>
          <w:trHeight w:val="24"/>
        </w:trPr>
        <w:tc>
          <w:tcPr>
            <w:tcW w:w="2040" w:type="dxa"/>
            <w:tcMar>
              <w:top w:w="100" w:type="dxa"/>
              <w:left w:w="100" w:type="dxa"/>
              <w:bottom w:w="100" w:type="dxa"/>
              <w:right w:w="100" w:type="dxa"/>
            </w:tcMar>
          </w:tcPr>
          <w:p w14:paraId="0000135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Sleep duration (minutes)</w:t>
            </w:r>
            <w:r>
              <w:rPr>
                <w:rFonts w:ascii="Times New Roman" w:eastAsia="Times New Roman" w:hAnsi="Times New Roman" w:cs="Times New Roman"/>
                <w:color w:val="000000"/>
                <w:vertAlign w:val="superscript"/>
              </w:rPr>
              <w:t>1</w:t>
            </w:r>
          </w:p>
        </w:tc>
        <w:tc>
          <w:tcPr>
            <w:tcW w:w="1350" w:type="dxa"/>
            <w:tcMar>
              <w:top w:w="100" w:type="dxa"/>
              <w:left w:w="100" w:type="dxa"/>
              <w:bottom w:w="100" w:type="dxa"/>
              <w:right w:w="100" w:type="dxa"/>
            </w:tcMar>
          </w:tcPr>
          <w:p w14:paraId="0000135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755" w:type="dxa"/>
            <w:tcMar>
              <w:top w:w="100" w:type="dxa"/>
              <w:left w:w="100" w:type="dxa"/>
              <w:bottom w:w="100" w:type="dxa"/>
              <w:right w:w="100" w:type="dxa"/>
            </w:tcMar>
          </w:tcPr>
          <w:p w14:paraId="0000135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378.4</w:t>
            </w:r>
          </w:p>
        </w:tc>
        <w:tc>
          <w:tcPr>
            <w:tcW w:w="1376" w:type="dxa"/>
            <w:tcMar>
              <w:top w:w="100" w:type="dxa"/>
              <w:left w:w="100" w:type="dxa"/>
              <w:bottom w:w="100" w:type="dxa"/>
              <w:right w:w="100" w:type="dxa"/>
            </w:tcMar>
          </w:tcPr>
          <w:p w14:paraId="0000135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54.9</w:t>
            </w:r>
          </w:p>
        </w:tc>
        <w:tc>
          <w:tcPr>
            <w:tcW w:w="1559" w:type="dxa"/>
            <w:tcMar>
              <w:top w:w="100" w:type="dxa"/>
              <w:left w:w="100" w:type="dxa"/>
              <w:bottom w:w="100" w:type="dxa"/>
              <w:right w:w="100" w:type="dxa"/>
            </w:tcMar>
          </w:tcPr>
          <w:p w14:paraId="0000135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407.4</w:t>
            </w:r>
          </w:p>
        </w:tc>
        <w:tc>
          <w:tcPr>
            <w:tcW w:w="851" w:type="dxa"/>
            <w:tcMar>
              <w:top w:w="100" w:type="dxa"/>
              <w:left w:w="100" w:type="dxa"/>
              <w:bottom w:w="100" w:type="dxa"/>
              <w:right w:w="100" w:type="dxa"/>
            </w:tcMar>
          </w:tcPr>
          <w:p w14:paraId="0000135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69.4 </w:t>
            </w:r>
          </w:p>
        </w:tc>
      </w:tr>
      <w:tr w:rsidR="00CB4215" w14:paraId="5F14F116" w14:textId="77777777">
        <w:trPr>
          <w:trHeight w:val="24"/>
        </w:trPr>
        <w:tc>
          <w:tcPr>
            <w:tcW w:w="2040" w:type="dxa"/>
            <w:tcMar>
              <w:top w:w="100" w:type="dxa"/>
              <w:left w:w="100" w:type="dxa"/>
              <w:bottom w:w="100" w:type="dxa"/>
              <w:right w:w="100" w:type="dxa"/>
            </w:tcMar>
          </w:tcPr>
          <w:p w14:paraId="0000135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Perceived stress</w:t>
            </w:r>
            <w:r>
              <w:rPr>
                <w:rFonts w:ascii="Times New Roman" w:eastAsia="Times New Roman" w:hAnsi="Times New Roman" w:cs="Times New Roman"/>
                <w:color w:val="000000"/>
                <w:vertAlign w:val="superscript"/>
              </w:rPr>
              <w:t xml:space="preserve">4 </w:t>
            </w:r>
          </w:p>
        </w:tc>
        <w:tc>
          <w:tcPr>
            <w:tcW w:w="1350" w:type="dxa"/>
            <w:tcMar>
              <w:top w:w="100" w:type="dxa"/>
              <w:left w:w="100" w:type="dxa"/>
              <w:bottom w:w="100" w:type="dxa"/>
              <w:right w:w="100" w:type="dxa"/>
            </w:tcMar>
          </w:tcPr>
          <w:p w14:paraId="0000135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0.10</w:t>
            </w:r>
          </w:p>
        </w:tc>
        <w:tc>
          <w:tcPr>
            <w:tcW w:w="1755" w:type="dxa"/>
            <w:tcMar>
              <w:top w:w="100" w:type="dxa"/>
              <w:left w:w="100" w:type="dxa"/>
              <w:bottom w:w="100" w:type="dxa"/>
              <w:right w:w="100" w:type="dxa"/>
            </w:tcMar>
          </w:tcPr>
          <w:p w14:paraId="0000135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6.05</w:t>
            </w:r>
          </w:p>
        </w:tc>
        <w:tc>
          <w:tcPr>
            <w:tcW w:w="1376" w:type="dxa"/>
            <w:tcMar>
              <w:top w:w="100" w:type="dxa"/>
              <w:left w:w="100" w:type="dxa"/>
              <w:bottom w:w="100" w:type="dxa"/>
              <w:right w:w="100" w:type="dxa"/>
            </w:tcMar>
          </w:tcPr>
          <w:p w14:paraId="0000135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559" w:type="dxa"/>
            <w:tcMar>
              <w:top w:w="100" w:type="dxa"/>
              <w:left w:w="100" w:type="dxa"/>
              <w:bottom w:w="100" w:type="dxa"/>
              <w:right w:w="100" w:type="dxa"/>
            </w:tcMar>
          </w:tcPr>
          <w:p w14:paraId="0000135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851" w:type="dxa"/>
            <w:tcMar>
              <w:top w:w="100" w:type="dxa"/>
              <w:left w:w="100" w:type="dxa"/>
              <w:bottom w:w="100" w:type="dxa"/>
              <w:right w:w="100" w:type="dxa"/>
            </w:tcMar>
          </w:tcPr>
          <w:p w14:paraId="0000135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2.5 </w:t>
            </w:r>
          </w:p>
        </w:tc>
      </w:tr>
      <w:tr w:rsidR="00CB4215" w14:paraId="4171C856" w14:textId="77777777">
        <w:trPr>
          <w:trHeight w:val="24"/>
        </w:trPr>
        <w:tc>
          <w:tcPr>
            <w:tcW w:w="2040" w:type="dxa"/>
            <w:tcBorders>
              <w:bottom w:val="single" w:sz="4" w:space="0" w:color="000000"/>
            </w:tcBorders>
            <w:tcMar>
              <w:top w:w="100" w:type="dxa"/>
              <w:left w:w="100" w:type="dxa"/>
              <w:bottom w:w="100" w:type="dxa"/>
              <w:right w:w="100" w:type="dxa"/>
            </w:tcMar>
          </w:tcPr>
          <w:p w14:paraId="0000135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Ideal portion size</w:t>
            </w:r>
            <w:r>
              <w:rPr>
                <w:rFonts w:ascii="Times New Roman" w:eastAsia="Times New Roman" w:hAnsi="Times New Roman" w:cs="Times New Roman"/>
                <w:color w:val="000000"/>
                <w:vertAlign w:val="superscript"/>
              </w:rPr>
              <w:t>4 a</w:t>
            </w:r>
          </w:p>
        </w:tc>
        <w:tc>
          <w:tcPr>
            <w:tcW w:w="1350" w:type="dxa"/>
            <w:tcBorders>
              <w:bottom w:val="single" w:sz="4" w:space="0" w:color="000000"/>
            </w:tcBorders>
            <w:tcMar>
              <w:top w:w="100" w:type="dxa"/>
              <w:left w:w="100" w:type="dxa"/>
              <w:bottom w:w="100" w:type="dxa"/>
              <w:right w:w="100" w:type="dxa"/>
            </w:tcMar>
          </w:tcPr>
          <w:p w14:paraId="0000136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 0.04</w:t>
            </w:r>
          </w:p>
        </w:tc>
        <w:tc>
          <w:tcPr>
            <w:tcW w:w="1755" w:type="dxa"/>
            <w:tcBorders>
              <w:bottom w:val="single" w:sz="4" w:space="0" w:color="000000"/>
            </w:tcBorders>
            <w:tcMar>
              <w:top w:w="100" w:type="dxa"/>
              <w:left w:w="100" w:type="dxa"/>
              <w:bottom w:w="100" w:type="dxa"/>
              <w:right w:w="100" w:type="dxa"/>
            </w:tcMar>
          </w:tcPr>
          <w:p w14:paraId="0000136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384.6</w:t>
            </w:r>
          </w:p>
        </w:tc>
        <w:tc>
          <w:tcPr>
            <w:tcW w:w="1376" w:type="dxa"/>
            <w:tcBorders>
              <w:bottom w:val="single" w:sz="4" w:space="0" w:color="000000"/>
            </w:tcBorders>
            <w:tcMar>
              <w:top w:w="100" w:type="dxa"/>
              <w:left w:w="100" w:type="dxa"/>
              <w:bottom w:w="100" w:type="dxa"/>
              <w:right w:w="100" w:type="dxa"/>
            </w:tcMar>
          </w:tcPr>
          <w:p w14:paraId="0000136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388.3</w:t>
            </w:r>
          </w:p>
        </w:tc>
        <w:tc>
          <w:tcPr>
            <w:tcW w:w="1559" w:type="dxa"/>
            <w:tcBorders>
              <w:bottom w:val="single" w:sz="4" w:space="0" w:color="000000"/>
            </w:tcBorders>
            <w:tcMar>
              <w:top w:w="100" w:type="dxa"/>
              <w:left w:w="100" w:type="dxa"/>
              <w:bottom w:w="100" w:type="dxa"/>
              <w:right w:w="100" w:type="dxa"/>
            </w:tcMar>
          </w:tcPr>
          <w:p w14:paraId="0000136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388.2</w:t>
            </w:r>
          </w:p>
        </w:tc>
        <w:tc>
          <w:tcPr>
            <w:tcW w:w="851" w:type="dxa"/>
            <w:tcBorders>
              <w:bottom w:val="single" w:sz="4" w:space="0" w:color="000000"/>
            </w:tcBorders>
            <w:tcMar>
              <w:top w:w="100" w:type="dxa"/>
              <w:left w:w="100" w:type="dxa"/>
              <w:bottom w:w="100" w:type="dxa"/>
              <w:right w:w="100" w:type="dxa"/>
            </w:tcMar>
          </w:tcPr>
          <w:p w14:paraId="0000136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330.9</w:t>
            </w:r>
          </w:p>
        </w:tc>
      </w:tr>
    </w:tbl>
    <w:p w14:paraId="6B24957A" w14:textId="45D72EF6" w:rsidR="0064076D" w:rsidRPr="006C356B" w:rsidRDefault="0064076D" w:rsidP="0064076D">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Note</w:t>
      </w:r>
      <w:r>
        <w:rPr>
          <w:rFonts w:ascii="Times New Roman" w:eastAsia="Times New Roman" w:hAnsi="Times New Roman" w:cs="Times New Roman"/>
          <w:sz w:val="20"/>
          <w:szCs w:val="20"/>
        </w:rPr>
        <w:t xml:space="preserve">: </w:t>
      </w:r>
      <w:r w:rsidRPr="0064076D">
        <w:rPr>
          <w:rFonts w:ascii="Times New Roman" w:eastAsia="Times New Roman" w:hAnsi="Times New Roman" w:cs="Times New Roman"/>
          <w:sz w:val="20"/>
          <w:szCs w:val="20"/>
        </w:rPr>
        <w:t>All comparisons were controlled for age and gender.</w:t>
      </w:r>
      <w:r>
        <w:rPr>
          <w:rFonts w:ascii="Times New Roman" w:eastAsia="Times New Roman" w:hAnsi="Times New Roman" w:cs="Times New Roman"/>
          <w:sz w:val="20"/>
          <w:szCs w:val="20"/>
        </w:rPr>
        <w:t xml:space="preserve"> </w:t>
      </w:r>
    </w:p>
    <w:p w14:paraId="75874B06" w14:textId="77B64835" w:rsidR="0064076D" w:rsidRDefault="0064076D" w:rsidP="0064076D">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are presented as mean, SD or median rank.</w:t>
      </w:r>
    </w:p>
    <w:p w14:paraId="26FD054D" w14:textId="69E84C5D" w:rsidR="0064076D" w:rsidRPr="0064076D" w:rsidRDefault="0064076D" w:rsidP="0064076D">
      <w:pPr>
        <w:spacing w:line="240" w:lineRule="auto"/>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MVPA: average moderate to vigorous physical activity per day, Pro: protein intake per day, CHO: carbohydrate intake per day, Fat: fat intake per day</w:t>
      </w:r>
      <w:r w:rsidR="00FC7B35">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w:t>
      </w:r>
    </w:p>
    <w:p w14:paraId="00001365" w14:textId="77777777"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a</w:t>
      </w:r>
      <w:r>
        <w:rPr>
          <w:rFonts w:ascii="Times New Roman" w:eastAsia="Times New Roman" w:hAnsi="Times New Roman" w:cs="Times New Roman"/>
          <w:color w:val="000000"/>
          <w:sz w:val="20"/>
          <w:szCs w:val="20"/>
        </w:rPr>
        <w:t xml:space="preserve"> Kruskal-Wallis H test</w:t>
      </w:r>
    </w:p>
    <w:p w14:paraId="00001366" w14:textId="72636360"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Low chaotic meal eater (n = 12), High chaotic meal eater (n = 15), 2: Low chaotic meal eater (n = 13), High chaotic meal eater (n = 14)</w:t>
      </w:r>
      <w:r w:rsidR="00FC7B35">
        <w:rPr>
          <w:rFonts w:ascii="Times New Roman" w:eastAsia="Times New Roman" w:hAnsi="Times New Roman" w:cs="Times New Roman"/>
          <w:color w:val="000000"/>
          <w:sz w:val="20"/>
          <w:szCs w:val="20"/>
        </w:rPr>
        <w:t>.</w:t>
      </w:r>
    </w:p>
    <w:p w14:paraId="00001367" w14:textId="0FC67A9B"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Low chaotic meal eater (n = 13), High chaotic meal eater (n = 16), 4: Low chaotic meal eater (n = 12), High chaotic meal eater (n = 16)</w:t>
      </w:r>
      <w:r w:rsidR="00FC7B35">
        <w:rPr>
          <w:rFonts w:ascii="Times New Roman" w:eastAsia="Times New Roman" w:hAnsi="Times New Roman" w:cs="Times New Roman"/>
          <w:color w:val="000000"/>
          <w:sz w:val="20"/>
          <w:szCs w:val="20"/>
        </w:rPr>
        <w:t>.</w:t>
      </w:r>
    </w:p>
    <w:p w14:paraId="510130EF" w14:textId="6D24FCC4" w:rsidR="0064076D" w:rsidRDefault="00FC7B35">
      <w:pPr>
        <w:spacing w:line="240" w:lineRule="auto"/>
        <w:rPr>
          <w:rFonts w:ascii="Times New Roman" w:eastAsia="Times New Roman" w:hAnsi="Times New Roman" w:cs="Times New Roman"/>
          <w:color w:val="000000"/>
          <w:sz w:val="20"/>
          <w:szCs w:val="20"/>
        </w:rPr>
      </w:pPr>
      <w:r w:rsidRPr="0064076D">
        <w:rPr>
          <w:rFonts w:ascii="Times New Roman" w:eastAsia="Times New Roman" w:hAnsi="Times New Roman" w:cs="Times New Roman"/>
          <w:color w:val="000000"/>
          <w:sz w:val="20"/>
          <w:szCs w:val="20"/>
        </w:rPr>
        <w:t>Significant differences are shown in bold.</w:t>
      </w:r>
    </w:p>
    <w:p w14:paraId="0000136C" w14:textId="70D7DD20" w:rsidR="00CB4215" w:rsidRPr="0064076D" w:rsidRDefault="000530B4">
      <w:pPr>
        <w:spacing w:line="240" w:lineRule="auto"/>
        <w:rPr>
          <w:rFonts w:ascii="Times New Roman" w:eastAsia="Times New Roman" w:hAnsi="Times New Roman" w:cs="Times New Roman"/>
          <w:color w:val="000000"/>
          <w:sz w:val="20"/>
          <w:szCs w:val="20"/>
        </w:rPr>
      </w:pPr>
      <w:r w:rsidRPr="0064076D">
        <w:rPr>
          <w:rFonts w:ascii="Times New Roman" w:eastAsia="Times New Roman" w:hAnsi="Times New Roman" w:cs="Times New Roman"/>
          <w:i/>
          <w:iCs/>
          <w:color w:val="000000"/>
          <w:sz w:val="20"/>
          <w:szCs w:val="20"/>
        </w:rPr>
        <w:lastRenderedPageBreak/>
        <w:t>Table S4.</w:t>
      </w:r>
      <w:r w:rsidRPr="0064076D">
        <w:rPr>
          <w:rFonts w:ascii="Times New Roman" w:eastAsia="Times New Roman" w:hAnsi="Times New Roman" w:cs="Times New Roman"/>
          <w:color w:val="000000"/>
          <w:sz w:val="20"/>
          <w:szCs w:val="20"/>
        </w:rPr>
        <w:t xml:space="preserve"> Comparison of eating behaviour traits in low </w:t>
      </w:r>
      <w:r w:rsidR="0064076D">
        <w:rPr>
          <w:rFonts w:ascii="Times New Roman" w:eastAsia="Times New Roman" w:hAnsi="Times New Roman" w:cs="Times New Roman"/>
          <w:color w:val="000000"/>
          <w:sz w:val="20"/>
          <w:szCs w:val="20"/>
        </w:rPr>
        <w:t>and</w:t>
      </w:r>
      <w:r w:rsidRPr="0064076D">
        <w:rPr>
          <w:rFonts w:ascii="Times New Roman" w:eastAsia="Times New Roman" w:hAnsi="Times New Roman" w:cs="Times New Roman"/>
          <w:color w:val="000000"/>
          <w:sz w:val="20"/>
          <w:szCs w:val="20"/>
        </w:rPr>
        <w:t xml:space="preserve"> high chaotic snack eater</w:t>
      </w:r>
    </w:p>
    <w:tbl>
      <w:tblPr>
        <w:tblStyle w:val="aff0"/>
        <w:tblW w:w="8850" w:type="dxa"/>
        <w:tblLayout w:type="fixed"/>
        <w:tblLook w:val="0600" w:firstRow="0" w:lastRow="0" w:firstColumn="0" w:lastColumn="0" w:noHBand="1" w:noVBand="1"/>
      </w:tblPr>
      <w:tblGrid>
        <w:gridCol w:w="2625"/>
        <w:gridCol w:w="1320"/>
        <w:gridCol w:w="1200"/>
        <w:gridCol w:w="1275"/>
        <w:gridCol w:w="1290"/>
        <w:gridCol w:w="1140"/>
      </w:tblGrid>
      <w:tr w:rsidR="00CB4215" w14:paraId="451F61EF" w14:textId="77777777" w:rsidTr="005E542D">
        <w:trPr>
          <w:trHeight w:val="440"/>
        </w:trPr>
        <w:tc>
          <w:tcPr>
            <w:tcW w:w="3945" w:type="dxa"/>
            <w:gridSpan w:val="2"/>
            <w:tcBorders>
              <w:top w:val="single" w:sz="4" w:space="0" w:color="000000"/>
              <w:bottom w:val="single" w:sz="4" w:space="0" w:color="000000"/>
            </w:tcBorders>
            <w:tcMar>
              <w:top w:w="100" w:type="dxa"/>
              <w:left w:w="100" w:type="dxa"/>
              <w:bottom w:w="100" w:type="dxa"/>
              <w:right w:w="100" w:type="dxa"/>
            </w:tcMar>
          </w:tcPr>
          <w:p w14:paraId="0000136D" w14:textId="77777777" w:rsidR="00CB4215" w:rsidRDefault="00CB4215">
            <w:pPr>
              <w:widowControl w:val="0"/>
              <w:spacing w:line="240" w:lineRule="auto"/>
              <w:rPr>
                <w:rFonts w:ascii="Times New Roman" w:eastAsia="Times New Roman" w:hAnsi="Times New Roman" w:cs="Times New Roman"/>
                <w:color w:val="000000"/>
              </w:rPr>
            </w:pPr>
          </w:p>
        </w:tc>
        <w:tc>
          <w:tcPr>
            <w:tcW w:w="2475" w:type="dxa"/>
            <w:gridSpan w:val="2"/>
            <w:tcBorders>
              <w:top w:val="single" w:sz="4" w:space="0" w:color="000000"/>
              <w:bottom w:val="single" w:sz="4" w:space="0" w:color="000000"/>
            </w:tcBorders>
            <w:tcMar>
              <w:top w:w="100" w:type="dxa"/>
              <w:left w:w="100" w:type="dxa"/>
              <w:bottom w:w="100" w:type="dxa"/>
              <w:right w:w="100" w:type="dxa"/>
            </w:tcMar>
          </w:tcPr>
          <w:p w14:paraId="0000136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chaotic snack eater </w:t>
            </w:r>
          </w:p>
          <w:p w14:paraId="0000137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 = 17)</w:t>
            </w:r>
          </w:p>
        </w:tc>
        <w:tc>
          <w:tcPr>
            <w:tcW w:w="2430" w:type="dxa"/>
            <w:gridSpan w:val="2"/>
            <w:tcBorders>
              <w:top w:val="single" w:sz="4" w:space="0" w:color="000000"/>
              <w:bottom w:val="single" w:sz="4" w:space="0" w:color="000000"/>
            </w:tcBorders>
            <w:tcMar>
              <w:top w:w="100" w:type="dxa"/>
              <w:left w:w="100" w:type="dxa"/>
              <w:bottom w:w="100" w:type="dxa"/>
              <w:right w:w="100" w:type="dxa"/>
            </w:tcMar>
          </w:tcPr>
          <w:p w14:paraId="0000137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chaotic snack eater</w:t>
            </w:r>
          </w:p>
          <w:p w14:paraId="0000137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 = 13) </w:t>
            </w:r>
          </w:p>
        </w:tc>
      </w:tr>
      <w:tr w:rsidR="00CB4215" w14:paraId="5FFCEDBB" w14:textId="77777777" w:rsidTr="005E542D">
        <w:trPr>
          <w:trHeight w:val="25"/>
        </w:trPr>
        <w:tc>
          <w:tcPr>
            <w:tcW w:w="2625" w:type="dxa"/>
            <w:tcBorders>
              <w:top w:val="single" w:sz="4" w:space="0" w:color="000000"/>
              <w:bottom w:val="single" w:sz="4" w:space="0" w:color="auto"/>
            </w:tcBorders>
            <w:tcMar>
              <w:top w:w="100" w:type="dxa"/>
              <w:left w:w="100" w:type="dxa"/>
              <w:bottom w:w="100" w:type="dxa"/>
              <w:right w:w="100" w:type="dxa"/>
            </w:tcMar>
          </w:tcPr>
          <w:p w14:paraId="0000137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Dependent variable</w:t>
            </w:r>
          </w:p>
        </w:tc>
        <w:tc>
          <w:tcPr>
            <w:tcW w:w="1320" w:type="dxa"/>
            <w:tcBorders>
              <w:top w:val="single" w:sz="4" w:space="0" w:color="000000"/>
              <w:bottom w:val="single" w:sz="4" w:space="0" w:color="auto"/>
            </w:tcBorders>
            <w:tcMar>
              <w:top w:w="100" w:type="dxa"/>
              <w:left w:w="100" w:type="dxa"/>
              <w:bottom w:w="100" w:type="dxa"/>
              <w:right w:w="100" w:type="dxa"/>
            </w:tcMar>
          </w:tcPr>
          <w:p w14:paraId="0000137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i/>
                <w:color w:val="000000"/>
                <w:highlight w:val="white"/>
              </w:rPr>
              <w:t>η2</w:t>
            </w:r>
          </w:p>
        </w:tc>
        <w:tc>
          <w:tcPr>
            <w:tcW w:w="1200" w:type="dxa"/>
            <w:tcBorders>
              <w:top w:val="single" w:sz="4" w:space="0" w:color="000000"/>
              <w:bottom w:val="single" w:sz="4" w:space="0" w:color="auto"/>
            </w:tcBorders>
            <w:tcMar>
              <w:top w:w="100" w:type="dxa"/>
              <w:left w:w="100" w:type="dxa"/>
              <w:bottom w:w="100" w:type="dxa"/>
              <w:right w:w="100" w:type="dxa"/>
            </w:tcMar>
          </w:tcPr>
          <w:p w14:paraId="0000137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275" w:type="dxa"/>
            <w:tcBorders>
              <w:top w:val="single" w:sz="4" w:space="0" w:color="000000"/>
              <w:bottom w:val="single" w:sz="4" w:space="0" w:color="auto"/>
            </w:tcBorders>
            <w:tcMar>
              <w:top w:w="100" w:type="dxa"/>
              <w:left w:w="100" w:type="dxa"/>
              <w:bottom w:w="100" w:type="dxa"/>
              <w:right w:w="100" w:type="dxa"/>
            </w:tcMar>
          </w:tcPr>
          <w:p w14:paraId="0000137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c>
          <w:tcPr>
            <w:tcW w:w="1290" w:type="dxa"/>
            <w:tcBorders>
              <w:top w:val="single" w:sz="4" w:space="0" w:color="000000"/>
              <w:bottom w:val="single" w:sz="4" w:space="0" w:color="auto"/>
            </w:tcBorders>
            <w:tcMar>
              <w:top w:w="100" w:type="dxa"/>
              <w:left w:w="100" w:type="dxa"/>
              <w:bottom w:w="100" w:type="dxa"/>
              <w:right w:w="100" w:type="dxa"/>
            </w:tcMar>
          </w:tcPr>
          <w:p w14:paraId="0000137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140" w:type="dxa"/>
            <w:tcBorders>
              <w:top w:val="single" w:sz="4" w:space="0" w:color="000000"/>
              <w:bottom w:val="single" w:sz="4" w:space="0" w:color="auto"/>
            </w:tcBorders>
            <w:tcMar>
              <w:top w:w="100" w:type="dxa"/>
              <w:left w:w="100" w:type="dxa"/>
              <w:bottom w:w="100" w:type="dxa"/>
              <w:right w:w="100" w:type="dxa"/>
            </w:tcMar>
          </w:tcPr>
          <w:p w14:paraId="0000137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r>
      <w:tr w:rsidR="00CB4215" w14:paraId="05390BF5" w14:textId="77777777" w:rsidTr="005E542D">
        <w:trPr>
          <w:trHeight w:val="24"/>
        </w:trPr>
        <w:tc>
          <w:tcPr>
            <w:tcW w:w="2625" w:type="dxa"/>
            <w:tcBorders>
              <w:top w:val="single" w:sz="4" w:space="0" w:color="auto"/>
            </w:tcBorders>
            <w:tcMar>
              <w:top w:w="100" w:type="dxa"/>
              <w:left w:w="100" w:type="dxa"/>
              <w:bottom w:w="100" w:type="dxa"/>
              <w:right w:w="100" w:type="dxa"/>
            </w:tcMar>
          </w:tcPr>
          <w:p w14:paraId="0000137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TFEQ-CR</w:t>
            </w:r>
          </w:p>
        </w:tc>
        <w:tc>
          <w:tcPr>
            <w:tcW w:w="1320" w:type="dxa"/>
            <w:tcBorders>
              <w:top w:val="single" w:sz="4" w:space="0" w:color="auto"/>
            </w:tcBorders>
            <w:tcMar>
              <w:top w:w="100" w:type="dxa"/>
              <w:left w:w="100" w:type="dxa"/>
              <w:bottom w:w="100" w:type="dxa"/>
              <w:right w:w="100" w:type="dxa"/>
            </w:tcMar>
          </w:tcPr>
          <w:p w14:paraId="0000137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0.09</w:t>
            </w:r>
          </w:p>
        </w:tc>
        <w:tc>
          <w:tcPr>
            <w:tcW w:w="1200" w:type="dxa"/>
            <w:tcBorders>
              <w:top w:val="single" w:sz="4" w:space="0" w:color="auto"/>
            </w:tcBorders>
            <w:tcMar>
              <w:top w:w="100" w:type="dxa"/>
              <w:left w:w="100" w:type="dxa"/>
              <w:bottom w:w="100" w:type="dxa"/>
              <w:right w:w="100" w:type="dxa"/>
            </w:tcMar>
          </w:tcPr>
          <w:p w14:paraId="0000137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275" w:type="dxa"/>
            <w:tcBorders>
              <w:top w:val="single" w:sz="4" w:space="0" w:color="auto"/>
            </w:tcBorders>
            <w:tcMar>
              <w:top w:w="100" w:type="dxa"/>
              <w:left w:w="100" w:type="dxa"/>
              <w:bottom w:w="100" w:type="dxa"/>
              <w:right w:w="100" w:type="dxa"/>
            </w:tcMar>
          </w:tcPr>
          <w:p w14:paraId="0000137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1290" w:type="dxa"/>
            <w:tcBorders>
              <w:top w:val="single" w:sz="4" w:space="0" w:color="auto"/>
            </w:tcBorders>
            <w:tcMar>
              <w:top w:w="100" w:type="dxa"/>
              <w:left w:w="100" w:type="dxa"/>
              <w:bottom w:w="100" w:type="dxa"/>
              <w:right w:w="100" w:type="dxa"/>
            </w:tcMar>
          </w:tcPr>
          <w:p w14:paraId="0000137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140" w:type="dxa"/>
            <w:tcBorders>
              <w:top w:val="single" w:sz="4" w:space="0" w:color="auto"/>
            </w:tcBorders>
            <w:tcMar>
              <w:top w:w="100" w:type="dxa"/>
              <w:left w:w="100" w:type="dxa"/>
              <w:bottom w:w="100" w:type="dxa"/>
              <w:right w:w="100" w:type="dxa"/>
            </w:tcMar>
          </w:tcPr>
          <w:p w14:paraId="0000138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w:t>
            </w:r>
          </w:p>
        </w:tc>
      </w:tr>
      <w:tr w:rsidR="00CB4215" w14:paraId="788C747E" w14:textId="77777777">
        <w:trPr>
          <w:trHeight w:val="24"/>
        </w:trPr>
        <w:tc>
          <w:tcPr>
            <w:tcW w:w="2625" w:type="dxa"/>
            <w:tcMar>
              <w:top w:w="100" w:type="dxa"/>
              <w:left w:w="100" w:type="dxa"/>
              <w:bottom w:w="100" w:type="dxa"/>
              <w:right w:w="100" w:type="dxa"/>
            </w:tcMar>
          </w:tcPr>
          <w:p w14:paraId="0000138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TFEQ-UE</w:t>
            </w:r>
          </w:p>
        </w:tc>
        <w:tc>
          <w:tcPr>
            <w:tcW w:w="1320" w:type="dxa"/>
            <w:tcMar>
              <w:top w:w="100" w:type="dxa"/>
              <w:left w:w="100" w:type="dxa"/>
              <w:bottom w:w="100" w:type="dxa"/>
              <w:right w:w="100" w:type="dxa"/>
            </w:tcMar>
          </w:tcPr>
          <w:p w14:paraId="0000138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200" w:type="dxa"/>
            <w:tcMar>
              <w:top w:w="100" w:type="dxa"/>
              <w:left w:w="100" w:type="dxa"/>
              <w:bottom w:w="100" w:type="dxa"/>
              <w:right w:w="100" w:type="dxa"/>
            </w:tcMar>
          </w:tcPr>
          <w:p w14:paraId="0000138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275" w:type="dxa"/>
            <w:tcMar>
              <w:top w:w="100" w:type="dxa"/>
              <w:left w:w="100" w:type="dxa"/>
              <w:bottom w:w="100" w:type="dxa"/>
              <w:right w:w="100" w:type="dxa"/>
            </w:tcMar>
          </w:tcPr>
          <w:p w14:paraId="0000138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w:t>
            </w:r>
          </w:p>
        </w:tc>
        <w:tc>
          <w:tcPr>
            <w:tcW w:w="1290" w:type="dxa"/>
            <w:tcMar>
              <w:top w:w="100" w:type="dxa"/>
              <w:left w:w="100" w:type="dxa"/>
              <w:bottom w:w="100" w:type="dxa"/>
              <w:right w:w="100" w:type="dxa"/>
            </w:tcMar>
          </w:tcPr>
          <w:p w14:paraId="0000138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140" w:type="dxa"/>
            <w:tcMar>
              <w:top w:w="100" w:type="dxa"/>
              <w:left w:w="100" w:type="dxa"/>
              <w:bottom w:w="100" w:type="dxa"/>
              <w:right w:w="100" w:type="dxa"/>
            </w:tcMar>
          </w:tcPr>
          <w:p w14:paraId="0000138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w:t>
            </w:r>
          </w:p>
        </w:tc>
      </w:tr>
      <w:tr w:rsidR="00CB4215" w14:paraId="3F5DF258" w14:textId="77777777">
        <w:trPr>
          <w:trHeight w:val="24"/>
        </w:trPr>
        <w:tc>
          <w:tcPr>
            <w:tcW w:w="2625" w:type="dxa"/>
            <w:tcMar>
              <w:top w:w="100" w:type="dxa"/>
              <w:left w:w="100" w:type="dxa"/>
              <w:bottom w:w="100" w:type="dxa"/>
              <w:right w:w="100" w:type="dxa"/>
            </w:tcMar>
          </w:tcPr>
          <w:p w14:paraId="0000138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TFEQ-EE</w:t>
            </w:r>
          </w:p>
        </w:tc>
        <w:tc>
          <w:tcPr>
            <w:tcW w:w="1320" w:type="dxa"/>
            <w:tcMar>
              <w:top w:w="100" w:type="dxa"/>
              <w:left w:w="100" w:type="dxa"/>
              <w:bottom w:w="100" w:type="dxa"/>
              <w:right w:w="100" w:type="dxa"/>
            </w:tcMar>
          </w:tcPr>
          <w:p w14:paraId="0000138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200" w:type="dxa"/>
            <w:tcMar>
              <w:top w:w="100" w:type="dxa"/>
              <w:left w:w="100" w:type="dxa"/>
              <w:bottom w:w="100" w:type="dxa"/>
              <w:right w:w="100" w:type="dxa"/>
            </w:tcMar>
          </w:tcPr>
          <w:p w14:paraId="0000138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275" w:type="dxa"/>
            <w:tcMar>
              <w:top w:w="100" w:type="dxa"/>
              <w:left w:w="100" w:type="dxa"/>
              <w:bottom w:w="100" w:type="dxa"/>
              <w:right w:w="100" w:type="dxa"/>
            </w:tcMar>
          </w:tcPr>
          <w:p w14:paraId="0000138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1290" w:type="dxa"/>
            <w:tcMar>
              <w:top w:w="100" w:type="dxa"/>
              <w:left w:w="100" w:type="dxa"/>
              <w:bottom w:w="100" w:type="dxa"/>
              <w:right w:w="100" w:type="dxa"/>
            </w:tcMar>
          </w:tcPr>
          <w:p w14:paraId="0000138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140" w:type="dxa"/>
            <w:tcMar>
              <w:top w:w="100" w:type="dxa"/>
              <w:left w:w="100" w:type="dxa"/>
              <w:bottom w:w="100" w:type="dxa"/>
              <w:right w:w="100" w:type="dxa"/>
            </w:tcMar>
          </w:tcPr>
          <w:p w14:paraId="0000138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w:t>
            </w:r>
          </w:p>
        </w:tc>
      </w:tr>
      <w:tr w:rsidR="00CB4215" w14:paraId="1226FB74" w14:textId="77777777">
        <w:trPr>
          <w:trHeight w:val="24"/>
        </w:trPr>
        <w:tc>
          <w:tcPr>
            <w:tcW w:w="2625" w:type="dxa"/>
            <w:tcMar>
              <w:top w:w="100" w:type="dxa"/>
              <w:left w:w="100" w:type="dxa"/>
              <w:bottom w:w="100" w:type="dxa"/>
              <w:right w:w="100" w:type="dxa"/>
            </w:tcMar>
          </w:tcPr>
          <w:p w14:paraId="0000138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AEBQ-FR</w:t>
            </w:r>
          </w:p>
        </w:tc>
        <w:tc>
          <w:tcPr>
            <w:tcW w:w="1320" w:type="dxa"/>
            <w:tcMar>
              <w:top w:w="100" w:type="dxa"/>
              <w:left w:w="100" w:type="dxa"/>
              <w:bottom w:w="100" w:type="dxa"/>
              <w:right w:w="100" w:type="dxa"/>
            </w:tcMar>
          </w:tcPr>
          <w:p w14:paraId="0000138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200" w:type="dxa"/>
            <w:tcMar>
              <w:top w:w="100" w:type="dxa"/>
              <w:left w:w="100" w:type="dxa"/>
              <w:bottom w:w="100" w:type="dxa"/>
              <w:right w:w="100" w:type="dxa"/>
            </w:tcMar>
          </w:tcPr>
          <w:p w14:paraId="0000138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3.7</w:t>
            </w:r>
          </w:p>
        </w:tc>
        <w:tc>
          <w:tcPr>
            <w:tcW w:w="1275" w:type="dxa"/>
            <w:tcMar>
              <w:top w:w="100" w:type="dxa"/>
              <w:left w:w="100" w:type="dxa"/>
              <w:bottom w:w="100" w:type="dxa"/>
              <w:right w:w="100" w:type="dxa"/>
            </w:tcMar>
          </w:tcPr>
          <w:p w14:paraId="0000139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w:t>
            </w:r>
          </w:p>
        </w:tc>
        <w:tc>
          <w:tcPr>
            <w:tcW w:w="1290" w:type="dxa"/>
            <w:tcMar>
              <w:top w:w="100" w:type="dxa"/>
              <w:left w:w="100" w:type="dxa"/>
              <w:bottom w:w="100" w:type="dxa"/>
              <w:right w:w="100" w:type="dxa"/>
            </w:tcMar>
          </w:tcPr>
          <w:p w14:paraId="0000139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1140" w:type="dxa"/>
            <w:tcMar>
              <w:top w:w="100" w:type="dxa"/>
              <w:left w:w="100" w:type="dxa"/>
              <w:bottom w:w="100" w:type="dxa"/>
              <w:right w:w="100" w:type="dxa"/>
            </w:tcMar>
          </w:tcPr>
          <w:p w14:paraId="0000139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w:t>
            </w:r>
          </w:p>
        </w:tc>
      </w:tr>
      <w:tr w:rsidR="00CB4215" w14:paraId="7C8950AD" w14:textId="77777777">
        <w:trPr>
          <w:trHeight w:val="24"/>
        </w:trPr>
        <w:tc>
          <w:tcPr>
            <w:tcW w:w="2625" w:type="dxa"/>
            <w:tcMar>
              <w:top w:w="100" w:type="dxa"/>
              <w:left w:w="100" w:type="dxa"/>
              <w:bottom w:w="100" w:type="dxa"/>
              <w:right w:w="100" w:type="dxa"/>
            </w:tcMar>
          </w:tcPr>
          <w:p w14:paraId="0000139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AEBQ-EOE</w:t>
            </w:r>
          </w:p>
        </w:tc>
        <w:tc>
          <w:tcPr>
            <w:tcW w:w="1320" w:type="dxa"/>
            <w:tcMar>
              <w:top w:w="100" w:type="dxa"/>
              <w:left w:w="100" w:type="dxa"/>
              <w:bottom w:w="100" w:type="dxa"/>
              <w:right w:w="100" w:type="dxa"/>
            </w:tcMar>
          </w:tcPr>
          <w:p w14:paraId="0000139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=0.10</w:t>
            </w:r>
            <w:r>
              <w:rPr>
                <w:rFonts w:ascii="Times New Roman" w:eastAsia="Times New Roman" w:hAnsi="Times New Roman" w:cs="Times New Roman"/>
                <w:color w:val="000000"/>
                <w:vertAlign w:val="superscript"/>
              </w:rPr>
              <w:t>a</w:t>
            </w:r>
          </w:p>
        </w:tc>
        <w:tc>
          <w:tcPr>
            <w:tcW w:w="1200" w:type="dxa"/>
            <w:tcMar>
              <w:top w:w="100" w:type="dxa"/>
              <w:left w:w="100" w:type="dxa"/>
              <w:bottom w:w="100" w:type="dxa"/>
              <w:right w:w="100" w:type="dxa"/>
            </w:tcMar>
          </w:tcPr>
          <w:p w14:paraId="0000139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1275" w:type="dxa"/>
            <w:tcMar>
              <w:top w:w="100" w:type="dxa"/>
              <w:left w:w="100" w:type="dxa"/>
              <w:bottom w:w="100" w:type="dxa"/>
              <w:right w:w="100" w:type="dxa"/>
            </w:tcMar>
          </w:tcPr>
          <w:p w14:paraId="0000139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0.9</w:t>
            </w:r>
          </w:p>
        </w:tc>
        <w:tc>
          <w:tcPr>
            <w:tcW w:w="1290" w:type="dxa"/>
            <w:tcMar>
              <w:top w:w="100" w:type="dxa"/>
              <w:left w:w="100" w:type="dxa"/>
              <w:bottom w:w="100" w:type="dxa"/>
              <w:right w:w="100" w:type="dxa"/>
            </w:tcMar>
          </w:tcPr>
          <w:p w14:paraId="0000139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140" w:type="dxa"/>
            <w:tcMar>
              <w:top w:w="100" w:type="dxa"/>
              <w:left w:w="100" w:type="dxa"/>
              <w:bottom w:w="100" w:type="dxa"/>
              <w:right w:w="100" w:type="dxa"/>
            </w:tcMar>
          </w:tcPr>
          <w:p w14:paraId="0000139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0.9</w:t>
            </w:r>
          </w:p>
        </w:tc>
      </w:tr>
      <w:tr w:rsidR="00CB4215" w14:paraId="3AE8FE40" w14:textId="77777777">
        <w:trPr>
          <w:trHeight w:val="24"/>
        </w:trPr>
        <w:tc>
          <w:tcPr>
            <w:tcW w:w="2625" w:type="dxa"/>
            <w:tcMar>
              <w:top w:w="100" w:type="dxa"/>
              <w:left w:w="100" w:type="dxa"/>
              <w:bottom w:w="100" w:type="dxa"/>
              <w:right w:w="100" w:type="dxa"/>
            </w:tcMar>
          </w:tcPr>
          <w:p w14:paraId="0000139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AEBQ-EUE</w:t>
            </w:r>
          </w:p>
        </w:tc>
        <w:tc>
          <w:tcPr>
            <w:tcW w:w="1320" w:type="dxa"/>
            <w:tcMar>
              <w:top w:w="100" w:type="dxa"/>
              <w:left w:w="100" w:type="dxa"/>
              <w:bottom w:w="100" w:type="dxa"/>
              <w:right w:w="100" w:type="dxa"/>
            </w:tcMar>
          </w:tcPr>
          <w:p w14:paraId="0000139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200" w:type="dxa"/>
            <w:tcMar>
              <w:top w:w="100" w:type="dxa"/>
              <w:left w:w="100" w:type="dxa"/>
              <w:bottom w:w="100" w:type="dxa"/>
              <w:right w:w="100" w:type="dxa"/>
            </w:tcMar>
          </w:tcPr>
          <w:p w14:paraId="0000139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275" w:type="dxa"/>
            <w:tcMar>
              <w:top w:w="100" w:type="dxa"/>
              <w:left w:w="100" w:type="dxa"/>
              <w:bottom w:w="100" w:type="dxa"/>
              <w:right w:w="100" w:type="dxa"/>
            </w:tcMar>
          </w:tcPr>
          <w:p w14:paraId="0000139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w:t>
            </w:r>
          </w:p>
        </w:tc>
        <w:tc>
          <w:tcPr>
            <w:tcW w:w="1290" w:type="dxa"/>
            <w:tcMar>
              <w:top w:w="100" w:type="dxa"/>
              <w:left w:w="100" w:type="dxa"/>
              <w:bottom w:w="100" w:type="dxa"/>
              <w:right w:w="100" w:type="dxa"/>
            </w:tcMar>
          </w:tcPr>
          <w:p w14:paraId="0000139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140" w:type="dxa"/>
            <w:tcMar>
              <w:top w:w="100" w:type="dxa"/>
              <w:left w:w="100" w:type="dxa"/>
              <w:bottom w:w="100" w:type="dxa"/>
              <w:right w:w="100" w:type="dxa"/>
            </w:tcMar>
          </w:tcPr>
          <w:p w14:paraId="0000139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r w:rsidR="00CB4215" w14:paraId="176EAB67" w14:textId="77777777">
        <w:trPr>
          <w:trHeight w:val="24"/>
        </w:trPr>
        <w:tc>
          <w:tcPr>
            <w:tcW w:w="2625" w:type="dxa"/>
            <w:tcMar>
              <w:top w:w="100" w:type="dxa"/>
              <w:left w:w="100" w:type="dxa"/>
              <w:bottom w:w="100" w:type="dxa"/>
              <w:right w:w="100" w:type="dxa"/>
            </w:tcMar>
          </w:tcPr>
          <w:p w14:paraId="0000139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AEBQ-EF</w:t>
            </w:r>
          </w:p>
        </w:tc>
        <w:tc>
          <w:tcPr>
            <w:tcW w:w="1320" w:type="dxa"/>
            <w:tcMar>
              <w:top w:w="100" w:type="dxa"/>
              <w:left w:w="100" w:type="dxa"/>
              <w:bottom w:w="100" w:type="dxa"/>
              <w:right w:w="100" w:type="dxa"/>
            </w:tcMar>
          </w:tcPr>
          <w:p w14:paraId="000013A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=0.11</w:t>
            </w:r>
            <w:r>
              <w:rPr>
                <w:rFonts w:ascii="Times New Roman" w:eastAsia="Times New Roman" w:hAnsi="Times New Roman" w:cs="Times New Roman"/>
                <w:color w:val="000000"/>
                <w:vertAlign w:val="superscript"/>
              </w:rPr>
              <w:t>a</w:t>
            </w:r>
          </w:p>
        </w:tc>
        <w:tc>
          <w:tcPr>
            <w:tcW w:w="1200" w:type="dxa"/>
            <w:tcMar>
              <w:top w:w="100" w:type="dxa"/>
              <w:left w:w="100" w:type="dxa"/>
              <w:bottom w:w="100" w:type="dxa"/>
              <w:right w:w="100" w:type="dxa"/>
            </w:tcMar>
          </w:tcPr>
          <w:p w14:paraId="000013A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275" w:type="dxa"/>
            <w:tcMar>
              <w:top w:w="100" w:type="dxa"/>
              <w:left w:w="100" w:type="dxa"/>
              <w:bottom w:w="100" w:type="dxa"/>
              <w:right w:w="100" w:type="dxa"/>
            </w:tcMar>
          </w:tcPr>
          <w:p w14:paraId="000013A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w:t>
            </w:r>
          </w:p>
        </w:tc>
        <w:tc>
          <w:tcPr>
            <w:tcW w:w="1290" w:type="dxa"/>
            <w:tcMar>
              <w:top w:w="100" w:type="dxa"/>
              <w:left w:w="100" w:type="dxa"/>
              <w:bottom w:w="100" w:type="dxa"/>
              <w:right w:w="100" w:type="dxa"/>
            </w:tcMar>
          </w:tcPr>
          <w:p w14:paraId="000013A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140" w:type="dxa"/>
            <w:tcMar>
              <w:top w:w="100" w:type="dxa"/>
              <w:left w:w="100" w:type="dxa"/>
              <w:bottom w:w="100" w:type="dxa"/>
              <w:right w:w="100" w:type="dxa"/>
            </w:tcMar>
          </w:tcPr>
          <w:p w14:paraId="000013A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w:t>
            </w:r>
          </w:p>
        </w:tc>
      </w:tr>
      <w:tr w:rsidR="00CB4215" w14:paraId="0BB25335" w14:textId="77777777">
        <w:trPr>
          <w:trHeight w:val="24"/>
        </w:trPr>
        <w:tc>
          <w:tcPr>
            <w:tcW w:w="2625" w:type="dxa"/>
            <w:tcMar>
              <w:top w:w="100" w:type="dxa"/>
              <w:left w:w="100" w:type="dxa"/>
              <w:bottom w:w="100" w:type="dxa"/>
              <w:right w:w="100" w:type="dxa"/>
            </w:tcMar>
          </w:tcPr>
          <w:p w14:paraId="000013A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AEBQ-SR</w:t>
            </w:r>
          </w:p>
        </w:tc>
        <w:tc>
          <w:tcPr>
            <w:tcW w:w="1320" w:type="dxa"/>
            <w:tcMar>
              <w:top w:w="100" w:type="dxa"/>
              <w:left w:w="100" w:type="dxa"/>
              <w:bottom w:w="100" w:type="dxa"/>
              <w:right w:w="100" w:type="dxa"/>
            </w:tcMar>
          </w:tcPr>
          <w:p w14:paraId="000013A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1200" w:type="dxa"/>
            <w:tcMar>
              <w:top w:w="100" w:type="dxa"/>
              <w:left w:w="100" w:type="dxa"/>
              <w:bottom w:w="100" w:type="dxa"/>
              <w:right w:w="100" w:type="dxa"/>
            </w:tcMar>
          </w:tcPr>
          <w:p w14:paraId="000013A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275" w:type="dxa"/>
            <w:tcMar>
              <w:top w:w="100" w:type="dxa"/>
              <w:left w:w="100" w:type="dxa"/>
              <w:bottom w:w="100" w:type="dxa"/>
              <w:right w:w="100" w:type="dxa"/>
            </w:tcMar>
          </w:tcPr>
          <w:p w14:paraId="000013A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w:t>
            </w:r>
          </w:p>
        </w:tc>
        <w:tc>
          <w:tcPr>
            <w:tcW w:w="1290" w:type="dxa"/>
            <w:tcMar>
              <w:top w:w="100" w:type="dxa"/>
              <w:left w:w="100" w:type="dxa"/>
              <w:bottom w:w="100" w:type="dxa"/>
              <w:right w:w="100" w:type="dxa"/>
            </w:tcMar>
          </w:tcPr>
          <w:p w14:paraId="000013A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140" w:type="dxa"/>
            <w:tcMar>
              <w:top w:w="100" w:type="dxa"/>
              <w:left w:w="100" w:type="dxa"/>
              <w:bottom w:w="100" w:type="dxa"/>
              <w:right w:w="100" w:type="dxa"/>
            </w:tcMar>
          </w:tcPr>
          <w:p w14:paraId="000013A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w:t>
            </w:r>
          </w:p>
        </w:tc>
      </w:tr>
      <w:tr w:rsidR="00CB4215" w14:paraId="532EC1FD" w14:textId="77777777">
        <w:trPr>
          <w:trHeight w:val="24"/>
        </w:trPr>
        <w:tc>
          <w:tcPr>
            <w:tcW w:w="2625" w:type="dxa"/>
            <w:tcMar>
              <w:top w:w="100" w:type="dxa"/>
              <w:left w:w="100" w:type="dxa"/>
              <w:bottom w:w="100" w:type="dxa"/>
              <w:right w:w="100" w:type="dxa"/>
            </w:tcMar>
          </w:tcPr>
          <w:p w14:paraId="000013A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AEBQ-SE</w:t>
            </w:r>
          </w:p>
        </w:tc>
        <w:tc>
          <w:tcPr>
            <w:tcW w:w="1320" w:type="dxa"/>
            <w:tcMar>
              <w:top w:w="100" w:type="dxa"/>
              <w:left w:w="100" w:type="dxa"/>
              <w:bottom w:w="100" w:type="dxa"/>
              <w:right w:w="100" w:type="dxa"/>
            </w:tcMar>
          </w:tcPr>
          <w:p w14:paraId="000013A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=0.21</w:t>
            </w:r>
            <w:r>
              <w:rPr>
                <w:rFonts w:ascii="Times New Roman" w:eastAsia="Times New Roman" w:hAnsi="Times New Roman" w:cs="Times New Roman"/>
                <w:color w:val="000000"/>
                <w:vertAlign w:val="superscript"/>
              </w:rPr>
              <w:t>a</w:t>
            </w:r>
          </w:p>
        </w:tc>
        <w:tc>
          <w:tcPr>
            <w:tcW w:w="1200" w:type="dxa"/>
            <w:tcMar>
              <w:top w:w="100" w:type="dxa"/>
              <w:left w:w="100" w:type="dxa"/>
              <w:bottom w:w="100" w:type="dxa"/>
              <w:right w:w="100" w:type="dxa"/>
            </w:tcMar>
          </w:tcPr>
          <w:p w14:paraId="000013A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275" w:type="dxa"/>
            <w:tcMar>
              <w:top w:w="100" w:type="dxa"/>
              <w:left w:w="100" w:type="dxa"/>
              <w:bottom w:w="100" w:type="dxa"/>
              <w:right w:w="100" w:type="dxa"/>
            </w:tcMar>
          </w:tcPr>
          <w:p w14:paraId="000013A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90" w:type="dxa"/>
            <w:tcMar>
              <w:top w:w="100" w:type="dxa"/>
              <w:left w:w="100" w:type="dxa"/>
              <w:bottom w:w="100" w:type="dxa"/>
              <w:right w:w="100" w:type="dxa"/>
            </w:tcMar>
          </w:tcPr>
          <w:p w14:paraId="000013A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140" w:type="dxa"/>
            <w:tcMar>
              <w:top w:w="100" w:type="dxa"/>
              <w:left w:w="100" w:type="dxa"/>
              <w:bottom w:w="100" w:type="dxa"/>
              <w:right w:w="100" w:type="dxa"/>
            </w:tcMar>
          </w:tcPr>
          <w:p w14:paraId="000013B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w:t>
            </w:r>
          </w:p>
        </w:tc>
      </w:tr>
      <w:tr w:rsidR="00CB4215" w14:paraId="43D4E76B" w14:textId="77777777">
        <w:trPr>
          <w:trHeight w:val="24"/>
        </w:trPr>
        <w:tc>
          <w:tcPr>
            <w:tcW w:w="2625" w:type="dxa"/>
            <w:tcBorders>
              <w:bottom w:val="single" w:sz="4" w:space="0" w:color="000000"/>
            </w:tcBorders>
            <w:tcMar>
              <w:top w:w="100" w:type="dxa"/>
              <w:left w:w="100" w:type="dxa"/>
              <w:bottom w:w="100" w:type="dxa"/>
              <w:right w:w="100" w:type="dxa"/>
            </w:tcMar>
          </w:tcPr>
          <w:p w14:paraId="000013B1" w14:textId="6E5D8AA5"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1C6F50">
              <w:rPr>
                <w:rFonts w:ascii="Times New Roman" w:eastAsia="Times New Roman" w:hAnsi="Times New Roman" w:cs="Times New Roman"/>
                <w:color w:val="000000"/>
              </w:rPr>
              <w:t>O</w:t>
            </w:r>
            <w:r>
              <w:rPr>
                <w:rFonts w:ascii="Times New Roman" w:eastAsia="Times New Roman" w:hAnsi="Times New Roman" w:cs="Times New Roman"/>
                <w:color w:val="000000"/>
              </w:rPr>
              <w:t>EQ-CC</w:t>
            </w:r>
          </w:p>
        </w:tc>
        <w:tc>
          <w:tcPr>
            <w:tcW w:w="1320" w:type="dxa"/>
            <w:tcBorders>
              <w:bottom w:val="single" w:sz="4" w:space="0" w:color="000000"/>
            </w:tcBorders>
            <w:tcMar>
              <w:top w:w="100" w:type="dxa"/>
              <w:left w:w="100" w:type="dxa"/>
              <w:bottom w:w="100" w:type="dxa"/>
              <w:right w:w="100" w:type="dxa"/>
            </w:tcMar>
          </w:tcPr>
          <w:p w14:paraId="000013B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0.10</w:t>
            </w:r>
          </w:p>
        </w:tc>
        <w:tc>
          <w:tcPr>
            <w:tcW w:w="1200" w:type="dxa"/>
            <w:tcBorders>
              <w:bottom w:val="single" w:sz="4" w:space="0" w:color="000000"/>
            </w:tcBorders>
            <w:tcMar>
              <w:top w:w="100" w:type="dxa"/>
              <w:left w:w="100" w:type="dxa"/>
              <w:bottom w:w="100" w:type="dxa"/>
              <w:right w:w="100" w:type="dxa"/>
            </w:tcMar>
          </w:tcPr>
          <w:p w14:paraId="000013B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34.1</w:t>
            </w:r>
          </w:p>
        </w:tc>
        <w:tc>
          <w:tcPr>
            <w:tcW w:w="1275" w:type="dxa"/>
            <w:tcBorders>
              <w:bottom w:val="single" w:sz="4" w:space="0" w:color="000000"/>
            </w:tcBorders>
            <w:tcMar>
              <w:top w:w="100" w:type="dxa"/>
              <w:left w:w="100" w:type="dxa"/>
              <w:bottom w:w="100" w:type="dxa"/>
              <w:right w:w="100" w:type="dxa"/>
            </w:tcMar>
          </w:tcPr>
          <w:p w14:paraId="000013B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18.1</w:t>
            </w:r>
          </w:p>
        </w:tc>
        <w:tc>
          <w:tcPr>
            <w:tcW w:w="1290" w:type="dxa"/>
            <w:tcBorders>
              <w:bottom w:val="single" w:sz="4" w:space="0" w:color="000000"/>
            </w:tcBorders>
            <w:tcMar>
              <w:top w:w="100" w:type="dxa"/>
              <w:left w:w="100" w:type="dxa"/>
              <w:bottom w:w="100" w:type="dxa"/>
              <w:right w:w="100" w:type="dxa"/>
            </w:tcMar>
          </w:tcPr>
          <w:p w14:paraId="000013B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28.2</w:t>
            </w:r>
          </w:p>
        </w:tc>
        <w:tc>
          <w:tcPr>
            <w:tcW w:w="1140" w:type="dxa"/>
            <w:tcBorders>
              <w:bottom w:val="single" w:sz="4" w:space="0" w:color="000000"/>
            </w:tcBorders>
            <w:tcMar>
              <w:top w:w="100" w:type="dxa"/>
              <w:left w:w="100" w:type="dxa"/>
              <w:bottom w:w="100" w:type="dxa"/>
              <w:right w:w="100" w:type="dxa"/>
            </w:tcMar>
          </w:tcPr>
          <w:p w14:paraId="000013B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16.7</w:t>
            </w:r>
          </w:p>
        </w:tc>
      </w:tr>
    </w:tbl>
    <w:p w14:paraId="24227BAD" w14:textId="77777777" w:rsidR="0064076D" w:rsidRPr="006C356B" w:rsidRDefault="0064076D" w:rsidP="0064076D">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Note</w:t>
      </w:r>
      <w:r>
        <w:rPr>
          <w:rFonts w:ascii="Times New Roman" w:eastAsia="Times New Roman" w:hAnsi="Times New Roman" w:cs="Times New Roman"/>
          <w:sz w:val="20"/>
          <w:szCs w:val="20"/>
        </w:rPr>
        <w:t xml:space="preserve">: </w:t>
      </w:r>
      <w:r w:rsidRPr="0064076D">
        <w:rPr>
          <w:rFonts w:ascii="Times New Roman" w:eastAsia="Times New Roman" w:hAnsi="Times New Roman" w:cs="Times New Roman"/>
          <w:sz w:val="20"/>
          <w:szCs w:val="20"/>
        </w:rPr>
        <w:t>All comparisons were controlled for age and gender.</w:t>
      </w:r>
      <w:r>
        <w:rPr>
          <w:rFonts w:ascii="Times New Roman" w:eastAsia="Times New Roman" w:hAnsi="Times New Roman" w:cs="Times New Roman"/>
          <w:sz w:val="20"/>
          <w:szCs w:val="20"/>
        </w:rPr>
        <w:t xml:space="preserve"> </w:t>
      </w:r>
    </w:p>
    <w:p w14:paraId="6AEFEE49" w14:textId="38848268" w:rsidR="0064076D" w:rsidRPr="0064076D" w:rsidRDefault="0064076D">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are presented as mean, SD or median rank.</w:t>
      </w:r>
    </w:p>
    <w:p w14:paraId="000013B9" w14:textId="675500C3" w:rsidR="00CB4215" w:rsidRDefault="000530B4">
      <w:pPr>
        <w:widowControl w:val="0"/>
        <w:spacing w:line="240" w:lineRule="auto"/>
        <w:rPr>
          <w:rFonts w:ascii="Times New Roman" w:eastAsia="Times New Roman" w:hAnsi="Times New Roman" w:cs="Times New Roman"/>
          <w:color w:val="000000"/>
          <w:sz w:val="20"/>
          <w:szCs w:val="20"/>
          <w:highlight w:val="white"/>
        </w:rPr>
      </w:pPr>
      <w:r w:rsidRPr="0064076D">
        <w:rPr>
          <w:rFonts w:ascii="Times New Roman" w:eastAsia="Times New Roman" w:hAnsi="Times New Roman" w:cs="Times New Roman"/>
          <w:color w:val="000000"/>
          <w:sz w:val="20"/>
          <w:szCs w:val="20"/>
          <w:highlight w:val="white"/>
        </w:rPr>
        <w:t>CR: cognitive restraint, UE: uncontrolled eating, EE: emotional eating, FR: food responsiveness, EOE: emotional overeating, EUE: emotional under-eating, EF: enjoy of food, SR: satiety responsiveness, SE: slowness of eating, CC: craving control.</w:t>
      </w:r>
    </w:p>
    <w:p w14:paraId="430B238A" w14:textId="20FFDAC7" w:rsidR="00FC7B35" w:rsidRPr="00FC7B35" w:rsidRDefault="00FC7B35" w:rsidP="00FC7B35">
      <w:pPr>
        <w:spacing w:line="240" w:lineRule="auto"/>
        <w:rPr>
          <w:rFonts w:ascii="Times New Roman" w:eastAsia="Times New Roman" w:hAnsi="Times New Roman" w:cs="Times New Roman"/>
          <w:color w:val="000000"/>
          <w:sz w:val="20"/>
          <w:szCs w:val="20"/>
        </w:rPr>
      </w:pPr>
      <w:r w:rsidRPr="0064076D">
        <w:rPr>
          <w:rFonts w:ascii="Times New Roman" w:eastAsia="Times New Roman" w:hAnsi="Times New Roman" w:cs="Times New Roman"/>
          <w:color w:val="000000"/>
          <w:sz w:val="20"/>
          <w:szCs w:val="20"/>
          <w:vertAlign w:val="superscript"/>
        </w:rPr>
        <w:t>a</w:t>
      </w:r>
      <w:r w:rsidRPr="0064076D">
        <w:rPr>
          <w:rFonts w:ascii="Times New Roman" w:eastAsia="Times New Roman" w:hAnsi="Times New Roman" w:cs="Times New Roman"/>
          <w:color w:val="000000"/>
          <w:sz w:val="20"/>
          <w:szCs w:val="20"/>
        </w:rPr>
        <w:t xml:space="preserve"> Kruskal-Wallis H test</w:t>
      </w:r>
    </w:p>
    <w:p w14:paraId="000013BA" w14:textId="77777777" w:rsidR="00CB4215" w:rsidRPr="0064076D" w:rsidRDefault="000530B4">
      <w:pPr>
        <w:spacing w:line="240" w:lineRule="auto"/>
        <w:rPr>
          <w:rFonts w:ascii="Times New Roman" w:eastAsia="Times New Roman" w:hAnsi="Times New Roman" w:cs="Times New Roman"/>
          <w:color w:val="000000"/>
          <w:sz w:val="20"/>
          <w:szCs w:val="20"/>
        </w:rPr>
      </w:pPr>
      <w:r w:rsidRPr="0064076D">
        <w:rPr>
          <w:rFonts w:ascii="Times New Roman" w:eastAsia="Times New Roman" w:hAnsi="Times New Roman" w:cs="Times New Roman"/>
          <w:color w:val="000000"/>
          <w:sz w:val="20"/>
          <w:szCs w:val="20"/>
        </w:rPr>
        <w:t>Significant differences are shown in bold.</w:t>
      </w:r>
    </w:p>
    <w:p w14:paraId="000013BB" w14:textId="77777777" w:rsidR="00CB4215" w:rsidRDefault="00CB4215">
      <w:pPr>
        <w:spacing w:line="240" w:lineRule="auto"/>
        <w:rPr>
          <w:rFonts w:ascii="Times New Roman" w:eastAsia="Times New Roman" w:hAnsi="Times New Roman" w:cs="Times New Roman"/>
          <w:color w:val="000000"/>
          <w:sz w:val="24"/>
          <w:szCs w:val="24"/>
        </w:rPr>
      </w:pPr>
    </w:p>
    <w:p w14:paraId="000013BC" w14:textId="77777777" w:rsidR="00CB4215" w:rsidRDefault="00CB4215">
      <w:pPr>
        <w:spacing w:line="240" w:lineRule="auto"/>
        <w:rPr>
          <w:rFonts w:ascii="Times New Roman" w:eastAsia="Times New Roman" w:hAnsi="Times New Roman" w:cs="Times New Roman"/>
          <w:color w:val="000000"/>
          <w:sz w:val="24"/>
          <w:szCs w:val="24"/>
        </w:rPr>
      </w:pPr>
    </w:p>
    <w:p w14:paraId="000013BD" w14:textId="77777777" w:rsidR="00CB4215" w:rsidRPr="00FC7B35" w:rsidRDefault="000530B4">
      <w:pPr>
        <w:spacing w:line="240" w:lineRule="auto"/>
        <w:rPr>
          <w:rFonts w:ascii="Times New Roman" w:eastAsia="Times New Roman" w:hAnsi="Times New Roman" w:cs="Times New Roman"/>
          <w:b/>
          <w:color w:val="000000"/>
          <w:sz w:val="20"/>
          <w:szCs w:val="20"/>
        </w:rPr>
      </w:pPr>
      <w:r w:rsidRPr="00FC7B35">
        <w:rPr>
          <w:rFonts w:ascii="Times New Roman" w:eastAsia="Times New Roman" w:hAnsi="Times New Roman" w:cs="Times New Roman"/>
          <w:i/>
          <w:iCs/>
          <w:color w:val="000000"/>
          <w:sz w:val="20"/>
          <w:szCs w:val="20"/>
        </w:rPr>
        <w:t>Table S5.</w:t>
      </w:r>
      <w:r w:rsidRPr="00FC7B35">
        <w:rPr>
          <w:rFonts w:ascii="Times New Roman" w:eastAsia="Times New Roman" w:hAnsi="Times New Roman" w:cs="Times New Roman"/>
          <w:color w:val="000000"/>
          <w:sz w:val="20"/>
          <w:szCs w:val="20"/>
        </w:rPr>
        <w:t xml:space="preserve"> Comparison of health behaviours in low vs high chaotic snack eater</w:t>
      </w:r>
    </w:p>
    <w:tbl>
      <w:tblPr>
        <w:tblStyle w:val="aff1"/>
        <w:tblW w:w="8789" w:type="dxa"/>
        <w:tblLayout w:type="fixed"/>
        <w:tblLook w:val="0600" w:firstRow="0" w:lastRow="0" w:firstColumn="0" w:lastColumn="0" w:noHBand="1" w:noVBand="1"/>
      </w:tblPr>
      <w:tblGrid>
        <w:gridCol w:w="2265"/>
        <w:gridCol w:w="1395"/>
        <w:gridCol w:w="1485"/>
        <w:gridCol w:w="1234"/>
        <w:gridCol w:w="1559"/>
        <w:gridCol w:w="851"/>
      </w:tblGrid>
      <w:tr w:rsidR="00CB4215" w14:paraId="59BECBE9" w14:textId="77777777" w:rsidTr="005E542D">
        <w:trPr>
          <w:trHeight w:val="440"/>
        </w:trPr>
        <w:tc>
          <w:tcPr>
            <w:tcW w:w="3660" w:type="dxa"/>
            <w:gridSpan w:val="2"/>
            <w:tcBorders>
              <w:top w:val="single" w:sz="4" w:space="0" w:color="000000"/>
              <w:bottom w:val="single" w:sz="4" w:space="0" w:color="000000"/>
            </w:tcBorders>
            <w:tcMar>
              <w:top w:w="100" w:type="dxa"/>
              <w:left w:w="100" w:type="dxa"/>
              <w:bottom w:w="100" w:type="dxa"/>
              <w:right w:w="100" w:type="dxa"/>
            </w:tcMar>
          </w:tcPr>
          <w:p w14:paraId="000013BE" w14:textId="77777777" w:rsidR="00CB4215" w:rsidRDefault="00CB4215">
            <w:pPr>
              <w:widowControl w:val="0"/>
              <w:spacing w:line="240" w:lineRule="auto"/>
              <w:rPr>
                <w:rFonts w:ascii="Times New Roman" w:eastAsia="Times New Roman" w:hAnsi="Times New Roman" w:cs="Times New Roman"/>
                <w:color w:val="000000"/>
              </w:rPr>
            </w:pPr>
          </w:p>
        </w:tc>
        <w:tc>
          <w:tcPr>
            <w:tcW w:w="2719" w:type="dxa"/>
            <w:gridSpan w:val="2"/>
            <w:tcBorders>
              <w:top w:val="single" w:sz="4" w:space="0" w:color="000000"/>
              <w:bottom w:val="single" w:sz="4" w:space="0" w:color="000000"/>
            </w:tcBorders>
            <w:tcMar>
              <w:top w:w="100" w:type="dxa"/>
              <w:left w:w="100" w:type="dxa"/>
              <w:bottom w:w="100" w:type="dxa"/>
              <w:right w:w="100" w:type="dxa"/>
            </w:tcMar>
          </w:tcPr>
          <w:p w14:paraId="000013C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chaotic snack eater </w:t>
            </w:r>
          </w:p>
        </w:tc>
        <w:tc>
          <w:tcPr>
            <w:tcW w:w="2410" w:type="dxa"/>
            <w:gridSpan w:val="2"/>
            <w:tcBorders>
              <w:top w:val="single" w:sz="4" w:space="0" w:color="000000"/>
              <w:bottom w:val="single" w:sz="4" w:space="0" w:color="000000"/>
            </w:tcBorders>
            <w:tcMar>
              <w:top w:w="100" w:type="dxa"/>
              <w:left w:w="100" w:type="dxa"/>
              <w:bottom w:w="100" w:type="dxa"/>
              <w:right w:w="100" w:type="dxa"/>
            </w:tcMar>
          </w:tcPr>
          <w:p w14:paraId="000013C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chaotic snack eater</w:t>
            </w:r>
          </w:p>
        </w:tc>
      </w:tr>
      <w:tr w:rsidR="00CB4215" w14:paraId="07A193E6" w14:textId="77777777" w:rsidTr="005E542D">
        <w:trPr>
          <w:trHeight w:val="25"/>
        </w:trPr>
        <w:tc>
          <w:tcPr>
            <w:tcW w:w="2265" w:type="dxa"/>
            <w:tcBorders>
              <w:top w:val="single" w:sz="4" w:space="0" w:color="000000"/>
              <w:bottom w:val="single" w:sz="4" w:space="0" w:color="auto"/>
            </w:tcBorders>
            <w:tcMar>
              <w:top w:w="100" w:type="dxa"/>
              <w:left w:w="100" w:type="dxa"/>
              <w:bottom w:w="100" w:type="dxa"/>
              <w:right w:w="100" w:type="dxa"/>
            </w:tcMar>
          </w:tcPr>
          <w:p w14:paraId="000013C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Dependent variable</w:t>
            </w:r>
          </w:p>
        </w:tc>
        <w:tc>
          <w:tcPr>
            <w:tcW w:w="1395" w:type="dxa"/>
            <w:tcBorders>
              <w:top w:val="single" w:sz="4" w:space="0" w:color="000000"/>
              <w:bottom w:val="single" w:sz="4" w:space="0" w:color="auto"/>
            </w:tcBorders>
            <w:tcMar>
              <w:top w:w="100" w:type="dxa"/>
              <w:left w:w="100" w:type="dxa"/>
              <w:bottom w:w="100" w:type="dxa"/>
              <w:right w:w="100" w:type="dxa"/>
            </w:tcMar>
          </w:tcPr>
          <w:p w14:paraId="000013C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i/>
                <w:color w:val="000000"/>
                <w:highlight w:val="white"/>
              </w:rPr>
              <w:t>η2</w:t>
            </w:r>
          </w:p>
        </w:tc>
        <w:tc>
          <w:tcPr>
            <w:tcW w:w="1485" w:type="dxa"/>
            <w:tcBorders>
              <w:top w:val="single" w:sz="4" w:space="0" w:color="000000"/>
              <w:bottom w:val="single" w:sz="4" w:space="0" w:color="auto"/>
            </w:tcBorders>
            <w:tcMar>
              <w:top w:w="100" w:type="dxa"/>
              <w:left w:w="100" w:type="dxa"/>
              <w:bottom w:w="100" w:type="dxa"/>
              <w:right w:w="100" w:type="dxa"/>
            </w:tcMar>
          </w:tcPr>
          <w:p w14:paraId="000013C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234" w:type="dxa"/>
            <w:tcBorders>
              <w:top w:val="single" w:sz="4" w:space="0" w:color="000000"/>
              <w:bottom w:val="single" w:sz="4" w:space="0" w:color="auto"/>
            </w:tcBorders>
            <w:tcMar>
              <w:top w:w="100" w:type="dxa"/>
              <w:left w:w="100" w:type="dxa"/>
              <w:bottom w:w="100" w:type="dxa"/>
              <w:right w:w="100" w:type="dxa"/>
            </w:tcMar>
          </w:tcPr>
          <w:p w14:paraId="000013C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c>
          <w:tcPr>
            <w:tcW w:w="1559" w:type="dxa"/>
            <w:tcBorders>
              <w:top w:val="single" w:sz="4" w:space="0" w:color="000000"/>
              <w:bottom w:val="single" w:sz="4" w:space="0" w:color="auto"/>
            </w:tcBorders>
            <w:tcMar>
              <w:top w:w="100" w:type="dxa"/>
              <w:left w:w="100" w:type="dxa"/>
              <w:bottom w:w="100" w:type="dxa"/>
              <w:right w:w="100" w:type="dxa"/>
            </w:tcMar>
          </w:tcPr>
          <w:p w14:paraId="000013C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851" w:type="dxa"/>
            <w:tcBorders>
              <w:top w:val="single" w:sz="4" w:space="0" w:color="000000"/>
              <w:bottom w:val="single" w:sz="4" w:space="0" w:color="auto"/>
            </w:tcBorders>
            <w:tcMar>
              <w:top w:w="100" w:type="dxa"/>
              <w:left w:w="100" w:type="dxa"/>
              <w:bottom w:w="100" w:type="dxa"/>
              <w:right w:w="100" w:type="dxa"/>
            </w:tcMar>
          </w:tcPr>
          <w:p w14:paraId="000013C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SD</w:t>
            </w:r>
          </w:p>
        </w:tc>
      </w:tr>
      <w:tr w:rsidR="00CB4215" w14:paraId="5CB38165" w14:textId="77777777" w:rsidTr="005E542D">
        <w:trPr>
          <w:trHeight w:val="24"/>
        </w:trPr>
        <w:tc>
          <w:tcPr>
            <w:tcW w:w="2265" w:type="dxa"/>
            <w:tcBorders>
              <w:top w:val="single" w:sz="4" w:space="0" w:color="auto"/>
            </w:tcBorders>
            <w:tcMar>
              <w:top w:w="100" w:type="dxa"/>
              <w:left w:w="100" w:type="dxa"/>
              <w:bottom w:w="100" w:type="dxa"/>
              <w:right w:w="100" w:type="dxa"/>
            </w:tcMar>
          </w:tcPr>
          <w:p w14:paraId="000013CA" w14:textId="77777777" w:rsidR="00CB4215" w:rsidRDefault="000530B4">
            <w:pPr>
              <w:widowControl w:val="0"/>
              <w:spacing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Energy expenditure (kcal/d)</w:t>
            </w:r>
            <w:r>
              <w:rPr>
                <w:rFonts w:ascii="Times New Roman" w:eastAsia="Times New Roman" w:hAnsi="Times New Roman" w:cs="Times New Roman"/>
                <w:color w:val="000000"/>
                <w:vertAlign w:val="superscript"/>
              </w:rPr>
              <w:t xml:space="preserve">1 </w:t>
            </w:r>
          </w:p>
        </w:tc>
        <w:tc>
          <w:tcPr>
            <w:tcW w:w="1395" w:type="dxa"/>
            <w:tcBorders>
              <w:top w:val="single" w:sz="4" w:space="0" w:color="auto"/>
            </w:tcBorders>
            <w:tcMar>
              <w:top w:w="100" w:type="dxa"/>
              <w:left w:w="100" w:type="dxa"/>
              <w:bottom w:w="100" w:type="dxa"/>
              <w:right w:w="100" w:type="dxa"/>
            </w:tcMar>
          </w:tcPr>
          <w:p w14:paraId="000013C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0.08</w:t>
            </w:r>
          </w:p>
        </w:tc>
        <w:tc>
          <w:tcPr>
            <w:tcW w:w="1485" w:type="dxa"/>
            <w:tcBorders>
              <w:top w:val="single" w:sz="4" w:space="0" w:color="auto"/>
            </w:tcBorders>
            <w:tcMar>
              <w:top w:w="100" w:type="dxa"/>
              <w:left w:w="100" w:type="dxa"/>
              <w:bottom w:w="100" w:type="dxa"/>
              <w:right w:w="100" w:type="dxa"/>
            </w:tcMar>
          </w:tcPr>
          <w:p w14:paraId="000013C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2439.7</w:t>
            </w:r>
          </w:p>
        </w:tc>
        <w:tc>
          <w:tcPr>
            <w:tcW w:w="1234" w:type="dxa"/>
            <w:tcBorders>
              <w:top w:val="single" w:sz="4" w:space="0" w:color="auto"/>
            </w:tcBorders>
            <w:tcMar>
              <w:top w:w="100" w:type="dxa"/>
              <w:left w:w="100" w:type="dxa"/>
              <w:bottom w:w="100" w:type="dxa"/>
              <w:right w:w="100" w:type="dxa"/>
            </w:tcMar>
          </w:tcPr>
          <w:p w14:paraId="000013C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582.6</w:t>
            </w:r>
          </w:p>
        </w:tc>
        <w:tc>
          <w:tcPr>
            <w:tcW w:w="1559" w:type="dxa"/>
            <w:tcBorders>
              <w:top w:val="single" w:sz="4" w:space="0" w:color="auto"/>
            </w:tcBorders>
            <w:tcMar>
              <w:top w:w="100" w:type="dxa"/>
              <w:left w:w="100" w:type="dxa"/>
              <w:bottom w:w="100" w:type="dxa"/>
              <w:right w:w="100" w:type="dxa"/>
            </w:tcMar>
          </w:tcPr>
          <w:p w14:paraId="000013C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2520.9</w:t>
            </w:r>
          </w:p>
        </w:tc>
        <w:tc>
          <w:tcPr>
            <w:tcW w:w="851" w:type="dxa"/>
            <w:tcBorders>
              <w:top w:val="single" w:sz="4" w:space="0" w:color="auto"/>
            </w:tcBorders>
            <w:tcMar>
              <w:top w:w="100" w:type="dxa"/>
              <w:left w:w="100" w:type="dxa"/>
              <w:bottom w:w="100" w:type="dxa"/>
              <w:right w:w="100" w:type="dxa"/>
            </w:tcMar>
          </w:tcPr>
          <w:p w14:paraId="000013C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508.1</w:t>
            </w:r>
          </w:p>
        </w:tc>
      </w:tr>
      <w:tr w:rsidR="00CB4215" w14:paraId="6D77EB49" w14:textId="77777777" w:rsidTr="005E542D">
        <w:trPr>
          <w:trHeight w:val="24"/>
        </w:trPr>
        <w:tc>
          <w:tcPr>
            <w:tcW w:w="2265" w:type="dxa"/>
            <w:tcMar>
              <w:top w:w="100" w:type="dxa"/>
              <w:left w:w="100" w:type="dxa"/>
              <w:bottom w:w="100" w:type="dxa"/>
              <w:right w:w="100" w:type="dxa"/>
            </w:tcMar>
          </w:tcPr>
          <w:p w14:paraId="000013D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MVPA</w:t>
            </w:r>
            <w:r>
              <w:rPr>
                <w:rFonts w:ascii="Times New Roman" w:eastAsia="Times New Roman" w:hAnsi="Times New Roman" w:cs="Times New Roman"/>
                <w:color w:val="000000"/>
                <w:vertAlign w:val="superscript"/>
              </w:rPr>
              <w:t>1</w:t>
            </w:r>
          </w:p>
        </w:tc>
        <w:tc>
          <w:tcPr>
            <w:tcW w:w="1395" w:type="dxa"/>
            <w:tcMar>
              <w:top w:w="100" w:type="dxa"/>
              <w:left w:w="100" w:type="dxa"/>
              <w:bottom w:w="100" w:type="dxa"/>
              <w:right w:w="100" w:type="dxa"/>
            </w:tcMar>
          </w:tcPr>
          <w:p w14:paraId="000013D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0.05</w:t>
            </w:r>
          </w:p>
        </w:tc>
        <w:tc>
          <w:tcPr>
            <w:tcW w:w="1485" w:type="dxa"/>
            <w:tcMar>
              <w:top w:w="100" w:type="dxa"/>
              <w:left w:w="100" w:type="dxa"/>
              <w:bottom w:w="100" w:type="dxa"/>
              <w:right w:w="100" w:type="dxa"/>
            </w:tcMar>
          </w:tcPr>
          <w:p w14:paraId="000013D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134.6</w:t>
            </w:r>
          </w:p>
        </w:tc>
        <w:tc>
          <w:tcPr>
            <w:tcW w:w="1234" w:type="dxa"/>
            <w:tcMar>
              <w:top w:w="100" w:type="dxa"/>
              <w:left w:w="100" w:type="dxa"/>
              <w:bottom w:w="100" w:type="dxa"/>
              <w:right w:w="100" w:type="dxa"/>
            </w:tcMar>
          </w:tcPr>
          <w:p w14:paraId="000013D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41.5</w:t>
            </w:r>
          </w:p>
        </w:tc>
        <w:tc>
          <w:tcPr>
            <w:tcW w:w="1559" w:type="dxa"/>
            <w:tcMar>
              <w:top w:w="100" w:type="dxa"/>
              <w:left w:w="100" w:type="dxa"/>
              <w:bottom w:w="100" w:type="dxa"/>
              <w:right w:w="100" w:type="dxa"/>
            </w:tcMar>
          </w:tcPr>
          <w:p w14:paraId="000013D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147.6</w:t>
            </w:r>
          </w:p>
        </w:tc>
        <w:tc>
          <w:tcPr>
            <w:tcW w:w="851" w:type="dxa"/>
            <w:tcMar>
              <w:top w:w="100" w:type="dxa"/>
              <w:left w:w="100" w:type="dxa"/>
              <w:bottom w:w="100" w:type="dxa"/>
              <w:right w:w="100" w:type="dxa"/>
            </w:tcMar>
          </w:tcPr>
          <w:p w14:paraId="000013D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51.6</w:t>
            </w:r>
          </w:p>
        </w:tc>
      </w:tr>
      <w:tr w:rsidR="00CB4215" w14:paraId="2C8A496E" w14:textId="77777777" w:rsidTr="005E542D">
        <w:trPr>
          <w:trHeight w:val="24"/>
        </w:trPr>
        <w:tc>
          <w:tcPr>
            <w:tcW w:w="2265" w:type="dxa"/>
            <w:tcMar>
              <w:top w:w="100" w:type="dxa"/>
              <w:left w:w="100" w:type="dxa"/>
              <w:bottom w:w="100" w:type="dxa"/>
              <w:right w:w="100" w:type="dxa"/>
            </w:tcMar>
          </w:tcPr>
          <w:p w14:paraId="000013D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Step count</w:t>
            </w:r>
            <w:r>
              <w:rPr>
                <w:rFonts w:ascii="Times New Roman" w:eastAsia="Times New Roman" w:hAnsi="Times New Roman" w:cs="Times New Roman"/>
                <w:color w:val="000000"/>
                <w:vertAlign w:val="superscript"/>
              </w:rPr>
              <w:t>1</w:t>
            </w:r>
          </w:p>
        </w:tc>
        <w:tc>
          <w:tcPr>
            <w:tcW w:w="1395" w:type="dxa"/>
            <w:tcMar>
              <w:top w:w="100" w:type="dxa"/>
              <w:left w:w="100" w:type="dxa"/>
              <w:bottom w:w="100" w:type="dxa"/>
              <w:right w:w="100" w:type="dxa"/>
            </w:tcMar>
          </w:tcPr>
          <w:p w14:paraId="000013D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0.10</w:t>
            </w:r>
          </w:p>
        </w:tc>
        <w:tc>
          <w:tcPr>
            <w:tcW w:w="1485" w:type="dxa"/>
            <w:tcMar>
              <w:top w:w="100" w:type="dxa"/>
              <w:left w:w="100" w:type="dxa"/>
              <w:bottom w:w="100" w:type="dxa"/>
              <w:right w:w="100" w:type="dxa"/>
            </w:tcMar>
          </w:tcPr>
          <w:p w14:paraId="000013D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6056.8</w:t>
            </w:r>
          </w:p>
        </w:tc>
        <w:tc>
          <w:tcPr>
            <w:tcW w:w="1234" w:type="dxa"/>
            <w:tcMar>
              <w:top w:w="100" w:type="dxa"/>
              <w:left w:w="100" w:type="dxa"/>
              <w:bottom w:w="100" w:type="dxa"/>
              <w:right w:w="100" w:type="dxa"/>
            </w:tcMar>
          </w:tcPr>
          <w:p w14:paraId="000013D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2053.2</w:t>
            </w:r>
          </w:p>
        </w:tc>
        <w:tc>
          <w:tcPr>
            <w:tcW w:w="1559" w:type="dxa"/>
            <w:tcMar>
              <w:top w:w="100" w:type="dxa"/>
              <w:left w:w="100" w:type="dxa"/>
              <w:bottom w:w="100" w:type="dxa"/>
              <w:right w:w="100" w:type="dxa"/>
            </w:tcMar>
          </w:tcPr>
          <w:p w14:paraId="000013D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5271.8</w:t>
            </w:r>
          </w:p>
        </w:tc>
        <w:tc>
          <w:tcPr>
            <w:tcW w:w="851" w:type="dxa"/>
            <w:tcMar>
              <w:top w:w="100" w:type="dxa"/>
              <w:left w:w="100" w:type="dxa"/>
              <w:bottom w:w="100" w:type="dxa"/>
              <w:right w:w="100" w:type="dxa"/>
            </w:tcMar>
          </w:tcPr>
          <w:p w14:paraId="000013D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2331.1</w:t>
            </w:r>
          </w:p>
        </w:tc>
      </w:tr>
      <w:tr w:rsidR="00CB4215" w14:paraId="502FC8D1" w14:textId="77777777" w:rsidTr="005E542D">
        <w:trPr>
          <w:trHeight w:val="24"/>
        </w:trPr>
        <w:tc>
          <w:tcPr>
            <w:tcW w:w="2265" w:type="dxa"/>
            <w:tcMar>
              <w:top w:w="100" w:type="dxa"/>
              <w:left w:w="100" w:type="dxa"/>
              <w:bottom w:w="100" w:type="dxa"/>
              <w:right w:w="100" w:type="dxa"/>
            </w:tcMar>
          </w:tcPr>
          <w:p w14:paraId="000013D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Energy intake (kcal/d)</w:t>
            </w:r>
            <w:r>
              <w:rPr>
                <w:rFonts w:ascii="Times New Roman" w:eastAsia="Times New Roman" w:hAnsi="Times New Roman" w:cs="Times New Roman"/>
                <w:color w:val="000000"/>
                <w:vertAlign w:val="superscript"/>
              </w:rPr>
              <w:t xml:space="preserve">1 </w:t>
            </w:r>
          </w:p>
        </w:tc>
        <w:tc>
          <w:tcPr>
            <w:tcW w:w="1395" w:type="dxa"/>
            <w:tcMar>
              <w:top w:w="100" w:type="dxa"/>
              <w:left w:w="100" w:type="dxa"/>
              <w:bottom w:w="100" w:type="dxa"/>
              <w:right w:w="100" w:type="dxa"/>
            </w:tcMar>
          </w:tcPr>
          <w:p w14:paraId="000013D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&lt;0.001</w:t>
            </w:r>
          </w:p>
        </w:tc>
        <w:tc>
          <w:tcPr>
            <w:tcW w:w="1485" w:type="dxa"/>
            <w:tcMar>
              <w:top w:w="100" w:type="dxa"/>
              <w:left w:w="100" w:type="dxa"/>
              <w:bottom w:w="100" w:type="dxa"/>
              <w:right w:w="100" w:type="dxa"/>
            </w:tcMar>
          </w:tcPr>
          <w:p w14:paraId="000013D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1944.2</w:t>
            </w:r>
          </w:p>
        </w:tc>
        <w:tc>
          <w:tcPr>
            <w:tcW w:w="1234" w:type="dxa"/>
            <w:tcMar>
              <w:top w:w="100" w:type="dxa"/>
              <w:left w:w="100" w:type="dxa"/>
              <w:bottom w:w="100" w:type="dxa"/>
              <w:right w:w="100" w:type="dxa"/>
            </w:tcMar>
          </w:tcPr>
          <w:p w14:paraId="000013D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414.5</w:t>
            </w:r>
          </w:p>
        </w:tc>
        <w:tc>
          <w:tcPr>
            <w:tcW w:w="1559" w:type="dxa"/>
            <w:tcMar>
              <w:top w:w="100" w:type="dxa"/>
              <w:left w:w="100" w:type="dxa"/>
              <w:bottom w:w="100" w:type="dxa"/>
              <w:right w:w="100" w:type="dxa"/>
            </w:tcMar>
          </w:tcPr>
          <w:p w14:paraId="000013E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1878.3</w:t>
            </w:r>
          </w:p>
        </w:tc>
        <w:tc>
          <w:tcPr>
            <w:tcW w:w="851" w:type="dxa"/>
            <w:tcMar>
              <w:top w:w="100" w:type="dxa"/>
              <w:left w:w="100" w:type="dxa"/>
              <w:bottom w:w="100" w:type="dxa"/>
              <w:right w:w="100" w:type="dxa"/>
            </w:tcMar>
          </w:tcPr>
          <w:p w14:paraId="000013E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583.4</w:t>
            </w:r>
          </w:p>
        </w:tc>
      </w:tr>
      <w:tr w:rsidR="00CB4215" w14:paraId="5437DB2F" w14:textId="77777777" w:rsidTr="005E542D">
        <w:trPr>
          <w:trHeight w:val="24"/>
        </w:trPr>
        <w:tc>
          <w:tcPr>
            <w:tcW w:w="2265" w:type="dxa"/>
            <w:tcMar>
              <w:top w:w="100" w:type="dxa"/>
              <w:left w:w="100" w:type="dxa"/>
              <w:bottom w:w="100" w:type="dxa"/>
              <w:right w:w="100" w:type="dxa"/>
            </w:tcMar>
          </w:tcPr>
          <w:p w14:paraId="000013E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 (%)</w:t>
            </w:r>
          </w:p>
        </w:tc>
        <w:tc>
          <w:tcPr>
            <w:tcW w:w="1395" w:type="dxa"/>
            <w:tcMar>
              <w:top w:w="100" w:type="dxa"/>
              <w:left w:w="100" w:type="dxa"/>
              <w:bottom w:w="100" w:type="dxa"/>
              <w:right w:w="100" w:type="dxa"/>
            </w:tcMar>
          </w:tcPr>
          <w:p w14:paraId="000013E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0.08</w:t>
            </w:r>
          </w:p>
        </w:tc>
        <w:tc>
          <w:tcPr>
            <w:tcW w:w="1485" w:type="dxa"/>
            <w:tcMar>
              <w:top w:w="100" w:type="dxa"/>
              <w:left w:w="100" w:type="dxa"/>
              <w:bottom w:w="100" w:type="dxa"/>
              <w:right w:w="100" w:type="dxa"/>
            </w:tcMar>
          </w:tcPr>
          <w:p w14:paraId="000013E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17.1</w:t>
            </w:r>
          </w:p>
        </w:tc>
        <w:tc>
          <w:tcPr>
            <w:tcW w:w="1234" w:type="dxa"/>
            <w:tcMar>
              <w:top w:w="100" w:type="dxa"/>
              <w:left w:w="100" w:type="dxa"/>
              <w:bottom w:w="100" w:type="dxa"/>
              <w:right w:w="100" w:type="dxa"/>
            </w:tcMar>
          </w:tcPr>
          <w:p w14:paraId="000013E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559" w:type="dxa"/>
            <w:tcMar>
              <w:top w:w="100" w:type="dxa"/>
              <w:left w:w="100" w:type="dxa"/>
              <w:bottom w:w="100" w:type="dxa"/>
              <w:right w:w="100" w:type="dxa"/>
            </w:tcMar>
          </w:tcPr>
          <w:p w14:paraId="000013E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15.9</w:t>
            </w:r>
          </w:p>
        </w:tc>
        <w:tc>
          <w:tcPr>
            <w:tcW w:w="851" w:type="dxa"/>
            <w:tcMar>
              <w:top w:w="100" w:type="dxa"/>
              <w:left w:w="100" w:type="dxa"/>
              <w:bottom w:w="100" w:type="dxa"/>
              <w:right w:w="100" w:type="dxa"/>
            </w:tcMar>
          </w:tcPr>
          <w:p w14:paraId="000013E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w:t>
            </w:r>
          </w:p>
        </w:tc>
      </w:tr>
      <w:tr w:rsidR="00CB4215" w14:paraId="7DE06B11" w14:textId="77777777" w:rsidTr="005E542D">
        <w:trPr>
          <w:trHeight w:val="24"/>
        </w:trPr>
        <w:tc>
          <w:tcPr>
            <w:tcW w:w="2265" w:type="dxa"/>
            <w:tcMar>
              <w:top w:w="100" w:type="dxa"/>
              <w:left w:w="100" w:type="dxa"/>
              <w:bottom w:w="100" w:type="dxa"/>
              <w:right w:w="100" w:type="dxa"/>
            </w:tcMar>
          </w:tcPr>
          <w:p w14:paraId="000013E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CHO (%)</w:t>
            </w:r>
          </w:p>
        </w:tc>
        <w:tc>
          <w:tcPr>
            <w:tcW w:w="1395" w:type="dxa"/>
            <w:tcMar>
              <w:top w:w="100" w:type="dxa"/>
              <w:left w:w="100" w:type="dxa"/>
              <w:bottom w:w="100" w:type="dxa"/>
              <w:right w:w="100" w:type="dxa"/>
            </w:tcMar>
          </w:tcPr>
          <w:p w14:paraId="000013E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0.004</w:t>
            </w:r>
          </w:p>
        </w:tc>
        <w:tc>
          <w:tcPr>
            <w:tcW w:w="1485" w:type="dxa"/>
            <w:tcMar>
              <w:top w:w="100" w:type="dxa"/>
              <w:left w:w="100" w:type="dxa"/>
              <w:bottom w:w="100" w:type="dxa"/>
              <w:right w:w="100" w:type="dxa"/>
            </w:tcMar>
          </w:tcPr>
          <w:p w14:paraId="000013E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48.3</w:t>
            </w:r>
          </w:p>
        </w:tc>
        <w:tc>
          <w:tcPr>
            <w:tcW w:w="1234" w:type="dxa"/>
            <w:tcMar>
              <w:top w:w="100" w:type="dxa"/>
              <w:left w:w="100" w:type="dxa"/>
              <w:bottom w:w="100" w:type="dxa"/>
              <w:right w:w="100" w:type="dxa"/>
            </w:tcMar>
          </w:tcPr>
          <w:p w14:paraId="000013E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1559" w:type="dxa"/>
            <w:tcMar>
              <w:top w:w="100" w:type="dxa"/>
              <w:left w:w="100" w:type="dxa"/>
              <w:bottom w:w="100" w:type="dxa"/>
              <w:right w:w="100" w:type="dxa"/>
            </w:tcMar>
          </w:tcPr>
          <w:p w14:paraId="000013E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47.4</w:t>
            </w:r>
          </w:p>
        </w:tc>
        <w:tc>
          <w:tcPr>
            <w:tcW w:w="851" w:type="dxa"/>
            <w:tcMar>
              <w:top w:w="100" w:type="dxa"/>
              <w:left w:w="100" w:type="dxa"/>
              <w:bottom w:w="100" w:type="dxa"/>
              <w:right w:w="100" w:type="dxa"/>
            </w:tcMar>
          </w:tcPr>
          <w:p w14:paraId="000013E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5.3</w:t>
            </w:r>
          </w:p>
        </w:tc>
      </w:tr>
      <w:tr w:rsidR="00CB4215" w14:paraId="257878F1" w14:textId="77777777" w:rsidTr="005E542D">
        <w:trPr>
          <w:trHeight w:val="24"/>
        </w:trPr>
        <w:tc>
          <w:tcPr>
            <w:tcW w:w="2265" w:type="dxa"/>
            <w:tcMar>
              <w:top w:w="100" w:type="dxa"/>
              <w:left w:w="100" w:type="dxa"/>
              <w:bottom w:w="100" w:type="dxa"/>
              <w:right w:w="100" w:type="dxa"/>
            </w:tcMar>
          </w:tcPr>
          <w:p w14:paraId="000013E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 (%)</w:t>
            </w:r>
          </w:p>
        </w:tc>
        <w:tc>
          <w:tcPr>
            <w:tcW w:w="1395" w:type="dxa"/>
            <w:tcMar>
              <w:top w:w="100" w:type="dxa"/>
              <w:left w:w="100" w:type="dxa"/>
              <w:bottom w:w="100" w:type="dxa"/>
              <w:right w:w="100" w:type="dxa"/>
            </w:tcMar>
          </w:tcPr>
          <w:p w14:paraId="000013E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0.11</w:t>
            </w:r>
          </w:p>
        </w:tc>
        <w:tc>
          <w:tcPr>
            <w:tcW w:w="1485" w:type="dxa"/>
            <w:tcMar>
              <w:top w:w="100" w:type="dxa"/>
              <w:left w:w="100" w:type="dxa"/>
              <w:bottom w:w="100" w:type="dxa"/>
              <w:right w:w="100" w:type="dxa"/>
            </w:tcMar>
          </w:tcPr>
          <w:p w14:paraId="000013F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33.4</w:t>
            </w:r>
          </w:p>
        </w:tc>
        <w:tc>
          <w:tcPr>
            <w:tcW w:w="1234" w:type="dxa"/>
            <w:tcMar>
              <w:top w:w="100" w:type="dxa"/>
              <w:left w:w="100" w:type="dxa"/>
              <w:bottom w:w="100" w:type="dxa"/>
              <w:right w:w="100" w:type="dxa"/>
            </w:tcMar>
          </w:tcPr>
          <w:p w14:paraId="000013F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1559" w:type="dxa"/>
            <w:tcMar>
              <w:top w:w="100" w:type="dxa"/>
              <w:left w:w="100" w:type="dxa"/>
              <w:bottom w:w="100" w:type="dxa"/>
              <w:right w:w="100" w:type="dxa"/>
            </w:tcMar>
          </w:tcPr>
          <w:p w14:paraId="000013F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36.5</w:t>
            </w:r>
          </w:p>
        </w:tc>
        <w:tc>
          <w:tcPr>
            <w:tcW w:w="851" w:type="dxa"/>
            <w:tcMar>
              <w:top w:w="100" w:type="dxa"/>
              <w:left w:w="100" w:type="dxa"/>
              <w:bottom w:w="100" w:type="dxa"/>
              <w:right w:w="100" w:type="dxa"/>
            </w:tcMar>
          </w:tcPr>
          <w:p w14:paraId="000013F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5.3</w:t>
            </w:r>
          </w:p>
        </w:tc>
      </w:tr>
      <w:tr w:rsidR="00CB4215" w14:paraId="19C48281" w14:textId="77777777" w:rsidTr="005E542D">
        <w:trPr>
          <w:trHeight w:val="24"/>
        </w:trPr>
        <w:tc>
          <w:tcPr>
            <w:tcW w:w="2265" w:type="dxa"/>
            <w:tcMar>
              <w:top w:w="100" w:type="dxa"/>
              <w:left w:w="100" w:type="dxa"/>
              <w:bottom w:w="100" w:type="dxa"/>
              <w:right w:w="100" w:type="dxa"/>
            </w:tcMar>
          </w:tcPr>
          <w:p w14:paraId="000013F4" w14:textId="77777777" w:rsidR="00CB4215" w:rsidRDefault="000530B4">
            <w:pPr>
              <w:widowControl w:val="0"/>
              <w:spacing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Diet Quality Score</w:t>
            </w:r>
            <w:r>
              <w:rPr>
                <w:rFonts w:ascii="Times New Roman" w:eastAsia="Times New Roman" w:hAnsi="Times New Roman" w:cs="Times New Roman"/>
                <w:color w:val="000000"/>
                <w:vertAlign w:val="superscript"/>
              </w:rPr>
              <w:t>2</w:t>
            </w:r>
          </w:p>
        </w:tc>
        <w:tc>
          <w:tcPr>
            <w:tcW w:w="1395" w:type="dxa"/>
            <w:tcMar>
              <w:top w:w="100" w:type="dxa"/>
              <w:left w:w="100" w:type="dxa"/>
              <w:bottom w:w="100" w:type="dxa"/>
              <w:right w:w="100" w:type="dxa"/>
            </w:tcMar>
          </w:tcPr>
          <w:p w14:paraId="000013F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0.06</w:t>
            </w:r>
          </w:p>
        </w:tc>
        <w:tc>
          <w:tcPr>
            <w:tcW w:w="1485" w:type="dxa"/>
            <w:tcMar>
              <w:top w:w="100" w:type="dxa"/>
              <w:left w:w="100" w:type="dxa"/>
              <w:bottom w:w="100" w:type="dxa"/>
              <w:right w:w="100" w:type="dxa"/>
            </w:tcMar>
          </w:tcPr>
          <w:p w14:paraId="000013F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1234" w:type="dxa"/>
            <w:tcMar>
              <w:top w:w="100" w:type="dxa"/>
              <w:left w:w="100" w:type="dxa"/>
              <w:bottom w:w="100" w:type="dxa"/>
              <w:right w:w="100" w:type="dxa"/>
            </w:tcMar>
          </w:tcPr>
          <w:p w14:paraId="000013F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tcMar>
              <w:top w:w="100" w:type="dxa"/>
              <w:left w:w="100" w:type="dxa"/>
              <w:bottom w:w="100" w:type="dxa"/>
              <w:right w:w="100" w:type="dxa"/>
            </w:tcMar>
          </w:tcPr>
          <w:p w14:paraId="000013F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w:t>
            </w:r>
          </w:p>
        </w:tc>
        <w:tc>
          <w:tcPr>
            <w:tcW w:w="851" w:type="dxa"/>
            <w:tcMar>
              <w:top w:w="100" w:type="dxa"/>
              <w:left w:w="100" w:type="dxa"/>
              <w:bottom w:w="100" w:type="dxa"/>
              <w:right w:w="100" w:type="dxa"/>
            </w:tcMar>
          </w:tcPr>
          <w:p w14:paraId="000013F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p>
        </w:tc>
      </w:tr>
      <w:tr w:rsidR="00CB4215" w14:paraId="22CF573F" w14:textId="77777777" w:rsidTr="005E542D">
        <w:trPr>
          <w:trHeight w:val="440"/>
        </w:trPr>
        <w:tc>
          <w:tcPr>
            <w:tcW w:w="2265" w:type="dxa"/>
            <w:tcMar>
              <w:top w:w="100" w:type="dxa"/>
              <w:left w:w="100" w:type="dxa"/>
              <w:bottom w:w="100" w:type="dxa"/>
              <w:right w:w="100" w:type="dxa"/>
            </w:tcMar>
          </w:tcPr>
          <w:p w14:paraId="000013F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Sleep efficiency (%)</w:t>
            </w:r>
            <w:r>
              <w:rPr>
                <w:rFonts w:ascii="Times New Roman" w:eastAsia="Times New Roman" w:hAnsi="Times New Roman" w:cs="Times New Roman"/>
                <w:color w:val="000000"/>
                <w:vertAlign w:val="superscript"/>
              </w:rPr>
              <w:t>1</w:t>
            </w:r>
          </w:p>
        </w:tc>
        <w:tc>
          <w:tcPr>
            <w:tcW w:w="1395" w:type="dxa"/>
            <w:tcMar>
              <w:top w:w="100" w:type="dxa"/>
              <w:left w:w="100" w:type="dxa"/>
              <w:bottom w:w="100" w:type="dxa"/>
              <w:right w:w="100" w:type="dxa"/>
            </w:tcMar>
          </w:tcPr>
          <w:p w14:paraId="000013F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1485" w:type="dxa"/>
            <w:tcMar>
              <w:top w:w="100" w:type="dxa"/>
              <w:left w:w="100" w:type="dxa"/>
              <w:bottom w:w="100" w:type="dxa"/>
              <w:right w:w="100" w:type="dxa"/>
            </w:tcMar>
          </w:tcPr>
          <w:p w14:paraId="000013F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91.1</w:t>
            </w:r>
          </w:p>
        </w:tc>
        <w:tc>
          <w:tcPr>
            <w:tcW w:w="1234" w:type="dxa"/>
            <w:tcMar>
              <w:top w:w="100" w:type="dxa"/>
              <w:left w:w="100" w:type="dxa"/>
              <w:bottom w:w="100" w:type="dxa"/>
              <w:right w:w="100" w:type="dxa"/>
            </w:tcMar>
          </w:tcPr>
          <w:p w14:paraId="000013F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559" w:type="dxa"/>
            <w:tcMar>
              <w:top w:w="100" w:type="dxa"/>
              <w:left w:w="100" w:type="dxa"/>
              <w:bottom w:w="100" w:type="dxa"/>
              <w:right w:w="100" w:type="dxa"/>
            </w:tcMar>
          </w:tcPr>
          <w:p w14:paraId="000013F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90.8</w:t>
            </w:r>
          </w:p>
        </w:tc>
        <w:tc>
          <w:tcPr>
            <w:tcW w:w="851" w:type="dxa"/>
            <w:tcMar>
              <w:top w:w="100" w:type="dxa"/>
              <w:left w:w="100" w:type="dxa"/>
              <w:bottom w:w="100" w:type="dxa"/>
              <w:right w:w="100" w:type="dxa"/>
            </w:tcMar>
          </w:tcPr>
          <w:p w14:paraId="000013F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3.4 </w:t>
            </w:r>
          </w:p>
        </w:tc>
      </w:tr>
      <w:tr w:rsidR="00CB4215" w14:paraId="0752D133" w14:textId="77777777" w:rsidTr="005E542D">
        <w:trPr>
          <w:trHeight w:val="24"/>
        </w:trPr>
        <w:tc>
          <w:tcPr>
            <w:tcW w:w="2265" w:type="dxa"/>
            <w:tcMar>
              <w:top w:w="100" w:type="dxa"/>
              <w:left w:w="100" w:type="dxa"/>
              <w:bottom w:w="100" w:type="dxa"/>
              <w:right w:w="100" w:type="dxa"/>
            </w:tcMar>
          </w:tcPr>
          <w:p w14:paraId="0000140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Sleep duration (minutes)</w:t>
            </w:r>
            <w:r>
              <w:rPr>
                <w:rFonts w:ascii="Times New Roman" w:eastAsia="Times New Roman" w:hAnsi="Times New Roman" w:cs="Times New Roman"/>
                <w:color w:val="000000"/>
                <w:vertAlign w:val="superscript"/>
              </w:rPr>
              <w:t>1</w:t>
            </w:r>
          </w:p>
        </w:tc>
        <w:tc>
          <w:tcPr>
            <w:tcW w:w="1395" w:type="dxa"/>
            <w:tcMar>
              <w:top w:w="100" w:type="dxa"/>
              <w:left w:w="100" w:type="dxa"/>
              <w:bottom w:w="100" w:type="dxa"/>
              <w:right w:w="100" w:type="dxa"/>
            </w:tcMar>
          </w:tcPr>
          <w:p w14:paraId="0000140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485" w:type="dxa"/>
            <w:tcMar>
              <w:top w:w="100" w:type="dxa"/>
              <w:left w:w="100" w:type="dxa"/>
              <w:bottom w:w="100" w:type="dxa"/>
              <w:right w:w="100" w:type="dxa"/>
            </w:tcMar>
          </w:tcPr>
          <w:p w14:paraId="00001402"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392.1</w:t>
            </w:r>
          </w:p>
        </w:tc>
        <w:tc>
          <w:tcPr>
            <w:tcW w:w="1234" w:type="dxa"/>
            <w:tcMar>
              <w:top w:w="100" w:type="dxa"/>
              <w:left w:w="100" w:type="dxa"/>
              <w:bottom w:w="100" w:type="dxa"/>
              <w:right w:w="100" w:type="dxa"/>
            </w:tcMar>
          </w:tcPr>
          <w:p w14:paraId="00001403"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67.5</w:t>
            </w:r>
          </w:p>
        </w:tc>
        <w:tc>
          <w:tcPr>
            <w:tcW w:w="1559" w:type="dxa"/>
            <w:tcMar>
              <w:top w:w="100" w:type="dxa"/>
              <w:left w:w="100" w:type="dxa"/>
              <w:bottom w:w="100" w:type="dxa"/>
              <w:right w:w="100" w:type="dxa"/>
            </w:tcMar>
          </w:tcPr>
          <w:p w14:paraId="00001404"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397.7</w:t>
            </w:r>
          </w:p>
        </w:tc>
        <w:tc>
          <w:tcPr>
            <w:tcW w:w="851" w:type="dxa"/>
            <w:tcMar>
              <w:top w:w="100" w:type="dxa"/>
              <w:left w:w="100" w:type="dxa"/>
              <w:bottom w:w="100" w:type="dxa"/>
              <w:right w:w="100" w:type="dxa"/>
            </w:tcMar>
          </w:tcPr>
          <w:p w14:paraId="00001405"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61.9</w:t>
            </w:r>
          </w:p>
        </w:tc>
      </w:tr>
      <w:tr w:rsidR="00CB4215" w14:paraId="0F3045AE" w14:textId="77777777" w:rsidTr="005E542D">
        <w:trPr>
          <w:trHeight w:val="24"/>
        </w:trPr>
        <w:tc>
          <w:tcPr>
            <w:tcW w:w="2265" w:type="dxa"/>
            <w:tcMar>
              <w:top w:w="100" w:type="dxa"/>
              <w:left w:w="100" w:type="dxa"/>
              <w:bottom w:w="100" w:type="dxa"/>
              <w:right w:w="100" w:type="dxa"/>
            </w:tcMar>
          </w:tcPr>
          <w:p w14:paraId="00001406"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Perceived stress</w:t>
            </w:r>
            <w:r>
              <w:rPr>
                <w:rFonts w:ascii="Times New Roman" w:eastAsia="Times New Roman" w:hAnsi="Times New Roman" w:cs="Times New Roman"/>
                <w:color w:val="000000"/>
                <w:vertAlign w:val="superscript"/>
              </w:rPr>
              <w:t xml:space="preserve">3 </w:t>
            </w:r>
          </w:p>
        </w:tc>
        <w:tc>
          <w:tcPr>
            <w:tcW w:w="1395" w:type="dxa"/>
            <w:tcMar>
              <w:top w:w="100" w:type="dxa"/>
              <w:left w:w="100" w:type="dxa"/>
              <w:bottom w:w="100" w:type="dxa"/>
              <w:right w:w="100" w:type="dxa"/>
            </w:tcMar>
          </w:tcPr>
          <w:p w14:paraId="00001407"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0.13</w:t>
            </w:r>
          </w:p>
        </w:tc>
        <w:tc>
          <w:tcPr>
            <w:tcW w:w="1485" w:type="dxa"/>
            <w:tcMar>
              <w:top w:w="100" w:type="dxa"/>
              <w:left w:w="100" w:type="dxa"/>
              <w:bottom w:w="100" w:type="dxa"/>
              <w:right w:w="100" w:type="dxa"/>
            </w:tcMar>
          </w:tcPr>
          <w:p w14:paraId="00001408"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1234" w:type="dxa"/>
            <w:tcMar>
              <w:top w:w="100" w:type="dxa"/>
              <w:left w:w="100" w:type="dxa"/>
              <w:bottom w:w="100" w:type="dxa"/>
              <w:right w:w="100" w:type="dxa"/>
            </w:tcMar>
          </w:tcPr>
          <w:p w14:paraId="00001409"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559" w:type="dxa"/>
            <w:tcMar>
              <w:top w:w="100" w:type="dxa"/>
              <w:left w:w="100" w:type="dxa"/>
              <w:bottom w:w="100" w:type="dxa"/>
              <w:right w:w="100" w:type="dxa"/>
            </w:tcMar>
          </w:tcPr>
          <w:p w14:paraId="0000140A"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851" w:type="dxa"/>
            <w:tcMar>
              <w:top w:w="100" w:type="dxa"/>
              <w:left w:w="100" w:type="dxa"/>
              <w:bottom w:w="100" w:type="dxa"/>
              <w:right w:w="100" w:type="dxa"/>
            </w:tcMar>
          </w:tcPr>
          <w:p w14:paraId="0000140B"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2.5 </w:t>
            </w:r>
          </w:p>
        </w:tc>
      </w:tr>
      <w:tr w:rsidR="00CB4215" w14:paraId="49EDE7DF" w14:textId="77777777" w:rsidTr="005E542D">
        <w:trPr>
          <w:trHeight w:val="24"/>
        </w:trPr>
        <w:tc>
          <w:tcPr>
            <w:tcW w:w="2265" w:type="dxa"/>
            <w:tcBorders>
              <w:bottom w:val="single" w:sz="4" w:space="0" w:color="000000"/>
            </w:tcBorders>
            <w:tcMar>
              <w:top w:w="100" w:type="dxa"/>
              <w:left w:w="100" w:type="dxa"/>
              <w:bottom w:w="100" w:type="dxa"/>
              <w:right w:w="100" w:type="dxa"/>
            </w:tcMar>
          </w:tcPr>
          <w:p w14:paraId="0000140C"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Ideal portion size</w:t>
            </w:r>
            <w:r>
              <w:rPr>
                <w:rFonts w:ascii="Times New Roman" w:eastAsia="Times New Roman" w:hAnsi="Times New Roman" w:cs="Times New Roman"/>
                <w:color w:val="000000"/>
                <w:vertAlign w:val="superscript"/>
              </w:rPr>
              <w:t>4 a</w:t>
            </w:r>
          </w:p>
        </w:tc>
        <w:tc>
          <w:tcPr>
            <w:tcW w:w="1395" w:type="dxa"/>
            <w:tcBorders>
              <w:bottom w:val="single" w:sz="4" w:space="0" w:color="000000"/>
            </w:tcBorders>
            <w:tcMar>
              <w:top w:w="100" w:type="dxa"/>
              <w:left w:w="100" w:type="dxa"/>
              <w:bottom w:w="100" w:type="dxa"/>
              <w:right w:w="100" w:type="dxa"/>
            </w:tcMar>
          </w:tcPr>
          <w:p w14:paraId="0000140D"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 0.21</w:t>
            </w:r>
          </w:p>
        </w:tc>
        <w:tc>
          <w:tcPr>
            <w:tcW w:w="1485" w:type="dxa"/>
            <w:tcBorders>
              <w:bottom w:val="single" w:sz="4" w:space="0" w:color="000000"/>
            </w:tcBorders>
            <w:tcMar>
              <w:top w:w="100" w:type="dxa"/>
              <w:left w:w="100" w:type="dxa"/>
              <w:bottom w:w="100" w:type="dxa"/>
              <w:right w:w="100" w:type="dxa"/>
            </w:tcMar>
          </w:tcPr>
          <w:p w14:paraId="0000140E"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382.4</w:t>
            </w:r>
          </w:p>
        </w:tc>
        <w:tc>
          <w:tcPr>
            <w:tcW w:w="1234" w:type="dxa"/>
            <w:tcBorders>
              <w:bottom w:val="single" w:sz="4" w:space="0" w:color="000000"/>
            </w:tcBorders>
            <w:tcMar>
              <w:top w:w="100" w:type="dxa"/>
              <w:left w:w="100" w:type="dxa"/>
              <w:bottom w:w="100" w:type="dxa"/>
              <w:right w:w="100" w:type="dxa"/>
            </w:tcMar>
          </w:tcPr>
          <w:p w14:paraId="0000140F"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392.5</w:t>
            </w:r>
          </w:p>
        </w:tc>
        <w:tc>
          <w:tcPr>
            <w:tcW w:w="1559" w:type="dxa"/>
            <w:tcBorders>
              <w:bottom w:val="single" w:sz="4" w:space="0" w:color="000000"/>
            </w:tcBorders>
            <w:tcMar>
              <w:top w:w="100" w:type="dxa"/>
              <w:left w:w="100" w:type="dxa"/>
              <w:bottom w:w="100" w:type="dxa"/>
              <w:right w:w="100" w:type="dxa"/>
            </w:tcMar>
          </w:tcPr>
          <w:p w14:paraId="00001410"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392.3</w:t>
            </w:r>
          </w:p>
        </w:tc>
        <w:tc>
          <w:tcPr>
            <w:tcW w:w="851" w:type="dxa"/>
            <w:tcBorders>
              <w:bottom w:val="single" w:sz="4" w:space="0" w:color="000000"/>
            </w:tcBorders>
            <w:tcMar>
              <w:top w:w="100" w:type="dxa"/>
              <w:left w:w="100" w:type="dxa"/>
              <w:bottom w:w="100" w:type="dxa"/>
              <w:right w:w="100" w:type="dxa"/>
            </w:tcMar>
          </w:tcPr>
          <w:p w14:paraId="00001411" w14:textId="77777777" w:rsidR="00CB4215" w:rsidRDefault="000530B4">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302.3</w:t>
            </w:r>
          </w:p>
        </w:tc>
      </w:tr>
    </w:tbl>
    <w:p w14:paraId="046ABAC7" w14:textId="77777777" w:rsidR="00FC7B35" w:rsidRPr="006C356B" w:rsidRDefault="00FC7B35" w:rsidP="00FC7B35">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Note</w:t>
      </w:r>
      <w:r>
        <w:rPr>
          <w:rFonts w:ascii="Times New Roman" w:eastAsia="Times New Roman" w:hAnsi="Times New Roman" w:cs="Times New Roman"/>
          <w:sz w:val="20"/>
          <w:szCs w:val="20"/>
        </w:rPr>
        <w:t xml:space="preserve">: </w:t>
      </w:r>
      <w:r w:rsidRPr="0064076D">
        <w:rPr>
          <w:rFonts w:ascii="Times New Roman" w:eastAsia="Times New Roman" w:hAnsi="Times New Roman" w:cs="Times New Roman"/>
          <w:sz w:val="20"/>
          <w:szCs w:val="20"/>
        </w:rPr>
        <w:t>All comparisons were controlled for age and gender.</w:t>
      </w:r>
      <w:r>
        <w:rPr>
          <w:rFonts w:ascii="Times New Roman" w:eastAsia="Times New Roman" w:hAnsi="Times New Roman" w:cs="Times New Roman"/>
          <w:sz w:val="20"/>
          <w:szCs w:val="20"/>
        </w:rPr>
        <w:t xml:space="preserve"> </w:t>
      </w:r>
    </w:p>
    <w:p w14:paraId="28DB697D" w14:textId="4CD1601F" w:rsidR="00FC7B35" w:rsidRPr="00FC7B35" w:rsidRDefault="00FC7B35">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are presented as mean, SD or median rank.</w:t>
      </w:r>
    </w:p>
    <w:p w14:paraId="00001415" w14:textId="24278F6A" w:rsidR="00CB4215" w:rsidRDefault="000530B4">
      <w:pPr>
        <w:spacing w:line="240" w:lineRule="auto"/>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MVPA: average moderate to vigorous physical activity per day; Pro: protein intake per day, CHO: carbohydrate intake per day, Fat: fat intake per day</w:t>
      </w:r>
      <w:r w:rsidR="00FC7B35">
        <w:rPr>
          <w:rFonts w:ascii="Times New Roman" w:eastAsia="Times New Roman" w:hAnsi="Times New Roman" w:cs="Times New Roman"/>
          <w:color w:val="000000"/>
          <w:sz w:val="20"/>
          <w:szCs w:val="20"/>
          <w:highlight w:val="white"/>
        </w:rPr>
        <w:t>.</w:t>
      </w:r>
    </w:p>
    <w:p w14:paraId="61F90C34" w14:textId="6A1E36C2" w:rsidR="00FC7B35" w:rsidRDefault="00FC7B35" w:rsidP="00FC7B35">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a</w:t>
      </w:r>
      <w:r>
        <w:rPr>
          <w:rFonts w:ascii="Times New Roman" w:eastAsia="Times New Roman" w:hAnsi="Times New Roman" w:cs="Times New Roman"/>
          <w:color w:val="000000"/>
          <w:sz w:val="20"/>
          <w:szCs w:val="20"/>
        </w:rPr>
        <w:t xml:space="preserve"> Kruskal-Wallis H test.</w:t>
      </w:r>
    </w:p>
    <w:p w14:paraId="2A560A19" w14:textId="545F6122" w:rsidR="00FC7B35" w:rsidRDefault="00FC7B35" w:rsidP="00FC7B35">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Low chaotic snack eater (n = 15), High chaotic snack eater (n = 12), 2: Low chaotic snack eater (n = 16), High chaotic snack eater (n = 13).</w:t>
      </w:r>
    </w:p>
    <w:p w14:paraId="5699B672" w14:textId="2D19DDD1" w:rsidR="00FC7B35" w:rsidRPr="00FC7B35" w:rsidRDefault="00FC7B35">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Low chaotic snack eater (n = 15), High chaotic snack eater (n = 13), 4: Low chaotic snack eater (n = 16), High chaotic snack eater (n = 12).</w:t>
      </w:r>
    </w:p>
    <w:p w14:paraId="00001416" w14:textId="0B8CA16F" w:rsidR="00CB4215" w:rsidRDefault="000530B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Significant differences are shown in bold</w:t>
      </w:r>
      <w:r w:rsidR="00FC7B35">
        <w:rPr>
          <w:rFonts w:ascii="Times New Roman" w:eastAsia="Times New Roman" w:hAnsi="Times New Roman" w:cs="Times New Roman"/>
          <w:color w:val="000000"/>
          <w:sz w:val="20"/>
          <w:szCs w:val="20"/>
        </w:rPr>
        <w:t>.</w:t>
      </w:r>
    </w:p>
    <w:p w14:paraId="00001417" w14:textId="77777777" w:rsidR="00CB4215" w:rsidRDefault="00CB4215">
      <w:pPr>
        <w:spacing w:line="240" w:lineRule="auto"/>
        <w:rPr>
          <w:rFonts w:ascii="Times New Roman" w:eastAsia="Times New Roman" w:hAnsi="Times New Roman" w:cs="Times New Roman"/>
          <w:color w:val="000000"/>
          <w:sz w:val="24"/>
          <w:szCs w:val="24"/>
        </w:rPr>
      </w:pPr>
    </w:p>
    <w:p w14:paraId="00001418" w14:textId="77777777" w:rsidR="00CB4215" w:rsidRDefault="00CB4215">
      <w:pPr>
        <w:spacing w:line="240" w:lineRule="auto"/>
        <w:rPr>
          <w:rFonts w:ascii="Times New Roman" w:eastAsia="Times New Roman" w:hAnsi="Times New Roman" w:cs="Times New Roman"/>
          <w:color w:val="000000"/>
          <w:sz w:val="24"/>
          <w:szCs w:val="24"/>
        </w:rPr>
      </w:pPr>
    </w:p>
    <w:p w14:paraId="00001419" w14:textId="77777777" w:rsidR="00CB4215" w:rsidRDefault="00CB4215">
      <w:pPr>
        <w:spacing w:line="240" w:lineRule="auto"/>
        <w:rPr>
          <w:color w:val="000000"/>
        </w:rPr>
      </w:pPr>
    </w:p>
    <w:p w14:paraId="0000141A" w14:textId="77777777" w:rsidR="00CB4215" w:rsidRDefault="00CB4215">
      <w:pPr>
        <w:spacing w:line="240" w:lineRule="auto"/>
        <w:rPr>
          <w:color w:val="000000"/>
        </w:rPr>
      </w:pPr>
    </w:p>
    <w:p w14:paraId="0000141B" w14:textId="77777777" w:rsidR="00CB4215" w:rsidRDefault="00CB4215">
      <w:pPr>
        <w:spacing w:line="240" w:lineRule="auto"/>
        <w:rPr>
          <w:color w:val="000000"/>
        </w:rPr>
      </w:pPr>
    </w:p>
    <w:p w14:paraId="0000141C" w14:textId="77777777" w:rsidR="00CB4215" w:rsidRDefault="00CB4215">
      <w:pPr>
        <w:spacing w:line="240" w:lineRule="auto"/>
        <w:rPr>
          <w:color w:val="000000"/>
        </w:rPr>
      </w:pPr>
    </w:p>
    <w:p w14:paraId="0000141D" w14:textId="77777777" w:rsidR="00CB4215" w:rsidRDefault="00CB4215">
      <w:pPr>
        <w:spacing w:line="240" w:lineRule="auto"/>
        <w:rPr>
          <w:color w:val="000000"/>
        </w:rPr>
      </w:pPr>
    </w:p>
    <w:p w14:paraId="0000141E" w14:textId="77777777" w:rsidR="00CB4215" w:rsidRDefault="00CB4215">
      <w:pPr>
        <w:spacing w:line="240" w:lineRule="auto"/>
        <w:rPr>
          <w:color w:val="000000"/>
        </w:rPr>
      </w:pPr>
    </w:p>
    <w:p w14:paraId="0000141F" w14:textId="77777777" w:rsidR="00CB4215" w:rsidRDefault="00CB4215">
      <w:pPr>
        <w:spacing w:line="240" w:lineRule="auto"/>
        <w:rPr>
          <w:color w:val="000000"/>
        </w:rPr>
      </w:pPr>
    </w:p>
    <w:p w14:paraId="00001420" w14:textId="77777777" w:rsidR="00CB4215" w:rsidRDefault="00CB4215">
      <w:pPr>
        <w:spacing w:line="240" w:lineRule="auto"/>
        <w:rPr>
          <w:color w:val="000000"/>
        </w:rPr>
      </w:pPr>
    </w:p>
    <w:p w14:paraId="00001421" w14:textId="77777777" w:rsidR="00CB4215" w:rsidRDefault="00CB4215">
      <w:pPr>
        <w:spacing w:line="240" w:lineRule="auto"/>
        <w:rPr>
          <w:color w:val="000000"/>
        </w:rPr>
      </w:pPr>
    </w:p>
    <w:p w14:paraId="00001422" w14:textId="77777777" w:rsidR="00CB4215" w:rsidRDefault="00CB4215">
      <w:pPr>
        <w:spacing w:line="240" w:lineRule="auto"/>
        <w:rPr>
          <w:color w:val="000000"/>
        </w:rPr>
      </w:pPr>
    </w:p>
    <w:p w14:paraId="00001423" w14:textId="77777777" w:rsidR="00CB4215" w:rsidRDefault="00CB4215">
      <w:pPr>
        <w:spacing w:line="240" w:lineRule="auto"/>
        <w:rPr>
          <w:color w:val="000000"/>
        </w:rPr>
      </w:pPr>
    </w:p>
    <w:p w14:paraId="00001424" w14:textId="77777777" w:rsidR="00CB4215" w:rsidRDefault="00CB4215">
      <w:pPr>
        <w:spacing w:line="240" w:lineRule="auto"/>
        <w:rPr>
          <w:color w:val="000000"/>
        </w:rPr>
      </w:pPr>
    </w:p>
    <w:p w14:paraId="00001425" w14:textId="77777777" w:rsidR="00CB4215" w:rsidRDefault="00CB4215">
      <w:pPr>
        <w:spacing w:line="240" w:lineRule="auto"/>
        <w:rPr>
          <w:color w:val="000000"/>
        </w:rPr>
      </w:pPr>
    </w:p>
    <w:p w14:paraId="00001426" w14:textId="77777777" w:rsidR="00CB4215" w:rsidRDefault="00CB4215">
      <w:pPr>
        <w:spacing w:line="240" w:lineRule="auto"/>
        <w:rPr>
          <w:color w:val="000000"/>
        </w:rPr>
      </w:pPr>
    </w:p>
    <w:p w14:paraId="00001427" w14:textId="77777777" w:rsidR="00CB4215" w:rsidRDefault="00CB4215">
      <w:pPr>
        <w:spacing w:line="240" w:lineRule="auto"/>
        <w:rPr>
          <w:color w:val="000000"/>
        </w:rPr>
      </w:pPr>
    </w:p>
    <w:p w14:paraId="00001428" w14:textId="77777777" w:rsidR="00CB4215" w:rsidRDefault="00CB4215">
      <w:pPr>
        <w:spacing w:line="240" w:lineRule="auto"/>
        <w:rPr>
          <w:color w:val="000000"/>
        </w:rPr>
      </w:pPr>
    </w:p>
    <w:p w14:paraId="00001429" w14:textId="77777777" w:rsidR="00CB4215" w:rsidRDefault="00CB4215">
      <w:pPr>
        <w:spacing w:line="240" w:lineRule="auto"/>
        <w:rPr>
          <w:color w:val="000000"/>
        </w:rPr>
      </w:pPr>
    </w:p>
    <w:p w14:paraId="0000142A" w14:textId="77777777" w:rsidR="00CB4215" w:rsidRDefault="00CB4215">
      <w:pPr>
        <w:spacing w:line="240" w:lineRule="auto"/>
        <w:rPr>
          <w:color w:val="000000"/>
        </w:rPr>
      </w:pPr>
    </w:p>
    <w:p w14:paraId="0000142B" w14:textId="77777777" w:rsidR="00CB4215" w:rsidRDefault="00CB4215">
      <w:pPr>
        <w:spacing w:line="240" w:lineRule="auto"/>
        <w:rPr>
          <w:color w:val="000000"/>
        </w:rPr>
      </w:pPr>
    </w:p>
    <w:p w14:paraId="0000142C" w14:textId="77777777" w:rsidR="00CB4215" w:rsidRDefault="00CB4215">
      <w:pPr>
        <w:spacing w:line="240" w:lineRule="auto"/>
        <w:rPr>
          <w:color w:val="000000"/>
        </w:rPr>
      </w:pPr>
    </w:p>
    <w:p w14:paraId="0000142D" w14:textId="77777777" w:rsidR="00CB4215" w:rsidRDefault="00CB4215">
      <w:pPr>
        <w:spacing w:line="240" w:lineRule="auto"/>
        <w:rPr>
          <w:color w:val="000000"/>
        </w:rPr>
      </w:pPr>
    </w:p>
    <w:p w14:paraId="0000142E" w14:textId="77777777" w:rsidR="00CB4215" w:rsidRDefault="00CB4215">
      <w:pPr>
        <w:spacing w:line="240" w:lineRule="auto"/>
        <w:rPr>
          <w:color w:val="000000"/>
        </w:rPr>
      </w:pPr>
    </w:p>
    <w:p w14:paraId="0000142F" w14:textId="77777777" w:rsidR="00CB4215" w:rsidRDefault="00CB4215">
      <w:pPr>
        <w:spacing w:line="240" w:lineRule="auto"/>
        <w:rPr>
          <w:color w:val="000000"/>
        </w:rPr>
      </w:pPr>
    </w:p>
    <w:p w14:paraId="00001430" w14:textId="77777777" w:rsidR="00CB4215" w:rsidRDefault="00CB4215">
      <w:pPr>
        <w:spacing w:line="240" w:lineRule="auto"/>
        <w:rPr>
          <w:color w:val="000000"/>
        </w:rPr>
      </w:pPr>
    </w:p>
    <w:p w14:paraId="00001431" w14:textId="77777777" w:rsidR="00CB4215" w:rsidRDefault="00CB4215">
      <w:pPr>
        <w:spacing w:line="240" w:lineRule="auto"/>
        <w:rPr>
          <w:color w:val="000000"/>
        </w:rPr>
      </w:pPr>
    </w:p>
    <w:p w14:paraId="00001432" w14:textId="77777777" w:rsidR="00CB4215" w:rsidRDefault="00CB4215">
      <w:pPr>
        <w:spacing w:line="240" w:lineRule="auto"/>
        <w:rPr>
          <w:color w:val="000000"/>
        </w:rPr>
      </w:pPr>
    </w:p>
    <w:p w14:paraId="00001433" w14:textId="77777777" w:rsidR="00CB4215" w:rsidRDefault="00CB4215">
      <w:pPr>
        <w:spacing w:line="240" w:lineRule="auto"/>
        <w:rPr>
          <w:color w:val="000000"/>
        </w:rPr>
      </w:pPr>
    </w:p>
    <w:p w14:paraId="00001434" w14:textId="77777777" w:rsidR="00CB4215" w:rsidRDefault="00CB4215">
      <w:pPr>
        <w:spacing w:line="240" w:lineRule="auto"/>
        <w:rPr>
          <w:color w:val="000000"/>
        </w:rPr>
      </w:pPr>
    </w:p>
    <w:p w14:paraId="00001435" w14:textId="77777777" w:rsidR="00CB4215" w:rsidRDefault="00CB4215">
      <w:pPr>
        <w:spacing w:line="240" w:lineRule="auto"/>
        <w:rPr>
          <w:color w:val="000000"/>
        </w:rPr>
      </w:pPr>
    </w:p>
    <w:p w14:paraId="00001436" w14:textId="77777777" w:rsidR="00CB4215" w:rsidRDefault="00CB4215">
      <w:pPr>
        <w:spacing w:line="240" w:lineRule="auto"/>
        <w:rPr>
          <w:color w:val="000000"/>
        </w:rPr>
      </w:pPr>
    </w:p>
    <w:p w14:paraId="00001437" w14:textId="77777777" w:rsidR="00CB4215" w:rsidRDefault="00CB4215">
      <w:pPr>
        <w:spacing w:line="240" w:lineRule="auto"/>
        <w:rPr>
          <w:color w:val="000000"/>
        </w:rPr>
      </w:pPr>
    </w:p>
    <w:p w14:paraId="00001438" w14:textId="77777777" w:rsidR="00CB4215" w:rsidRDefault="000530B4">
      <w:pPr>
        <w:pStyle w:val="Heading1"/>
        <w:rPr>
          <w:rFonts w:ascii="Times New Roman" w:eastAsia="Times New Roman" w:hAnsi="Times New Roman" w:cs="Times New Roman"/>
          <w:b/>
          <w:color w:val="000000"/>
        </w:rPr>
      </w:pPr>
      <w:bookmarkStart w:id="153" w:name="_Toc172984846"/>
      <w:r>
        <w:rPr>
          <w:rFonts w:ascii="Times New Roman" w:eastAsia="Times New Roman" w:hAnsi="Times New Roman" w:cs="Times New Roman"/>
          <w:b/>
          <w:color w:val="000000"/>
        </w:rPr>
        <w:lastRenderedPageBreak/>
        <w:t>Appendix D. Supplementary material for Study 3 (Chapter 6)</w:t>
      </w:r>
      <w:bookmarkEnd w:id="153"/>
      <w:r>
        <w:rPr>
          <w:rFonts w:ascii="Times New Roman" w:eastAsia="Times New Roman" w:hAnsi="Times New Roman" w:cs="Times New Roman"/>
          <w:b/>
          <w:color w:val="000000"/>
        </w:rPr>
        <w:t xml:space="preserve"> </w:t>
      </w:r>
    </w:p>
    <w:p w14:paraId="00001439" w14:textId="77777777" w:rsidR="00CB4215" w:rsidRDefault="00CB4215">
      <w:pPr>
        <w:spacing w:line="360" w:lineRule="auto"/>
        <w:rPr>
          <w:rFonts w:ascii="Times New Roman" w:eastAsia="Times New Roman" w:hAnsi="Times New Roman" w:cs="Times New Roman"/>
          <w:color w:val="000000"/>
          <w:sz w:val="24"/>
          <w:szCs w:val="24"/>
        </w:rPr>
      </w:pPr>
    </w:p>
    <w:p w14:paraId="0000143A" w14:textId="77777777" w:rsidR="00CB4215" w:rsidRDefault="000530B4">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Instruction: Thank you for agreeing to take part in this interview. The interview will be divided into two parts. Firstly, I will ask you some questions about eating late in the evening. Then, we will discuss factors that you think would help or support earlier eating. Please note that this interview will be recorded and transcribed. Your name and any identifying information will remain confidential. We will ensure that your real name and personal identifying information are not used when reporting our findings.</w:t>
      </w:r>
    </w:p>
    <w:p w14:paraId="0000143B" w14:textId="77777777" w:rsidR="00CB4215" w:rsidRDefault="00CB4215">
      <w:pPr>
        <w:spacing w:line="360" w:lineRule="auto"/>
        <w:rPr>
          <w:rFonts w:ascii="Times New Roman" w:eastAsia="Times New Roman" w:hAnsi="Times New Roman" w:cs="Times New Roman"/>
          <w:color w:val="000000"/>
          <w:sz w:val="24"/>
          <w:szCs w:val="24"/>
        </w:rPr>
      </w:pPr>
    </w:p>
    <w:p w14:paraId="0000143C" w14:textId="77777777" w:rsidR="00CB4215" w:rsidRDefault="000530B4">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keep in mind that there are no right or wrong answers. If you require clarification on any question or would like me to repeat it, please feel free to let me know at any point during the interview. Do you have any questions before we proceed?  </w:t>
      </w:r>
    </w:p>
    <w:p w14:paraId="0000143D" w14:textId="77777777" w:rsidR="00CB4215" w:rsidRDefault="00CB4215">
      <w:pPr>
        <w:spacing w:line="360" w:lineRule="auto"/>
        <w:rPr>
          <w:rFonts w:ascii="Times New Roman" w:eastAsia="Times New Roman" w:hAnsi="Times New Roman" w:cs="Times New Roman"/>
          <w:color w:val="000000"/>
          <w:sz w:val="24"/>
          <w:szCs w:val="24"/>
        </w:rPr>
      </w:pPr>
    </w:p>
    <w:p w14:paraId="0000143E" w14:textId="42EB6FE3" w:rsidR="00CB4215" w:rsidRPr="00FC7B35" w:rsidRDefault="000530B4" w:rsidP="00FC7B35">
      <w:pPr>
        <w:spacing w:line="240" w:lineRule="auto"/>
        <w:rPr>
          <w:rFonts w:ascii="Times New Roman" w:eastAsia="Times New Roman" w:hAnsi="Times New Roman" w:cs="Times New Roman"/>
          <w:color w:val="000000"/>
          <w:sz w:val="20"/>
          <w:szCs w:val="20"/>
        </w:rPr>
      </w:pPr>
      <w:r w:rsidRPr="00FC7B35">
        <w:rPr>
          <w:rFonts w:ascii="Times New Roman" w:eastAsia="Times New Roman" w:hAnsi="Times New Roman" w:cs="Times New Roman"/>
          <w:i/>
          <w:iCs/>
          <w:color w:val="000000"/>
          <w:sz w:val="20"/>
          <w:szCs w:val="20"/>
        </w:rPr>
        <w:t>Table S1.</w:t>
      </w:r>
      <w:r w:rsidRPr="00FC7B35">
        <w:rPr>
          <w:rFonts w:ascii="Times New Roman" w:eastAsia="Times New Roman" w:hAnsi="Times New Roman" w:cs="Times New Roman"/>
          <w:color w:val="000000"/>
          <w:sz w:val="20"/>
          <w:szCs w:val="20"/>
        </w:rPr>
        <w:t xml:space="preserve"> Interview questions</w:t>
      </w:r>
    </w:p>
    <w:tbl>
      <w:tblPr>
        <w:tblStyle w:val="aff2"/>
        <w:tblW w:w="8931" w:type="dxa"/>
        <w:tblBorders>
          <w:top w:val="single" w:sz="8" w:space="0" w:color="000000"/>
          <w:bottom w:val="single" w:sz="4"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CB4215" w14:paraId="46E530AD" w14:textId="77777777">
        <w:trPr>
          <w:trHeight w:val="420"/>
        </w:trPr>
        <w:tc>
          <w:tcPr>
            <w:tcW w:w="8931" w:type="dxa"/>
          </w:tcPr>
          <w:p w14:paraId="0000143F" w14:textId="77777777" w:rsidR="00CB4215" w:rsidRDefault="000530B4">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Opening questions</w:t>
            </w:r>
            <w:r>
              <w:rPr>
                <w:rFonts w:ascii="Times New Roman" w:eastAsia="Times New Roman" w:hAnsi="Times New Roman" w:cs="Times New Roman"/>
                <w:color w:val="000000"/>
                <w:sz w:val="24"/>
                <w:szCs w:val="24"/>
              </w:rPr>
              <w:t xml:space="preserve"> </w:t>
            </w:r>
          </w:p>
        </w:tc>
      </w:tr>
      <w:tr w:rsidR="00CB4215" w14:paraId="61892E71" w14:textId="77777777">
        <w:trPr>
          <w:trHeight w:val="420"/>
        </w:trPr>
        <w:tc>
          <w:tcPr>
            <w:tcW w:w="8931" w:type="dxa"/>
          </w:tcPr>
          <w:p w14:paraId="00001440" w14:textId="77777777" w:rsidR="00CB4215" w:rsidRDefault="000530B4">
            <w:pPr>
              <w:widowControl w:val="0"/>
              <w:numPr>
                <w:ilvl w:val="0"/>
                <w:numId w:val="18"/>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 you please describe a typical day in terms of your eating habits and routines? For example, what time do you usually eat your meals?</w:t>
            </w:r>
          </w:p>
          <w:p w14:paraId="00001441" w14:textId="77777777" w:rsidR="00CB4215" w:rsidRDefault="000530B4">
            <w:pPr>
              <w:widowControl w:val="0"/>
              <w:numPr>
                <w:ilvl w:val="0"/>
                <w:numId w:val="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Prompt: When do you usually eat and drink in the evening?</w:t>
            </w:r>
          </w:p>
          <w:p w14:paraId="00001442" w14:textId="77777777" w:rsidR="00CB4215" w:rsidRDefault="000530B4">
            <w:pPr>
              <w:widowControl w:val="0"/>
              <w:numPr>
                <w:ilvl w:val="0"/>
                <w:numId w:val="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Prompt: What type of things do you typically eat and drink in the evening?</w:t>
            </w:r>
          </w:p>
        </w:tc>
      </w:tr>
      <w:tr w:rsidR="00CB4215" w14:paraId="66C79DD5" w14:textId="77777777">
        <w:trPr>
          <w:trHeight w:val="420"/>
        </w:trPr>
        <w:tc>
          <w:tcPr>
            <w:tcW w:w="8931" w:type="dxa"/>
          </w:tcPr>
          <w:p w14:paraId="00001443" w14:textId="77777777" w:rsidR="00CB4215" w:rsidRDefault="000530B4">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First, we are interested in the </w:t>
            </w:r>
            <w:r>
              <w:rPr>
                <w:rFonts w:ascii="Times New Roman" w:eastAsia="Times New Roman" w:hAnsi="Times New Roman" w:cs="Times New Roman"/>
                <w:b/>
                <w:color w:val="000000"/>
                <w:sz w:val="24"/>
                <w:szCs w:val="24"/>
                <w:highlight w:val="white"/>
              </w:rPr>
              <w:t xml:space="preserve">factors that may contribute to eating late in the evening </w:t>
            </w:r>
          </w:p>
        </w:tc>
      </w:tr>
      <w:tr w:rsidR="00CB4215" w14:paraId="12FEED17" w14:textId="77777777">
        <w:trPr>
          <w:trHeight w:val="420"/>
        </w:trPr>
        <w:tc>
          <w:tcPr>
            <w:tcW w:w="8931" w:type="dxa"/>
          </w:tcPr>
          <w:p w14:paraId="00001444" w14:textId="77777777" w:rsidR="00CB4215" w:rsidRDefault="000530B4">
            <w:pPr>
              <w:widowControl w:val="0"/>
              <w:numPr>
                <w:ilvl w:val="0"/>
                <w:numId w:val="1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do you think are the main factors that lead you to eat late in the evening?</w:t>
            </w:r>
          </w:p>
          <w:p w14:paraId="00001445" w14:textId="77777777" w:rsidR="00CB4215" w:rsidRDefault="000530B4">
            <w:pPr>
              <w:widowControl w:val="0"/>
              <w:numPr>
                <w:ilvl w:val="0"/>
                <w:numId w:val="2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Prompt (physiological):</w:t>
            </w:r>
          </w:p>
          <w:p w14:paraId="00001446" w14:textId="77777777" w:rsidR="00CB4215" w:rsidRDefault="000530B4">
            <w:pPr>
              <w:widowControl w:val="0"/>
              <w:ind w:left="144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How does your daily routine or schedule impact the times that you in the evening?</w:t>
            </w:r>
          </w:p>
          <w:p w14:paraId="00001447" w14:textId="77777777" w:rsidR="00CB4215" w:rsidRDefault="000530B4">
            <w:pPr>
              <w:widowControl w:val="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How would you describe your feelings of hunger and fullness in the evening?</w:t>
            </w:r>
          </w:p>
          <w:p w14:paraId="00001448" w14:textId="77777777" w:rsidR="00CB4215" w:rsidRDefault="000530B4">
            <w:pPr>
              <w:widowControl w:val="0"/>
              <w:numPr>
                <w:ilvl w:val="0"/>
                <w:numId w:val="2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Prompt (psychological):</w:t>
            </w:r>
          </w:p>
          <w:p w14:paraId="00001449" w14:textId="77777777" w:rsidR="00CB4215" w:rsidRDefault="000530B4">
            <w:pPr>
              <w:widowControl w:val="0"/>
              <w:ind w:left="144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Are there any emotional factors that influence the time you eat in the evening?</w:t>
            </w:r>
          </w:p>
          <w:p w14:paraId="0000144A" w14:textId="77777777" w:rsidR="00CB4215" w:rsidRDefault="000530B4">
            <w:pPr>
              <w:widowControl w:val="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How do you feel after eating late at night?</w:t>
            </w:r>
          </w:p>
          <w:p w14:paraId="0000144B" w14:textId="77777777" w:rsidR="00CB4215" w:rsidRDefault="000530B4">
            <w:pPr>
              <w:widowControl w:val="0"/>
              <w:numPr>
                <w:ilvl w:val="0"/>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you are near tempting food or it is easy for you to access tempting foods (for example, you might have food in the cupboard, or live near a shop selling tempting food), what kind of thoughts and feelings do you have? </w:t>
            </w:r>
          </w:p>
          <w:p w14:paraId="0000144C" w14:textId="77777777" w:rsidR="00CB4215" w:rsidRDefault="000530B4">
            <w:pPr>
              <w:widowControl w:val="0"/>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Prompt: how strong is your motivation to eat the food? </w:t>
            </w:r>
          </w:p>
          <w:p w14:paraId="0000144D" w14:textId="77777777" w:rsidR="00CB4215" w:rsidRDefault="000530B4">
            <w:pPr>
              <w:widowControl w:val="0"/>
              <w:numPr>
                <w:ilvl w:val="0"/>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does your family/friends or people you live with influence when you eat in the evening?</w:t>
            </w:r>
          </w:p>
          <w:p w14:paraId="0000144E" w14:textId="77777777" w:rsidR="00CB4215" w:rsidRDefault="000530B4">
            <w:pPr>
              <w:widowControl w:val="0"/>
              <w:numPr>
                <w:ilvl w:val="0"/>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 you notice any differences in your eating time in the evening when you are in a different place, such as being at home versus being out with friends or travelling?</w:t>
            </w:r>
          </w:p>
          <w:p w14:paraId="0000144F" w14:textId="77777777" w:rsidR="00CB4215" w:rsidRDefault="000530B4">
            <w:pPr>
              <w:widowControl w:val="0"/>
              <w:numPr>
                <w:ilvl w:val="0"/>
                <w:numId w:val="20"/>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Prompt: Is it consistent every night or some nights?</w:t>
            </w:r>
          </w:p>
          <w:p w14:paraId="00001450" w14:textId="77777777" w:rsidR="00CB4215" w:rsidRDefault="000530B4">
            <w:pPr>
              <w:widowControl w:val="0"/>
              <w:numPr>
                <w:ilvl w:val="0"/>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is your eating schedule (or times you eat) different over the weekend (or on days when you do not work)?</w:t>
            </w:r>
          </w:p>
          <w:p w14:paraId="00001451" w14:textId="77777777" w:rsidR="00CB4215" w:rsidRDefault="000530B4">
            <w:pPr>
              <w:widowControl w:val="0"/>
              <w:numPr>
                <w:ilvl w:val="0"/>
                <w:numId w:val="3"/>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 there anything that stops you from eating late in the evening? </w:t>
            </w:r>
          </w:p>
          <w:p w14:paraId="00001452" w14:textId="77777777" w:rsidR="00CB4215" w:rsidRDefault="000530B4">
            <w:pPr>
              <w:widowControl w:val="0"/>
              <w:numPr>
                <w:ilvl w:val="1"/>
                <w:numId w:val="3"/>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Prompts:  e.g., any tasks or activities </w:t>
            </w:r>
          </w:p>
        </w:tc>
      </w:tr>
      <w:tr w:rsidR="00CB4215" w14:paraId="58DA56BB" w14:textId="77777777">
        <w:trPr>
          <w:trHeight w:val="420"/>
        </w:trPr>
        <w:tc>
          <w:tcPr>
            <w:tcW w:w="8931" w:type="dxa"/>
          </w:tcPr>
          <w:p w14:paraId="00001453" w14:textId="77777777" w:rsidR="00CB4215" w:rsidRDefault="000530B4">
            <w:pPr>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Next, we’ll discuss factors or approaches</w:t>
            </w:r>
            <w:r>
              <w:rPr>
                <w:rFonts w:ascii="Times New Roman" w:eastAsia="Times New Roman" w:hAnsi="Times New Roman" w:cs="Times New Roman"/>
                <w:color w:val="000000"/>
                <w:sz w:val="24"/>
                <w:szCs w:val="24"/>
              </w:rPr>
              <w:t xml:space="preserve"> that might make eating earlier in the evening easy or challenging to follow</w:t>
            </w:r>
            <w:r>
              <w:rPr>
                <w:rFonts w:ascii="Times New Roman" w:eastAsia="Times New Roman" w:hAnsi="Times New Roman" w:cs="Times New Roman"/>
                <w:b/>
                <w:color w:val="000000"/>
                <w:sz w:val="24"/>
                <w:szCs w:val="24"/>
              </w:rPr>
              <w:t xml:space="preserve">  </w:t>
            </w:r>
          </w:p>
        </w:tc>
      </w:tr>
      <w:tr w:rsidR="00CB4215" w14:paraId="4B3E39CC" w14:textId="77777777">
        <w:trPr>
          <w:trHeight w:val="420"/>
        </w:trPr>
        <w:tc>
          <w:tcPr>
            <w:tcW w:w="8931" w:type="dxa"/>
            <w:shd w:val="clear" w:color="auto" w:fill="auto"/>
            <w:tcMar>
              <w:top w:w="100" w:type="dxa"/>
              <w:left w:w="100" w:type="dxa"/>
              <w:bottom w:w="100" w:type="dxa"/>
              <w:right w:w="100" w:type="dxa"/>
            </w:tcMar>
          </w:tcPr>
          <w:p w14:paraId="00001454" w14:textId="77777777" w:rsidR="00CB4215" w:rsidRDefault="000530B4">
            <w:pPr>
              <w:widowControl w:val="0"/>
              <w:numPr>
                <w:ilvl w:val="0"/>
                <w:numId w:val="22"/>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what time do you consider eating to be too late in the evening? And why? </w:t>
            </w:r>
          </w:p>
          <w:p w14:paraId="00001455" w14:textId="77777777" w:rsidR="00CB4215" w:rsidRDefault="000530B4">
            <w:pPr>
              <w:widowControl w:val="0"/>
              <w:numPr>
                <w:ilvl w:val="0"/>
                <w:numId w:val="6"/>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were trying to eat earlier in the evening and stop eating by 8 PM, what do you think would be the main barriers? </w:t>
            </w:r>
          </w:p>
          <w:p w14:paraId="00001456" w14:textId="77777777" w:rsidR="00CB4215" w:rsidRDefault="000530B4">
            <w:pPr>
              <w:widowControl w:val="0"/>
              <w:numPr>
                <w:ilvl w:val="0"/>
                <w:numId w:val="2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Prompts: work, weekday versus weekends, eating location, families, work colleagues</w:t>
            </w:r>
          </w:p>
          <w:p w14:paraId="00001457" w14:textId="77777777" w:rsidR="00CB4215" w:rsidRDefault="000530B4">
            <w:pPr>
              <w:widowControl w:val="0"/>
              <w:numPr>
                <w:ilvl w:val="0"/>
                <w:numId w:val="26"/>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were trying to eat earlier in the evening and stop eating by 8 PM, what factors do you think would help you?  </w:t>
            </w:r>
          </w:p>
          <w:p w14:paraId="00001458" w14:textId="77777777" w:rsidR="00CB4215" w:rsidRDefault="000530B4">
            <w:pPr>
              <w:widowControl w:val="0"/>
              <w:numPr>
                <w:ilvl w:val="0"/>
                <w:numId w:val="12"/>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Prompts: work, weekday versus weekends, eating location, families, work colleagues</w:t>
            </w:r>
          </w:p>
          <w:p w14:paraId="00001459" w14:textId="77777777" w:rsidR="00CB4215" w:rsidRDefault="000530B4">
            <w:pPr>
              <w:widowControl w:val="0"/>
              <w:numPr>
                <w:ilvl w:val="0"/>
                <w:numId w:val="27"/>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would be the main motivators to eating earlier in the evening and stopping by 8 PM? </w:t>
            </w:r>
          </w:p>
          <w:p w14:paraId="0000145A" w14:textId="77777777" w:rsidR="00CB4215" w:rsidRDefault="000530B4">
            <w:pPr>
              <w:widowControl w:val="0"/>
              <w:numPr>
                <w:ilvl w:val="0"/>
                <w:numId w:val="26"/>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much benefit do you feel eating earlier in the evening and stopping by 8 PM would give you?</w:t>
            </w:r>
          </w:p>
          <w:p w14:paraId="0000145B" w14:textId="77777777" w:rsidR="00CB4215" w:rsidRDefault="000530B4">
            <w:pPr>
              <w:widowControl w:val="0"/>
              <w:numPr>
                <w:ilvl w:val="0"/>
                <w:numId w:val="17"/>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how you think eating earlier in the evening and stopping by 8 PM would make you feel?</w:t>
            </w:r>
          </w:p>
          <w:p w14:paraId="0000145C" w14:textId="77777777" w:rsidR="00CB4215" w:rsidRDefault="000530B4">
            <w:pPr>
              <w:widowControl w:val="0"/>
              <w:numPr>
                <w:ilvl w:val="0"/>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Prompt: Would you feel content, tired etc? </w:t>
            </w:r>
          </w:p>
          <w:p w14:paraId="0000145D" w14:textId="77777777" w:rsidR="00CB4215" w:rsidRDefault="000530B4">
            <w:pPr>
              <w:widowControl w:val="0"/>
              <w:numPr>
                <w:ilvl w:val="0"/>
                <w:numId w:val="2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Do you think you would be willing to shift </w:t>
            </w:r>
            <w:proofErr w:type="spellStart"/>
            <w:r>
              <w:rPr>
                <w:rFonts w:ascii="Times New Roman" w:eastAsia="Times New Roman" w:hAnsi="Times New Roman" w:cs="Times New Roman"/>
                <w:color w:val="000000"/>
                <w:sz w:val="24"/>
                <w:szCs w:val="24"/>
                <w:highlight w:val="white"/>
              </w:rPr>
              <w:t>your</w:t>
            </w:r>
            <w:proofErr w:type="spellEnd"/>
            <w:r>
              <w:rPr>
                <w:rFonts w:ascii="Times New Roman" w:eastAsia="Times New Roman" w:hAnsi="Times New Roman" w:cs="Times New Roman"/>
                <w:color w:val="000000"/>
                <w:sz w:val="24"/>
                <w:szCs w:val="24"/>
                <w:highlight w:val="white"/>
              </w:rPr>
              <w:t xml:space="preserve"> eating timings in the evening earlier and stop eating by 8 PM?</w:t>
            </w:r>
          </w:p>
          <w:p w14:paraId="0000145E" w14:textId="77777777" w:rsidR="00CB4215" w:rsidRDefault="000530B4">
            <w:pPr>
              <w:widowControl w:val="0"/>
              <w:numPr>
                <w:ilvl w:val="0"/>
                <w:numId w:val="23"/>
              </w:num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We are considering a programme or initiative to encourage people to eat earlier in the evening. Hypothetically, would you be willing to take part in a programme like this? </w:t>
            </w:r>
          </w:p>
          <w:p w14:paraId="0000145F" w14:textId="77777777" w:rsidR="00CB4215" w:rsidRDefault="000530B4">
            <w:pPr>
              <w:widowControl w:val="0"/>
              <w:numPr>
                <w:ilvl w:val="1"/>
                <w:numId w:val="23"/>
              </w:num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Prompt: if not, why not and what would change your mind?</w:t>
            </w:r>
          </w:p>
          <w:p w14:paraId="00001460" w14:textId="77777777" w:rsidR="00CB4215" w:rsidRDefault="000530B4">
            <w:pPr>
              <w:widowControl w:val="0"/>
              <w:numPr>
                <w:ilvl w:val="0"/>
                <w:numId w:val="23"/>
              </w:num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What kind of practical and useful support within the program do you think would help you to eat earlier in the evening?</w:t>
            </w:r>
          </w:p>
        </w:tc>
      </w:tr>
    </w:tbl>
    <w:p w14:paraId="00001461" w14:textId="77777777" w:rsidR="00CB4215" w:rsidRDefault="00CB4215">
      <w:pPr>
        <w:rPr>
          <w:color w:val="000000"/>
        </w:rPr>
      </w:pPr>
    </w:p>
    <w:p w14:paraId="00001462" w14:textId="77777777" w:rsidR="00CB4215" w:rsidRDefault="000530B4">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Participant Information Sheet and Consent form for online screening </w:t>
      </w:r>
    </w:p>
    <w:p w14:paraId="0000146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Eligibility Screening Questionnaire (administered via Qualtrics)</w:t>
      </w:r>
    </w:p>
    <w:p w14:paraId="00001464" w14:textId="77777777" w:rsidR="00CB4215" w:rsidRDefault="00CB4215">
      <w:pPr>
        <w:rPr>
          <w:rFonts w:ascii="Times New Roman" w:eastAsia="Times New Roman" w:hAnsi="Times New Roman" w:cs="Times New Roman"/>
          <w:color w:val="000000"/>
          <w:sz w:val="24"/>
          <w:szCs w:val="24"/>
        </w:rPr>
      </w:pPr>
    </w:p>
    <w:p w14:paraId="00001465"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An interview study aiming to explore eating in the evening in adults living with overweight or obesity: Eligibility Screening.</w:t>
      </w:r>
    </w:p>
    <w:p w14:paraId="00001466" w14:textId="77777777" w:rsidR="00CB4215" w:rsidRDefault="00CB4215">
      <w:pPr>
        <w:rPr>
          <w:rFonts w:ascii="Times New Roman" w:eastAsia="Times New Roman" w:hAnsi="Times New Roman" w:cs="Times New Roman"/>
          <w:color w:val="000000"/>
          <w:sz w:val="24"/>
          <w:szCs w:val="24"/>
        </w:rPr>
      </w:pPr>
    </w:p>
    <w:p w14:paraId="0000146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is the purpose of this study?</w:t>
      </w:r>
    </w:p>
    <w:p w14:paraId="00001468"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purpose of this survey is to assess eligibility to take part in an interview aiming to explore eating late in the evening in adults living with overweight or obesity. </w:t>
      </w:r>
    </w:p>
    <w:p w14:paraId="00001469" w14:textId="77777777" w:rsidR="00CB4215" w:rsidRDefault="00CB4215">
      <w:pPr>
        <w:rPr>
          <w:rFonts w:ascii="Times New Roman" w:eastAsia="Times New Roman" w:hAnsi="Times New Roman" w:cs="Times New Roman"/>
          <w:color w:val="000000"/>
          <w:sz w:val="24"/>
          <w:szCs w:val="24"/>
        </w:rPr>
      </w:pPr>
    </w:p>
    <w:p w14:paraId="0000146A"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Can I take part?</w:t>
      </w:r>
    </w:p>
    <w:p w14:paraId="0000146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take part in this study, you need to be: </w:t>
      </w:r>
    </w:p>
    <w:p w14:paraId="0000146C" w14:textId="77777777" w:rsidR="00CB4215" w:rsidRDefault="000530B4">
      <w:pPr>
        <w:numPr>
          <w:ilvl w:val="0"/>
          <w:numId w:val="2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Aged 18 - 65 years,</w:t>
      </w:r>
    </w:p>
    <w:p w14:paraId="0000146D" w14:textId="77777777" w:rsidR="00CB4215" w:rsidRDefault="000530B4">
      <w:pPr>
        <w:numPr>
          <w:ilvl w:val="0"/>
          <w:numId w:val="2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Living with overweight or obesity (based on having a body mass index that is 25 kg/m</w:t>
      </w:r>
      <w:r>
        <w:rPr>
          <w:rFonts w:ascii="Times New Roman" w:eastAsia="Times New Roman" w:hAnsi="Times New Roman" w:cs="Times New Roman"/>
          <w:color w:val="000000"/>
          <w:sz w:val="24"/>
          <w:szCs w:val="24"/>
          <w:vertAlign w:val="superscript"/>
        </w:rPr>
        <w:t xml:space="preserve">2 </w:t>
      </w:r>
      <w:r>
        <w:rPr>
          <w:rFonts w:ascii="Times New Roman" w:eastAsia="Times New Roman" w:hAnsi="Times New Roman" w:cs="Times New Roman"/>
          <w:color w:val="000000"/>
          <w:sz w:val="24"/>
          <w:szCs w:val="24"/>
        </w:rPr>
        <w:t>or over; to work out your BMI see here:</w:t>
      </w:r>
      <w:hyperlink r:id="rId850">
        <w:r>
          <w:rPr>
            <w:rFonts w:ascii="Times New Roman" w:eastAsia="Times New Roman" w:hAnsi="Times New Roman" w:cs="Times New Roman"/>
            <w:color w:val="000000"/>
            <w:sz w:val="24"/>
            <w:szCs w:val="24"/>
            <w:u w:val="single"/>
          </w:rPr>
          <w:t xml:space="preserve"> https://www.cdc.gov/healthyweight/assessing/bmi/adult_bmi/english_bmi_calculator/bmi_calculator.html</w:t>
        </w:r>
      </w:hyperlink>
      <w:r>
        <w:rPr>
          <w:rFonts w:ascii="Times New Roman" w:eastAsia="Times New Roman" w:hAnsi="Times New Roman" w:cs="Times New Roman"/>
          <w:color w:val="000000"/>
          <w:sz w:val="24"/>
          <w:szCs w:val="24"/>
        </w:rPr>
        <w:t>), </w:t>
      </w:r>
    </w:p>
    <w:p w14:paraId="0000146E" w14:textId="77777777" w:rsidR="00CB4215" w:rsidRDefault="000530B4">
      <w:pPr>
        <w:numPr>
          <w:ilvl w:val="0"/>
          <w:numId w:val="2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be pregnant or breastfeeding,</w:t>
      </w:r>
    </w:p>
    <w:p w14:paraId="0000146F" w14:textId="77777777" w:rsidR="00CB4215" w:rsidRDefault="000530B4">
      <w:pPr>
        <w:numPr>
          <w:ilvl w:val="0"/>
          <w:numId w:val="2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no current or history of eating disorders,</w:t>
      </w:r>
    </w:p>
    <w:p w14:paraId="00001470" w14:textId="77777777" w:rsidR="00CB4215" w:rsidRDefault="000530B4">
      <w:pPr>
        <w:numPr>
          <w:ilvl w:val="0"/>
          <w:numId w:val="2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consuming the last eating episode after 8 PM.</w:t>
      </w:r>
    </w:p>
    <w:p w14:paraId="00001471" w14:textId="77777777" w:rsidR="00CB4215" w:rsidRDefault="00CB4215">
      <w:pPr>
        <w:rPr>
          <w:rFonts w:ascii="Times New Roman" w:eastAsia="Times New Roman" w:hAnsi="Times New Roman" w:cs="Times New Roman"/>
          <w:color w:val="000000"/>
          <w:sz w:val="24"/>
          <w:szCs w:val="24"/>
        </w:rPr>
      </w:pPr>
    </w:p>
    <w:p w14:paraId="00001472" w14:textId="0888615D"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What does </w:t>
      </w:r>
      <w:r w:rsidR="00726876">
        <w:rPr>
          <w:rFonts w:ascii="Times New Roman" w:eastAsia="Times New Roman" w:hAnsi="Times New Roman" w:cs="Times New Roman"/>
          <w:b/>
          <w:color w:val="000000"/>
          <w:sz w:val="24"/>
          <w:szCs w:val="24"/>
        </w:rPr>
        <w:t>take</w:t>
      </w:r>
      <w:r>
        <w:rPr>
          <w:rFonts w:ascii="Times New Roman" w:eastAsia="Times New Roman" w:hAnsi="Times New Roman" w:cs="Times New Roman"/>
          <w:b/>
          <w:color w:val="000000"/>
          <w:sz w:val="24"/>
          <w:szCs w:val="24"/>
        </w:rPr>
        <w:t xml:space="preserve"> part in this study involve?</w:t>
      </w:r>
    </w:p>
    <w:p w14:paraId="0000147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This online survey </w:t>
      </w:r>
      <w:r>
        <w:rPr>
          <w:rFonts w:ascii="Times New Roman" w:eastAsia="Times New Roman" w:hAnsi="Times New Roman" w:cs="Times New Roman"/>
          <w:color w:val="000000"/>
          <w:sz w:val="24"/>
          <w:szCs w:val="24"/>
        </w:rPr>
        <w:t>will ask you questions about yourself (e.g., age, height, weight, meal timings) so that we can assess whether you are eligible to take part in a follow-up study.</w:t>
      </w:r>
    </w:p>
    <w:p w14:paraId="00001474"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the end of this survey, you will be asked for your name and email address so that we can contact you to advise on eligibility and arrange the interview. Your name and email address will be kept confidential and will only be accessed by the researchers working on the project. Names and email addresses will be removed from survey responses before data analysis takes place. Names and email addresses will be destroyed once study recruitment is complete (estimated by the end of September 2023).</w:t>
      </w:r>
    </w:p>
    <w:p w14:paraId="00001475"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survey is estimated to take </w:t>
      </w:r>
      <w:r>
        <w:rPr>
          <w:rFonts w:ascii="Times New Roman" w:eastAsia="Times New Roman" w:hAnsi="Times New Roman" w:cs="Times New Roman"/>
          <w:b/>
          <w:color w:val="000000"/>
          <w:sz w:val="24"/>
          <w:szCs w:val="24"/>
        </w:rPr>
        <w:t xml:space="preserve">no longer than 5 minutes </w:t>
      </w:r>
      <w:r>
        <w:rPr>
          <w:rFonts w:ascii="Times New Roman" w:eastAsia="Times New Roman" w:hAnsi="Times New Roman" w:cs="Times New Roman"/>
          <w:color w:val="000000"/>
          <w:sz w:val="24"/>
          <w:szCs w:val="24"/>
        </w:rPr>
        <w:t xml:space="preserve">(though individual response time may vary). Shortly after completing the survey we will email you to advise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you are eligible to take part in the follow-up study. If you are unable to take part in the follow-up study, this will be the end of your involvement in the study, and you will not be provided with any remuneration for completing this online survey. If you are eligible to take part, we will invite you to attend the follow-up study.</w:t>
      </w:r>
    </w:p>
    <w:p w14:paraId="00001476"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follow-up study involves a </w:t>
      </w:r>
      <w:r>
        <w:rPr>
          <w:rFonts w:ascii="Times New Roman" w:eastAsia="Times New Roman" w:hAnsi="Times New Roman" w:cs="Times New Roman"/>
          <w:b/>
          <w:color w:val="000000"/>
          <w:sz w:val="24"/>
          <w:szCs w:val="24"/>
        </w:rPr>
        <w:t>Face-to-Face</w:t>
      </w:r>
      <w:r>
        <w:rPr>
          <w:rFonts w:ascii="Times New Roman" w:eastAsia="Times New Roman" w:hAnsi="Times New Roman" w:cs="Times New Roman"/>
          <w:color w:val="000000"/>
          <w:sz w:val="24"/>
          <w:szCs w:val="24"/>
        </w:rPr>
        <w:t xml:space="preserve"> interview at the University of Sheffield or an </w:t>
      </w:r>
      <w:r>
        <w:rPr>
          <w:rFonts w:ascii="Times New Roman" w:eastAsia="Times New Roman" w:hAnsi="Times New Roman" w:cs="Times New Roman"/>
          <w:b/>
          <w:color w:val="000000"/>
          <w:sz w:val="24"/>
          <w:szCs w:val="24"/>
        </w:rPr>
        <w:t>Online</w:t>
      </w:r>
      <w:r>
        <w:rPr>
          <w:rFonts w:ascii="Times New Roman" w:eastAsia="Times New Roman" w:hAnsi="Times New Roman" w:cs="Times New Roman"/>
          <w:color w:val="000000"/>
          <w:sz w:val="24"/>
          <w:szCs w:val="24"/>
        </w:rPr>
        <w:t xml:space="preserve"> interview to discuss eating late in the evening and factors that you think would help or support earlier eating in the evening. If you are eligible to take part in the follow-up study, further information will be sent to you after completing this survey.</w:t>
      </w:r>
    </w:p>
    <w:p w14:paraId="0000147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 I have to take </w:t>
      </w:r>
      <w:proofErr w:type="gramStart"/>
      <w:r>
        <w:rPr>
          <w:rFonts w:ascii="Times New Roman" w:eastAsia="Times New Roman" w:hAnsi="Times New Roman" w:cs="Times New Roman"/>
          <w:b/>
          <w:color w:val="000000"/>
          <w:sz w:val="24"/>
          <w:szCs w:val="24"/>
        </w:rPr>
        <w:t>part</w:t>
      </w:r>
      <w:proofErr w:type="gramEnd"/>
      <w:r>
        <w:rPr>
          <w:rFonts w:ascii="Times New Roman" w:eastAsia="Times New Roman" w:hAnsi="Times New Roman" w:cs="Times New Roman"/>
          <w:b/>
          <w:color w:val="000000"/>
          <w:sz w:val="24"/>
          <w:szCs w:val="24"/>
        </w:rPr>
        <w:t xml:space="preserve"> and can I withdraw?</w:t>
      </w:r>
    </w:p>
    <w:p w14:paraId="00001478"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up to you to decide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to take part in this survey which assesses eligibility for the interview. If you decide to take part, you can withdraw from the survey without any negative consequences by closing your browser. If you would like to withdraw your partially completed or completed response, you will need to contact the researcher, and provide your name or email address so that your response can be removed. Please note, it will not be possible to remove responses once study recruitment is complete (estimated by the end of September 2023</w:t>
      </w:r>
      <w:proofErr w:type="gramStart"/>
      <w:r>
        <w:rPr>
          <w:rFonts w:ascii="Times New Roman" w:eastAsia="Times New Roman" w:hAnsi="Times New Roman" w:cs="Times New Roman"/>
          <w:color w:val="000000"/>
          <w:sz w:val="24"/>
          <w:szCs w:val="24"/>
        </w:rPr>
        <w:t>) .</w:t>
      </w:r>
      <w:proofErr w:type="gramEnd"/>
    </w:p>
    <w:p w14:paraId="00001479" w14:textId="77777777" w:rsidR="00CB4215" w:rsidRDefault="00CB4215">
      <w:pPr>
        <w:rPr>
          <w:rFonts w:ascii="Times New Roman" w:eastAsia="Times New Roman" w:hAnsi="Times New Roman" w:cs="Times New Roman"/>
          <w:color w:val="000000"/>
          <w:sz w:val="24"/>
          <w:szCs w:val="24"/>
        </w:rPr>
      </w:pPr>
    </w:p>
    <w:p w14:paraId="0000147A"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are the possible risks of taking part?</w:t>
      </w:r>
    </w:p>
    <w:p w14:paraId="0000147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survey will ask you to report your body weight and eating patterns/habits. There is a small risk that some participants will feel distressed after completing these questions. If you are affected by this </w:t>
      </w:r>
      <w:proofErr w:type="gramStart"/>
      <w:r>
        <w:rPr>
          <w:rFonts w:ascii="Times New Roman" w:eastAsia="Times New Roman" w:hAnsi="Times New Roman" w:cs="Times New Roman"/>
          <w:color w:val="000000"/>
          <w:sz w:val="24"/>
          <w:szCs w:val="24"/>
        </w:rPr>
        <w:t>survey</w:t>
      </w:r>
      <w:proofErr w:type="gramEnd"/>
      <w:r>
        <w:rPr>
          <w:rFonts w:ascii="Times New Roman" w:eastAsia="Times New Roman" w:hAnsi="Times New Roman" w:cs="Times New Roman"/>
          <w:color w:val="000000"/>
          <w:sz w:val="24"/>
          <w:szCs w:val="24"/>
        </w:rPr>
        <w:t xml:space="preserve"> we advise you to seek advice from the NHS wellbeing website:</w:t>
      </w:r>
      <w:hyperlink r:id="rId851">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lastRenderedPageBreak/>
          <w:t>https://www.nhs.uk/conditions/stress-anxiety-depression/improve-mental-wellbeing/</w:t>
        </w:r>
      </w:hyperlink>
      <w:r>
        <w:rPr>
          <w:rFonts w:ascii="Times New Roman" w:eastAsia="Times New Roman" w:hAnsi="Times New Roman" w:cs="Times New Roman"/>
          <w:color w:val="000000"/>
          <w:sz w:val="24"/>
          <w:szCs w:val="24"/>
        </w:rPr>
        <w:t xml:space="preserve"> . If the distress continues, we advise you to speak to your doctor. </w:t>
      </w:r>
    </w:p>
    <w:p w14:paraId="0000147C" w14:textId="77777777" w:rsidR="00CB4215" w:rsidRDefault="00CB4215">
      <w:pPr>
        <w:rPr>
          <w:rFonts w:ascii="Times New Roman" w:eastAsia="Times New Roman" w:hAnsi="Times New Roman" w:cs="Times New Roman"/>
          <w:color w:val="000000"/>
          <w:sz w:val="24"/>
          <w:szCs w:val="24"/>
        </w:rPr>
      </w:pPr>
    </w:p>
    <w:p w14:paraId="0000147D"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are the possible benefits of taking part?</w:t>
      </w:r>
    </w:p>
    <w:p w14:paraId="0000147E"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completing this survey, if you are eligible for the follow-up study you will be invited to take part in a </w:t>
      </w:r>
      <w:r>
        <w:rPr>
          <w:rFonts w:ascii="Times New Roman" w:eastAsia="Times New Roman" w:hAnsi="Times New Roman" w:cs="Times New Roman"/>
          <w:b/>
          <w:color w:val="000000"/>
          <w:sz w:val="24"/>
          <w:szCs w:val="24"/>
        </w:rPr>
        <w:t>Face-to-Face</w:t>
      </w:r>
      <w:r>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b/>
          <w:color w:val="000000"/>
          <w:sz w:val="24"/>
          <w:szCs w:val="24"/>
        </w:rPr>
        <w:t>Online</w:t>
      </w:r>
      <w:r>
        <w:rPr>
          <w:rFonts w:ascii="Times New Roman" w:eastAsia="Times New Roman" w:hAnsi="Times New Roman" w:cs="Times New Roman"/>
          <w:color w:val="000000"/>
          <w:sz w:val="24"/>
          <w:szCs w:val="24"/>
        </w:rPr>
        <w:t xml:space="preserve"> interview. Upon completion of the </w:t>
      </w:r>
      <w:r>
        <w:rPr>
          <w:rFonts w:ascii="Times New Roman" w:eastAsia="Times New Roman" w:hAnsi="Times New Roman" w:cs="Times New Roman"/>
          <w:b/>
          <w:color w:val="000000"/>
          <w:sz w:val="24"/>
          <w:szCs w:val="24"/>
        </w:rPr>
        <w:t>Fact-to-Face</w:t>
      </w:r>
      <w:r>
        <w:rPr>
          <w:rFonts w:ascii="Times New Roman" w:eastAsia="Times New Roman" w:hAnsi="Times New Roman" w:cs="Times New Roman"/>
          <w:color w:val="000000"/>
          <w:sz w:val="24"/>
          <w:szCs w:val="24"/>
        </w:rPr>
        <w:t xml:space="preserve"> interview, you will receive a </w:t>
      </w:r>
      <w:r>
        <w:rPr>
          <w:rFonts w:ascii="Times New Roman" w:eastAsia="Times New Roman" w:hAnsi="Times New Roman" w:cs="Times New Roman"/>
          <w:b/>
          <w:color w:val="000000"/>
          <w:sz w:val="24"/>
          <w:szCs w:val="24"/>
        </w:rPr>
        <w:t>£25</w:t>
      </w:r>
      <w:r>
        <w:rPr>
          <w:rFonts w:ascii="Times New Roman" w:eastAsia="Times New Roman" w:hAnsi="Times New Roman" w:cs="Times New Roman"/>
          <w:color w:val="000000"/>
          <w:sz w:val="24"/>
          <w:szCs w:val="24"/>
        </w:rPr>
        <w:t xml:space="preserve"> electronic Amazon voucher. Upon completion of the </w:t>
      </w:r>
      <w:r>
        <w:rPr>
          <w:rFonts w:ascii="Times New Roman" w:eastAsia="Times New Roman" w:hAnsi="Times New Roman" w:cs="Times New Roman"/>
          <w:b/>
          <w:color w:val="000000"/>
          <w:sz w:val="24"/>
          <w:szCs w:val="24"/>
        </w:rPr>
        <w:t>Online</w:t>
      </w:r>
      <w:r>
        <w:rPr>
          <w:rFonts w:ascii="Times New Roman" w:eastAsia="Times New Roman" w:hAnsi="Times New Roman" w:cs="Times New Roman"/>
          <w:color w:val="000000"/>
          <w:sz w:val="24"/>
          <w:szCs w:val="24"/>
        </w:rPr>
        <w:t xml:space="preserve"> interview, you will receive a </w:t>
      </w:r>
      <w:r>
        <w:rPr>
          <w:rFonts w:ascii="Times New Roman" w:eastAsia="Times New Roman" w:hAnsi="Times New Roman" w:cs="Times New Roman"/>
          <w:b/>
          <w:color w:val="000000"/>
          <w:sz w:val="24"/>
          <w:szCs w:val="24"/>
        </w:rPr>
        <w:t>£20</w:t>
      </w:r>
      <w:r>
        <w:rPr>
          <w:rFonts w:ascii="Times New Roman" w:eastAsia="Times New Roman" w:hAnsi="Times New Roman" w:cs="Times New Roman"/>
          <w:color w:val="000000"/>
          <w:sz w:val="24"/>
          <w:szCs w:val="24"/>
        </w:rPr>
        <w:t xml:space="preserve"> electronic Amazon voucher. If you do not take part in the interview (ineligible or choose not to), there will not be any remuneration for completing this survey.  </w:t>
      </w:r>
    </w:p>
    <w:p w14:paraId="0000147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Will my taking part in this project be kept confidential?</w:t>
      </w:r>
    </w:p>
    <w:p w14:paraId="00001480"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the information that we collect about you in this survey will be kept strictly confidential and will only be accessible to members of the research team. You will not be able to be identified in any reports or publications. If you agree to us sharing the information you provide with other researchers (</w:t>
      </w:r>
      <w:proofErr w:type="gramStart"/>
      <w:r>
        <w:rPr>
          <w:rFonts w:ascii="Times New Roman" w:eastAsia="Times New Roman" w:hAnsi="Times New Roman" w:cs="Times New Roman"/>
          <w:color w:val="000000"/>
          <w:sz w:val="24"/>
          <w:szCs w:val="24"/>
        </w:rPr>
        <w:t>e.g.</w:t>
      </w:r>
      <w:proofErr w:type="gramEnd"/>
      <w:r>
        <w:rPr>
          <w:rFonts w:ascii="Times New Roman" w:eastAsia="Times New Roman" w:hAnsi="Times New Roman" w:cs="Times New Roman"/>
          <w:color w:val="000000"/>
          <w:sz w:val="24"/>
          <w:szCs w:val="24"/>
        </w:rPr>
        <w:t xml:space="preserve"> by making it available in a data archive) then your personal details (e.g. name, email address) will not be included.</w:t>
      </w:r>
    </w:p>
    <w:p w14:paraId="0000148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is the legal basis for processing my personal data?</w:t>
      </w:r>
    </w:p>
    <w:p w14:paraId="00001482"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data protection legislation, we are required to inform you that the legal basis we are applying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process your personal data is that ‘processing is necessary for the performance of a task carried out in the public interest’ (Article 6(1)(e)). Further information can be found in the University’s Privacy Notice</w:t>
      </w:r>
      <w:hyperlink r:id="rId852">
        <w:r>
          <w:rPr>
            <w:rFonts w:ascii="Times New Roman" w:eastAsia="Times New Roman" w:hAnsi="Times New Roman" w:cs="Times New Roman"/>
            <w:color w:val="000000"/>
            <w:sz w:val="24"/>
            <w:szCs w:val="24"/>
            <w:u w:val="single"/>
          </w:rPr>
          <w:t xml:space="preserve"> https://www.sheffield.ac.uk/govern/data-protection/privacy/general</w:t>
        </w:r>
      </w:hyperlink>
    </w:p>
    <w:p w14:paraId="0000148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we will be using some data that is defined in the legislation as more sensitive (information about ethnicity), we also need to let you know that we are applying the following condition in law: that the use of your data is necessary ‘for archiving purposes in the public interest, scientific research purposes or statistical purposes' (9(2)(j)).</w:t>
      </w:r>
    </w:p>
    <w:p w14:paraId="00001484"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Who is organising and funding the research and who is the Data Controller?</w:t>
      </w:r>
    </w:p>
    <w:p w14:paraId="00001485"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is being organised by the Department of Psychology at the University of Sheffield.</w:t>
      </w:r>
    </w:p>
    <w:p w14:paraId="00001486" w14:textId="77777777" w:rsidR="00CB4215" w:rsidRDefault="00CB4215">
      <w:pPr>
        <w:rPr>
          <w:rFonts w:ascii="Times New Roman" w:eastAsia="Times New Roman" w:hAnsi="Times New Roman" w:cs="Times New Roman"/>
          <w:color w:val="000000"/>
          <w:sz w:val="24"/>
          <w:szCs w:val="24"/>
        </w:rPr>
      </w:pPr>
    </w:p>
    <w:p w14:paraId="0000148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University of Sheffield will act as the Data Controller for this study. This means that the University is responsible for looking after your information and using it properly. </w:t>
      </w:r>
    </w:p>
    <w:p w14:paraId="00001488"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Who has ethically reviewed the project?</w:t>
      </w:r>
    </w:p>
    <w:p w14:paraId="00001489"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i/>
          <w:color w:val="000000"/>
          <w:sz w:val="24"/>
          <w:szCs w:val="24"/>
        </w:rPr>
        <w:t>his project has been ethically approved via the University of Sheffield’s Ethics Review Procedure, as administered by the Department of Psychology (#: insert upon approval).</w:t>
      </w:r>
    </w:p>
    <w:p w14:paraId="0000148A"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Complaints</w:t>
      </w:r>
    </w:p>
    <w:p w14:paraId="0000148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are dissatisfied with any aspect of the research and wish to make a complaint, please contact Dr Nicola Buckland (</w:t>
      </w:r>
      <w:hyperlink r:id="rId853">
        <w:r>
          <w:rPr>
            <w:rFonts w:ascii="Times New Roman" w:eastAsia="Times New Roman" w:hAnsi="Times New Roman" w:cs="Times New Roman"/>
            <w:color w:val="000000"/>
            <w:sz w:val="24"/>
            <w:szCs w:val="24"/>
            <w:u w:val="single"/>
          </w:rPr>
          <w:t>n.buckland@sheffield.ac.uk</w:t>
        </w:r>
      </w:hyperlink>
      <w:r>
        <w:rPr>
          <w:rFonts w:ascii="Times New Roman" w:eastAsia="Times New Roman" w:hAnsi="Times New Roman" w:cs="Times New Roman"/>
          <w:color w:val="000000"/>
          <w:sz w:val="24"/>
          <w:szCs w:val="24"/>
        </w:rPr>
        <w:t xml:space="preserve">) or Miss Bixuan Yan (byan6@sheffield.ac.uk) in the first instance. If you feel your complaint has not been handled in a satisfactory way you can contact the Head of the Department of Professor Elizabeth Milne (psy-hod@sheffield.ac.uk). If the complaint relates to how your personal data has been handled, you can find information about how to raise a complaint in the University’s Privacy Notice: </w:t>
      </w:r>
      <w:hyperlink r:id="rId854">
        <w:r>
          <w:rPr>
            <w:rFonts w:ascii="Times New Roman" w:eastAsia="Times New Roman" w:hAnsi="Times New Roman" w:cs="Times New Roman"/>
            <w:color w:val="000000"/>
            <w:sz w:val="24"/>
            <w:szCs w:val="24"/>
            <w:u w:val="single"/>
          </w:rPr>
          <w:t>https://www.sheffield.ac.uk/govern/data-protection/privacy/general</w:t>
        </w:r>
      </w:hyperlink>
      <w:r>
        <w:rPr>
          <w:rFonts w:ascii="Times New Roman" w:eastAsia="Times New Roman" w:hAnsi="Times New Roman" w:cs="Times New Roman"/>
          <w:color w:val="000000"/>
          <w:sz w:val="24"/>
          <w:szCs w:val="24"/>
        </w:rPr>
        <w:t>.</w:t>
      </w:r>
    </w:p>
    <w:p w14:paraId="0000148C"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If you wish to make a report of a concern or incident relating to potential exploitation, abuse or harm resulting from your involvement in this project, please in the first instance contact one of the project’s Designated Safeguarding Contacts, that is Dr Nicola Buckland (</w:t>
      </w:r>
      <w:hyperlink r:id="rId855">
        <w:r>
          <w:rPr>
            <w:rFonts w:ascii="Times New Roman" w:eastAsia="Times New Roman" w:hAnsi="Times New Roman" w:cs="Times New Roman"/>
            <w:color w:val="000000"/>
            <w:sz w:val="24"/>
            <w:szCs w:val="24"/>
            <w:u w:val="single"/>
          </w:rPr>
          <w:t>n.buckland@sheffield.ac.uk</w:t>
        </w:r>
      </w:hyperlink>
      <w:r>
        <w:rPr>
          <w:rFonts w:ascii="Times New Roman" w:eastAsia="Times New Roman" w:hAnsi="Times New Roman" w:cs="Times New Roman"/>
          <w:color w:val="000000"/>
          <w:sz w:val="24"/>
          <w:szCs w:val="24"/>
        </w:rPr>
        <w:t>) or Bixuan Yan (</w:t>
      </w:r>
      <w:hyperlink r:id="rId856">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If the concern or incident relates to the Designated Safeguarding Contact, or if you feel a report you have made to this Contact has not been handled in a satisfactory way, please contact the Head of the Department of Psychology, Professor Elizabeth Milne (</w:t>
      </w:r>
      <w:hyperlink r:id="rId857">
        <w:r>
          <w:rPr>
            <w:rFonts w:ascii="Times New Roman" w:eastAsia="Times New Roman" w:hAnsi="Times New Roman" w:cs="Times New Roman"/>
            <w:color w:val="000000"/>
            <w:sz w:val="24"/>
            <w:szCs w:val="24"/>
            <w:u w:val="single"/>
          </w:rPr>
          <w:t>psy-hod@sheffield.ac.uk</w:t>
        </w:r>
      </w:hyperlink>
      <w:r>
        <w:rPr>
          <w:rFonts w:ascii="Times New Roman" w:eastAsia="Times New Roman" w:hAnsi="Times New Roman" w:cs="Times New Roman"/>
          <w:color w:val="000000"/>
          <w:sz w:val="24"/>
          <w:szCs w:val="24"/>
        </w:rPr>
        <w:t>) and/or the University’s Research Ethics &amp; Integrity Manager (Lindsay Unwin;</w:t>
      </w:r>
      <w:hyperlink r:id="rId858">
        <w:r>
          <w:rPr>
            <w:rFonts w:ascii="Times New Roman" w:eastAsia="Times New Roman" w:hAnsi="Times New Roman" w:cs="Times New Roman"/>
            <w:color w:val="000000"/>
            <w:sz w:val="24"/>
            <w:szCs w:val="24"/>
            <w:u w:val="single"/>
          </w:rPr>
          <w:t>mailto:l.v.unwin@sheffield.ac.uk</w:t>
        </w:r>
      </w:hyperlink>
      <w:r>
        <w:rPr>
          <w:rFonts w:ascii="Times New Roman" w:eastAsia="Times New Roman" w:hAnsi="Times New Roman" w:cs="Times New Roman"/>
          <w:color w:val="000000"/>
          <w:sz w:val="24"/>
          <w:szCs w:val="24"/>
        </w:rPr>
        <w:t>).</w:t>
      </w:r>
    </w:p>
    <w:p w14:paraId="0000148D"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Contact for further information</w:t>
      </w:r>
    </w:p>
    <w:p w14:paraId="0000148E"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further information, please contact: Bixuan Yan (</w:t>
      </w:r>
      <w:hyperlink r:id="rId859">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w:t>
      </w:r>
    </w:p>
    <w:p w14:paraId="0000148F" w14:textId="77777777" w:rsidR="00CB4215" w:rsidRDefault="00CB4215">
      <w:pPr>
        <w:rPr>
          <w:rFonts w:ascii="Times New Roman" w:eastAsia="Times New Roman" w:hAnsi="Times New Roman" w:cs="Times New Roman"/>
          <w:color w:val="000000"/>
          <w:sz w:val="24"/>
          <w:szCs w:val="24"/>
        </w:rPr>
      </w:pPr>
    </w:p>
    <w:p w14:paraId="00001490"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Finally … </w:t>
      </w:r>
    </w:p>
    <w:p w14:paraId="0000149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would like a hard copy of this information page, then please use the “print” function on your browser or email the researcher: </w:t>
      </w:r>
      <w:hyperlink r:id="rId860">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Thank you for considering taking part in this study.</w:t>
      </w:r>
    </w:p>
    <w:p w14:paraId="00001492" w14:textId="77777777" w:rsidR="00CB4215" w:rsidRDefault="00CB4215">
      <w:pPr>
        <w:rPr>
          <w:rFonts w:ascii="Times New Roman" w:eastAsia="Times New Roman" w:hAnsi="Times New Roman" w:cs="Times New Roman"/>
          <w:color w:val="000000"/>
          <w:sz w:val="24"/>
          <w:szCs w:val="24"/>
        </w:rPr>
      </w:pPr>
    </w:p>
    <w:p w14:paraId="00001493" w14:textId="77777777" w:rsidR="00CB4215" w:rsidRDefault="000530B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Consent Form</w:t>
      </w:r>
    </w:p>
    <w:tbl>
      <w:tblPr>
        <w:tblStyle w:val="aff3"/>
        <w:tblW w:w="9072" w:type="dxa"/>
        <w:tblInd w:w="-10" w:type="dxa"/>
        <w:tblLayout w:type="fixed"/>
        <w:tblLook w:val="0400" w:firstRow="0" w:lastRow="0" w:firstColumn="0" w:lastColumn="0" w:noHBand="0" w:noVBand="1"/>
      </w:tblPr>
      <w:tblGrid>
        <w:gridCol w:w="7938"/>
        <w:gridCol w:w="567"/>
        <w:gridCol w:w="567"/>
      </w:tblGrid>
      <w:tr w:rsidR="00CB4215" w14:paraId="2D3C163C" w14:textId="77777777">
        <w:trPr>
          <w:trHeight w:val="622"/>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94"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have read and understood the survey information sheet dated XX/07/2023 (If you will answer No to this question please do not proceed with this consent form until you are fully aware of what your participation in the survey will mean.)</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95" w14:textId="77777777" w:rsidR="00CB4215" w:rsidRDefault="00CB4215">
            <w:pPr>
              <w:spacing w:line="240" w:lineRule="auto"/>
              <w:rPr>
                <w:rFonts w:ascii="Times New Roman" w:eastAsia="Times New Roman" w:hAnsi="Times New Roman" w:cs="Times New Roman"/>
                <w:color w:val="000000"/>
                <w:sz w:val="24"/>
                <w:szCs w:val="24"/>
              </w:rPr>
            </w:pPr>
          </w:p>
          <w:p w14:paraId="00001496"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97" w14:textId="77777777" w:rsidR="00CB4215" w:rsidRDefault="00CB4215">
            <w:pPr>
              <w:spacing w:line="240" w:lineRule="auto"/>
              <w:ind w:left="720"/>
              <w:rPr>
                <w:rFonts w:ascii="Times New Roman" w:eastAsia="Times New Roman" w:hAnsi="Times New Roman" w:cs="Times New Roman"/>
                <w:color w:val="000000"/>
                <w:sz w:val="24"/>
                <w:szCs w:val="24"/>
              </w:rPr>
            </w:pPr>
          </w:p>
          <w:p w14:paraId="00001498" w14:textId="77777777" w:rsidR="00CB4215" w:rsidRDefault="00CB4215">
            <w:pPr>
              <w:spacing w:line="240" w:lineRule="auto"/>
              <w:rPr>
                <w:rFonts w:ascii="Times New Roman" w:eastAsia="Times New Roman" w:hAnsi="Times New Roman" w:cs="Times New Roman"/>
                <w:color w:val="000000"/>
                <w:sz w:val="24"/>
                <w:szCs w:val="24"/>
              </w:rPr>
            </w:pPr>
          </w:p>
        </w:tc>
      </w:tr>
      <w:tr w:rsidR="00CB4215" w14:paraId="752DCE71" w14:textId="77777777">
        <w:trPr>
          <w:trHeight w:val="141"/>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99"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 agree to take part in this survey according to the information provided here</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9A" w14:textId="77777777" w:rsidR="00CB4215" w:rsidRDefault="00CB4215">
            <w:pPr>
              <w:spacing w:line="240" w:lineRule="auto"/>
              <w:rPr>
                <w:rFonts w:ascii="Times New Roman" w:eastAsia="Times New Roman" w:hAnsi="Times New Roman" w:cs="Times New Roman"/>
                <w:color w:val="000000"/>
                <w:sz w:val="24"/>
                <w:szCs w:val="24"/>
              </w:rPr>
            </w:pPr>
          </w:p>
          <w:p w14:paraId="0000149B"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9C" w14:textId="77777777" w:rsidR="00CB4215" w:rsidRDefault="00CB4215">
            <w:pPr>
              <w:spacing w:line="240" w:lineRule="auto"/>
              <w:ind w:left="720"/>
              <w:rPr>
                <w:rFonts w:ascii="Times New Roman" w:eastAsia="Times New Roman" w:hAnsi="Times New Roman" w:cs="Times New Roman"/>
                <w:color w:val="000000"/>
                <w:sz w:val="24"/>
                <w:szCs w:val="24"/>
              </w:rPr>
            </w:pPr>
          </w:p>
          <w:p w14:paraId="0000149D" w14:textId="77777777" w:rsidR="00CB4215" w:rsidRDefault="00CB4215">
            <w:pPr>
              <w:spacing w:line="240" w:lineRule="auto"/>
              <w:rPr>
                <w:rFonts w:ascii="Times New Roman" w:eastAsia="Times New Roman" w:hAnsi="Times New Roman" w:cs="Times New Roman"/>
                <w:color w:val="000000"/>
                <w:sz w:val="24"/>
                <w:szCs w:val="24"/>
              </w:rPr>
            </w:pPr>
          </w:p>
        </w:tc>
      </w:tr>
      <w:tr w:rsidR="00CB4215" w14:paraId="7955AC4C" w14:textId="77777777">
        <w:trPr>
          <w:trHeight w:val="347"/>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9E" w14:textId="581563D9"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understand that my taking part is voluntary and that I </w:t>
            </w:r>
            <w:r w:rsidR="00726876">
              <w:rPr>
                <w:rFonts w:ascii="Times New Roman" w:eastAsia="Times New Roman" w:hAnsi="Times New Roman" w:cs="Times New Roman"/>
                <w:color w:val="000000"/>
                <w:sz w:val="24"/>
                <w:szCs w:val="24"/>
              </w:rPr>
              <w:t>cannot</w:t>
            </w:r>
            <w:r>
              <w:rPr>
                <w:rFonts w:ascii="Times New Roman" w:eastAsia="Times New Roman" w:hAnsi="Times New Roman" w:cs="Times New Roman"/>
                <w:color w:val="000000"/>
                <w:sz w:val="24"/>
                <w:szCs w:val="24"/>
              </w:rPr>
              <w:t xml:space="preserve"> withdraw once study recruitment is complete (estimated by the end of September 2023)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9F" w14:textId="77777777" w:rsidR="00CB4215" w:rsidRDefault="00CB4215">
            <w:pPr>
              <w:spacing w:line="240" w:lineRule="auto"/>
              <w:rPr>
                <w:rFonts w:ascii="Times New Roman" w:eastAsia="Times New Roman" w:hAnsi="Times New Roman" w:cs="Times New Roman"/>
                <w:color w:val="000000"/>
                <w:sz w:val="24"/>
                <w:szCs w:val="24"/>
              </w:rPr>
            </w:pPr>
          </w:p>
          <w:p w14:paraId="000014A0"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1" w14:textId="77777777" w:rsidR="00CB4215" w:rsidRDefault="00CB4215">
            <w:pPr>
              <w:spacing w:line="240" w:lineRule="auto"/>
              <w:ind w:left="720"/>
              <w:rPr>
                <w:rFonts w:ascii="Times New Roman" w:eastAsia="Times New Roman" w:hAnsi="Times New Roman" w:cs="Times New Roman"/>
                <w:color w:val="000000"/>
                <w:sz w:val="24"/>
                <w:szCs w:val="24"/>
              </w:rPr>
            </w:pPr>
          </w:p>
          <w:p w14:paraId="000014A2" w14:textId="77777777" w:rsidR="00CB4215" w:rsidRDefault="00CB4215">
            <w:pPr>
              <w:spacing w:line="240" w:lineRule="auto"/>
              <w:rPr>
                <w:rFonts w:ascii="Times New Roman" w:eastAsia="Times New Roman" w:hAnsi="Times New Roman" w:cs="Times New Roman"/>
                <w:color w:val="000000"/>
                <w:sz w:val="24"/>
                <w:szCs w:val="24"/>
              </w:rPr>
            </w:pPr>
          </w:p>
        </w:tc>
      </w:tr>
      <w:tr w:rsidR="00CB4215" w14:paraId="66BFEB80" w14:textId="77777777">
        <w:trPr>
          <w:trHeight w:val="145"/>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3"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How my information will be used during and after the survey</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4"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5" w14:textId="77777777" w:rsidR="00CB4215" w:rsidRDefault="00CB4215">
            <w:pPr>
              <w:spacing w:line="240" w:lineRule="auto"/>
              <w:rPr>
                <w:rFonts w:ascii="Times New Roman" w:eastAsia="Times New Roman" w:hAnsi="Times New Roman" w:cs="Times New Roman"/>
                <w:color w:val="000000"/>
                <w:sz w:val="24"/>
                <w:szCs w:val="24"/>
              </w:rPr>
            </w:pPr>
          </w:p>
        </w:tc>
      </w:tr>
      <w:tr w:rsidR="00CB4215" w14:paraId="6BBA6C22" w14:textId="77777777">
        <w:trPr>
          <w:trHeight w:val="350"/>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6"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understand my personal details, such as name and email address will not be revealed to people outside the project.</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7" w14:textId="77777777" w:rsidR="00CB4215" w:rsidRDefault="00CB4215">
            <w:pPr>
              <w:spacing w:line="240" w:lineRule="auto"/>
              <w:rPr>
                <w:rFonts w:ascii="Times New Roman" w:eastAsia="Times New Roman" w:hAnsi="Times New Roman" w:cs="Times New Roman"/>
                <w:color w:val="000000"/>
                <w:sz w:val="24"/>
                <w:szCs w:val="24"/>
              </w:rPr>
            </w:pPr>
          </w:p>
          <w:p w14:paraId="000014A8"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9" w14:textId="77777777" w:rsidR="00CB4215" w:rsidRDefault="00CB4215">
            <w:pPr>
              <w:spacing w:line="240" w:lineRule="auto"/>
              <w:ind w:left="720"/>
              <w:rPr>
                <w:rFonts w:ascii="Times New Roman" w:eastAsia="Times New Roman" w:hAnsi="Times New Roman" w:cs="Times New Roman"/>
                <w:color w:val="000000"/>
                <w:sz w:val="24"/>
                <w:szCs w:val="24"/>
              </w:rPr>
            </w:pPr>
          </w:p>
        </w:tc>
      </w:tr>
      <w:tr w:rsidR="00CB4215" w14:paraId="69D33E00" w14:textId="77777777">
        <w:trPr>
          <w:trHeight w:val="304"/>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A"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understand and agree that my anonymous data may be used in publications, reports, web pages, and other research outputs.</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B" w14:textId="77777777" w:rsidR="00CB4215" w:rsidRDefault="00CB4215">
            <w:pPr>
              <w:spacing w:line="240" w:lineRule="auto"/>
              <w:rPr>
                <w:rFonts w:ascii="Times New Roman" w:eastAsia="Times New Roman" w:hAnsi="Times New Roman" w:cs="Times New Roman"/>
                <w:color w:val="000000"/>
                <w:sz w:val="24"/>
                <w:szCs w:val="24"/>
              </w:rPr>
            </w:pPr>
          </w:p>
          <w:p w14:paraId="000014AC"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D" w14:textId="77777777" w:rsidR="00CB4215" w:rsidRDefault="00CB4215">
            <w:pPr>
              <w:spacing w:line="240" w:lineRule="auto"/>
              <w:rPr>
                <w:rFonts w:ascii="Times New Roman" w:eastAsia="Times New Roman" w:hAnsi="Times New Roman" w:cs="Times New Roman"/>
                <w:color w:val="000000"/>
                <w:sz w:val="24"/>
                <w:szCs w:val="24"/>
              </w:rPr>
            </w:pPr>
          </w:p>
          <w:p w14:paraId="000014AE" w14:textId="77777777" w:rsidR="00CB4215" w:rsidRDefault="00CB4215">
            <w:pPr>
              <w:spacing w:line="240" w:lineRule="auto"/>
              <w:rPr>
                <w:rFonts w:ascii="Times New Roman" w:eastAsia="Times New Roman" w:hAnsi="Times New Roman" w:cs="Times New Roman"/>
                <w:color w:val="000000"/>
                <w:sz w:val="24"/>
                <w:szCs w:val="24"/>
              </w:rPr>
            </w:pPr>
          </w:p>
        </w:tc>
      </w:tr>
      <w:tr w:rsidR="00CB4215" w14:paraId="67FE6455" w14:textId="77777777">
        <w:trPr>
          <w:trHeight w:val="656"/>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AF"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understand and agree that other authorised researchers will have access to this anonymous data only if they agree to preserve the confidentiality of the information as requested in this form.</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B0" w14:textId="77777777" w:rsidR="00CB4215" w:rsidRDefault="00CB4215">
            <w:pPr>
              <w:spacing w:line="240" w:lineRule="auto"/>
              <w:ind w:left="360"/>
              <w:rPr>
                <w:rFonts w:ascii="Times New Roman" w:eastAsia="Times New Roman" w:hAnsi="Times New Roman" w:cs="Times New Roman"/>
                <w:color w:val="000000"/>
                <w:sz w:val="24"/>
                <w:szCs w:val="24"/>
              </w:rPr>
            </w:pPr>
          </w:p>
          <w:p w14:paraId="000014B1"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B2" w14:textId="77777777" w:rsidR="00CB4215" w:rsidRDefault="00CB4215">
            <w:pPr>
              <w:spacing w:line="240" w:lineRule="auto"/>
              <w:rPr>
                <w:rFonts w:ascii="Times New Roman" w:eastAsia="Times New Roman" w:hAnsi="Times New Roman" w:cs="Times New Roman"/>
                <w:color w:val="000000"/>
                <w:sz w:val="24"/>
                <w:szCs w:val="24"/>
              </w:rPr>
            </w:pPr>
          </w:p>
          <w:p w14:paraId="000014B3" w14:textId="77777777" w:rsidR="00CB4215" w:rsidRDefault="00CB4215">
            <w:pPr>
              <w:spacing w:line="240" w:lineRule="auto"/>
              <w:rPr>
                <w:rFonts w:ascii="Times New Roman" w:eastAsia="Times New Roman" w:hAnsi="Times New Roman" w:cs="Times New Roman"/>
                <w:color w:val="000000"/>
                <w:sz w:val="24"/>
                <w:szCs w:val="24"/>
              </w:rPr>
            </w:pPr>
          </w:p>
        </w:tc>
      </w:tr>
      <w:tr w:rsidR="00CB4215" w14:paraId="255C0505" w14:textId="77777777">
        <w:trPr>
          <w:trHeight w:val="1080"/>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B4"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understand and agree that other authorised researchers may use my anonymous data in publications, reports, web pages, and other research outputs, only if they agree to preserve the confidentiality of the information as requested in this form.</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B5" w14:textId="77777777" w:rsidR="00CB4215" w:rsidRDefault="00CB4215">
            <w:pPr>
              <w:spacing w:line="240" w:lineRule="auto"/>
              <w:ind w:left="720"/>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B6" w14:textId="77777777" w:rsidR="00CB4215" w:rsidRDefault="00CB4215">
            <w:pPr>
              <w:spacing w:line="240" w:lineRule="auto"/>
              <w:rPr>
                <w:rFonts w:ascii="Times New Roman" w:eastAsia="Times New Roman" w:hAnsi="Times New Roman" w:cs="Times New Roman"/>
                <w:color w:val="000000"/>
                <w:sz w:val="24"/>
                <w:szCs w:val="24"/>
              </w:rPr>
            </w:pPr>
          </w:p>
          <w:p w14:paraId="000014B7" w14:textId="77777777" w:rsidR="00CB4215" w:rsidRDefault="00CB4215">
            <w:pPr>
              <w:spacing w:line="240" w:lineRule="auto"/>
              <w:rPr>
                <w:rFonts w:ascii="Times New Roman" w:eastAsia="Times New Roman" w:hAnsi="Times New Roman" w:cs="Times New Roman"/>
                <w:color w:val="000000"/>
                <w:sz w:val="24"/>
                <w:szCs w:val="24"/>
              </w:rPr>
            </w:pPr>
          </w:p>
        </w:tc>
      </w:tr>
      <w:tr w:rsidR="00CB4215" w14:paraId="5639591F" w14:textId="77777777">
        <w:trPr>
          <w:trHeight w:val="689"/>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B8"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 give permission for the anonymous data that I provide to be deposited in the Dept. of Psychology at the University of Sheffield so it can be used for future research and learning.</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B9" w14:textId="77777777" w:rsidR="00CB4215" w:rsidRDefault="00CB4215">
            <w:pPr>
              <w:spacing w:line="240" w:lineRule="auto"/>
              <w:rPr>
                <w:rFonts w:ascii="Times New Roman" w:eastAsia="Times New Roman" w:hAnsi="Times New Roman" w:cs="Times New Roman"/>
                <w:color w:val="000000"/>
                <w:sz w:val="24"/>
                <w:szCs w:val="24"/>
              </w:rPr>
            </w:pPr>
          </w:p>
          <w:p w14:paraId="000014BA"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BB" w14:textId="77777777" w:rsidR="00CB4215" w:rsidRDefault="00CB4215">
            <w:pPr>
              <w:spacing w:line="240" w:lineRule="auto"/>
              <w:rPr>
                <w:rFonts w:ascii="Times New Roman" w:eastAsia="Times New Roman" w:hAnsi="Times New Roman" w:cs="Times New Roman"/>
                <w:color w:val="000000"/>
                <w:sz w:val="24"/>
                <w:szCs w:val="24"/>
              </w:rPr>
            </w:pPr>
          </w:p>
          <w:p w14:paraId="000014BC" w14:textId="77777777" w:rsidR="00CB4215" w:rsidRDefault="00CB4215">
            <w:pPr>
              <w:spacing w:line="240" w:lineRule="auto"/>
              <w:rPr>
                <w:rFonts w:ascii="Times New Roman" w:eastAsia="Times New Roman" w:hAnsi="Times New Roman" w:cs="Times New Roman"/>
                <w:color w:val="000000"/>
                <w:sz w:val="24"/>
                <w:szCs w:val="24"/>
              </w:rPr>
            </w:pPr>
          </w:p>
        </w:tc>
      </w:tr>
      <w:tr w:rsidR="00CB4215" w14:paraId="711CDEF6" w14:textId="77777777">
        <w:trPr>
          <w:trHeight w:val="450"/>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BD"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give permission for the anonymous data that I provide to be deposited in an open-access repository.</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BE" w14:textId="77777777" w:rsidR="00CB4215" w:rsidRDefault="00CB4215">
            <w:pPr>
              <w:spacing w:line="240" w:lineRule="auto"/>
              <w:rPr>
                <w:rFonts w:ascii="Times New Roman" w:eastAsia="Times New Roman" w:hAnsi="Times New Roman" w:cs="Times New Roman"/>
                <w:color w:val="000000"/>
                <w:sz w:val="24"/>
                <w:szCs w:val="24"/>
              </w:rPr>
            </w:pPr>
          </w:p>
          <w:p w14:paraId="000014BF"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C0" w14:textId="77777777" w:rsidR="00CB4215" w:rsidRDefault="00CB4215">
            <w:pPr>
              <w:spacing w:line="240" w:lineRule="auto"/>
              <w:rPr>
                <w:rFonts w:ascii="Times New Roman" w:eastAsia="Times New Roman" w:hAnsi="Times New Roman" w:cs="Times New Roman"/>
                <w:color w:val="000000"/>
                <w:sz w:val="24"/>
                <w:szCs w:val="24"/>
              </w:rPr>
            </w:pPr>
          </w:p>
          <w:p w14:paraId="000014C1" w14:textId="77777777" w:rsidR="00CB4215" w:rsidRDefault="00CB4215">
            <w:pPr>
              <w:spacing w:line="240" w:lineRule="auto"/>
              <w:rPr>
                <w:rFonts w:ascii="Times New Roman" w:eastAsia="Times New Roman" w:hAnsi="Times New Roman" w:cs="Times New Roman"/>
                <w:color w:val="000000"/>
                <w:sz w:val="24"/>
                <w:szCs w:val="24"/>
              </w:rPr>
            </w:pPr>
          </w:p>
        </w:tc>
      </w:tr>
      <w:tr w:rsidR="00CB4215" w14:paraId="7BA2885D" w14:textId="77777777">
        <w:trPr>
          <w:trHeight w:val="22"/>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C2"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 that the information you provide can be used legally by the researchers</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C3"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C4" w14:textId="77777777" w:rsidR="00CB4215" w:rsidRDefault="00CB4215">
            <w:pPr>
              <w:spacing w:line="240" w:lineRule="auto"/>
              <w:rPr>
                <w:rFonts w:ascii="Times New Roman" w:eastAsia="Times New Roman" w:hAnsi="Times New Roman" w:cs="Times New Roman"/>
                <w:color w:val="000000"/>
                <w:sz w:val="24"/>
                <w:szCs w:val="24"/>
              </w:rPr>
            </w:pPr>
          </w:p>
        </w:tc>
      </w:tr>
      <w:tr w:rsidR="00CB4215" w14:paraId="25564183" w14:textId="77777777">
        <w:trPr>
          <w:trHeight w:val="648"/>
        </w:trPr>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C5" w14:textId="77777777" w:rsidR="00CB4215" w:rsidRDefault="000530B4">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agree to assign the copyright I hold in any materials generated as part of this project to The University of Sheffield.</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C6" w14:textId="77777777" w:rsidR="00CB4215" w:rsidRDefault="00CB4215">
            <w:pPr>
              <w:spacing w:line="240" w:lineRule="auto"/>
              <w:ind w:left="720"/>
              <w:rPr>
                <w:rFonts w:ascii="Times New Roman" w:eastAsia="Times New Roman" w:hAnsi="Times New Roman" w:cs="Times New Roman"/>
                <w:color w:val="000000"/>
                <w:sz w:val="24"/>
                <w:szCs w:val="24"/>
              </w:rPr>
            </w:pPr>
          </w:p>
          <w:p w14:paraId="000014C7" w14:textId="77777777" w:rsidR="00CB4215" w:rsidRDefault="00CB4215">
            <w:pPr>
              <w:spacing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4C8" w14:textId="77777777" w:rsidR="00CB4215" w:rsidRDefault="00CB4215">
            <w:pPr>
              <w:spacing w:line="240" w:lineRule="auto"/>
              <w:ind w:left="720"/>
              <w:rPr>
                <w:rFonts w:ascii="Times New Roman" w:eastAsia="Times New Roman" w:hAnsi="Times New Roman" w:cs="Times New Roman"/>
                <w:color w:val="000000"/>
                <w:sz w:val="24"/>
                <w:szCs w:val="24"/>
              </w:rPr>
            </w:pPr>
          </w:p>
          <w:p w14:paraId="000014C9" w14:textId="77777777" w:rsidR="00CB4215" w:rsidRDefault="00CB4215">
            <w:pPr>
              <w:spacing w:line="240" w:lineRule="auto"/>
              <w:rPr>
                <w:rFonts w:ascii="Times New Roman" w:eastAsia="Times New Roman" w:hAnsi="Times New Roman" w:cs="Times New Roman"/>
                <w:color w:val="000000"/>
                <w:sz w:val="24"/>
                <w:szCs w:val="24"/>
              </w:rPr>
            </w:pPr>
          </w:p>
        </w:tc>
      </w:tr>
    </w:tbl>
    <w:p w14:paraId="000014CA" w14:textId="77777777" w:rsidR="00CB4215" w:rsidRDefault="00CB4215">
      <w:pPr>
        <w:rPr>
          <w:color w:val="000000"/>
        </w:rPr>
      </w:pPr>
    </w:p>
    <w:p w14:paraId="000014CB" w14:textId="77777777" w:rsidR="00CB4215" w:rsidRDefault="00CB4215">
      <w:pPr>
        <w:rPr>
          <w:color w:val="000000"/>
        </w:rPr>
      </w:pPr>
    </w:p>
    <w:p w14:paraId="000014CC" w14:textId="77777777" w:rsidR="00CB4215" w:rsidRDefault="000530B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Participant Information Sheet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Interview Study</w:t>
      </w:r>
    </w:p>
    <w:p w14:paraId="000014CD"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are being invited to take part in a research project. Before you decide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to participate,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you wish to take part. </w:t>
      </w:r>
    </w:p>
    <w:p w14:paraId="000014CE"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are the aims of the study?</w:t>
      </w:r>
    </w:p>
    <w:p w14:paraId="000014C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project aims to explore eating in the evening in adults living with overweight or obesity.</w:t>
      </w:r>
    </w:p>
    <w:p w14:paraId="000014D0"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Why have I been chosen?</w:t>
      </w:r>
    </w:p>
    <w:p w14:paraId="000014D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have been chosen because you have met our inclusion criteria based on your responses to the online questionnaire you have completed. To take part in the study, participants need to be aged between 18-65 years, have no current or history of eating disorders, are not pregnant or lactating, have an overweight or obesity BMI (over 25kg/m²) and report consuming the last eating episode after 8 PM.</w:t>
      </w:r>
    </w:p>
    <w:p w14:paraId="000014D2"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I have to take part?</w:t>
      </w:r>
    </w:p>
    <w:p w14:paraId="000014D3" w14:textId="0E52F64A"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Taking part in this research is entirely </w:t>
      </w:r>
      <w:r>
        <w:rPr>
          <w:rFonts w:ascii="Times New Roman" w:eastAsia="Times New Roman" w:hAnsi="Times New Roman" w:cs="Times New Roman"/>
          <w:b/>
          <w:color w:val="000000"/>
          <w:sz w:val="24"/>
          <w:szCs w:val="24"/>
        </w:rPr>
        <w:t>voluntary</w:t>
      </w:r>
      <w:r>
        <w:rPr>
          <w:rFonts w:ascii="Times New Roman" w:eastAsia="Times New Roman" w:hAnsi="Times New Roman" w:cs="Times New Roman"/>
          <w:color w:val="000000"/>
          <w:sz w:val="24"/>
          <w:szCs w:val="24"/>
        </w:rPr>
        <w:t xml:space="preserve">. It is up to you to decide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to take part. If you do not wish to take part, there will be no negative consequences. If you decide to take part, we recommend that you save a copy of this information sheet (you can download and save the version emailed to you</w:t>
      </w:r>
      <w:r w:rsidR="00726876">
        <w:rPr>
          <w:rFonts w:ascii="Times New Roman" w:eastAsia="Times New Roman" w:hAnsi="Times New Roman" w:cs="Times New Roman"/>
          <w:color w:val="000000"/>
          <w:sz w:val="24"/>
          <w:szCs w:val="24"/>
        </w:rPr>
        <w:t>) or</w:t>
      </w:r>
      <w:r>
        <w:rPr>
          <w:rFonts w:ascii="Times New Roman" w:eastAsia="Times New Roman" w:hAnsi="Times New Roman" w:cs="Times New Roman"/>
          <w:color w:val="000000"/>
          <w:sz w:val="24"/>
          <w:szCs w:val="24"/>
        </w:rPr>
        <w:t xml:space="preserve"> request a paper copy from the researcher if needed. You will be asked to provide a </w:t>
      </w:r>
      <w:r>
        <w:rPr>
          <w:rFonts w:ascii="Times New Roman" w:eastAsia="Times New Roman" w:hAnsi="Times New Roman" w:cs="Times New Roman"/>
          <w:b/>
          <w:color w:val="000000"/>
          <w:sz w:val="24"/>
          <w:szCs w:val="24"/>
        </w:rPr>
        <w:t>consent</w:t>
      </w:r>
      <w:r>
        <w:rPr>
          <w:rFonts w:ascii="Times New Roman" w:eastAsia="Times New Roman" w:hAnsi="Times New Roman" w:cs="Times New Roman"/>
          <w:color w:val="000000"/>
          <w:sz w:val="24"/>
          <w:szCs w:val="24"/>
        </w:rPr>
        <w:t xml:space="preserve"> form and you can still </w:t>
      </w:r>
      <w:r>
        <w:rPr>
          <w:rFonts w:ascii="Times New Roman" w:eastAsia="Times New Roman" w:hAnsi="Times New Roman" w:cs="Times New Roman"/>
          <w:b/>
          <w:color w:val="000000"/>
          <w:sz w:val="24"/>
          <w:szCs w:val="24"/>
        </w:rPr>
        <w:t>withdraw</w:t>
      </w:r>
      <w:r>
        <w:rPr>
          <w:rFonts w:ascii="Times New Roman" w:eastAsia="Times New Roman" w:hAnsi="Times New Roman" w:cs="Times New Roman"/>
          <w:color w:val="000000"/>
          <w:sz w:val="24"/>
          <w:szCs w:val="24"/>
        </w:rPr>
        <w:t xml:space="preserve"> without any negative consequences. If you decide to withdraw, you do not have to give a reason. If you would like to withdraw, you will need to contact the researcher (Bixuan Yan:</w:t>
      </w:r>
      <w:hyperlink r:id="rId861">
        <w:r>
          <w:rPr>
            <w:rFonts w:ascii="Times New Roman" w:eastAsia="Times New Roman" w:hAnsi="Times New Roman" w:cs="Times New Roman"/>
            <w:color w:val="000000"/>
            <w:sz w:val="24"/>
            <w:szCs w:val="24"/>
            <w:u w:val="single"/>
          </w:rPr>
          <w:t>byan6@sheffield.ac.uk</w:t>
        </w:r>
      </w:hyperlink>
      <w:r w:rsidR="00726876">
        <w:rPr>
          <w:rFonts w:ascii="Times New Roman" w:eastAsia="Times New Roman" w:hAnsi="Times New Roman" w:cs="Times New Roman"/>
          <w:color w:val="000000"/>
          <w:sz w:val="24"/>
          <w:szCs w:val="24"/>
        </w:rPr>
        <w:t>) and</w:t>
      </w:r>
      <w:r>
        <w:rPr>
          <w:rFonts w:ascii="Times New Roman" w:eastAsia="Times New Roman" w:hAnsi="Times New Roman" w:cs="Times New Roman"/>
          <w:color w:val="000000"/>
          <w:sz w:val="24"/>
          <w:szCs w:val="24"/>
        </w:rPr>
        <w:t xml:space="preserve"> provide your name or email address so that your response can be removed. Please note it will not be possible for your </w:t>
      </w:r>
      <w:r>
        <w:rPr>
          <w:rFonts w:ascii="Times New Roman" w:eastAsia="Times New Roman" w:hAnsi="Times New Roman" w:cs="Times New Roman"/>
          <w:i/>
          <w:color w:val="000000"/>
          <w:sz w:val="24"/>
          <w:szCs w:val="24"/>
        </w:rPr>
        <w:t>data</w:t>
      </w:r>
      <w:r>
        <w:rPr>
          <w:rFonts w:ascii="Times New Roman" w:eastAsia="Times New Roman" w:hAnsi="Times New Roman" w:cs="Times New Roman"/>
          <w:color w:val="000000"/>
          <w:sz w:val="24"/>
          <w:szCs w:val="24"/>
        </w:rPr>
        <w:t xml:space="preserve"> to be withdrawn from the research once study recruitment is complete (estimated by the end of September 2023). Please note that choosing to participate in this research, this will not create a legally binding agreement, nor is it intended to create an employment relationship between you and University of Sheffield.</w:t>
      </w:r>
    </w:p>
    <w:p w14:paraId="000014D4"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will happen to me if I take part? What do I have to do?</w:t>
      </w:r>
    </w:p>
    <w:p w14:paraId="000014D5" w14:textId="06F17B44"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Firstly, a researcher will ask you questions about eating in the </w:t>
      </w:r>
      <w:r w:rsidR="00726876">
        <w:rPr>
          <w:rFonts w:ascii="Times New Roman" w:eastAsia="Times New Roman" w:hAnsi="Times New Roman" w:cs="Times New Roman"/>
          <w:color w:val="000000"/>
          <w:sz w:val="24"/>
          <w:szCs w:val="24"/>
        </w:rPr>
        <w:t>evening and</w:t>
      </w:r>
      <w:r>
        <w:rPr>
          <w:rFonts w:ascii="Times New Roman" w:eastAsia="Times New Roman" w:hAnsi="Times New Roman" w:cs="Times New Roman"/>
          <w:color w:val="000000"/>
          <w:sz w:val="24"/>
          <w:szCs w:val="24"/>
        </w:rPr>
        <w:t xml:space="preserve"> discuss factors that you think would help or support not eating late in the evening.</w:t>
      </w:r>
    </w:p>
    <w:p w14:paraId="000014D6" w14:textId="77777777" w:rsidR="00CB4215" w:rsidRDefault="00CB4215">
      <w:pPr>
        <w:rPr>
          <w:rFonts w:ascii="Times New Roman" w:eastAsia="Times New Roman" w:hAnsi="Times New Roman" w:cs="Times New Roman"/>
          <w:color w:val="000000"/>
          <w:sz w:val="24"/>
          <w:szCs w:val="24"/>
        </w:rPr>
      </w:pPr>
    </w:p>
    <w:p w14:paraId="000014D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We will then ask you to complete an online questionnaire which will ask you questions about yourself. This questionnaire is expected to take no longer than 8 minutes (however individual completion times can vary).</w:t>
      </w:r>
    </w:p>
    <w:p w14:paraId="000014D8" w14:textId="77777777" w:rsidR="00CB4215" w:rsidRDefault="00CB4215">
      <w:pPr>
        <w:rPr>
          <w:rFonts w:ascii="Times New Roman" w:eastAsia="Times New Roman" w:hAnsi="Times New Roman" w:cs="Times New Roman"/>
          <w:color w:val="000000"/>
          <w:sz w:val="24"/>
          <w:szCs w:val="24"/>
        </w:rPr>
      </w:pPr>
    </w:p>
    <w:p w14:paraId="000014D9"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are the possible disadvantages and risks of taking part?</w:t>
      </w:r>
    </w:p>
    <w:p w14:paraId="000014DA"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is not expected to pose any risks to participants. However, questions about weight and eating patterns might make some participants feel distressed. If you feel distressed by any aspect of this study, you may find the following resources useful. If the distress continues, we advise you to seek advice from your GP.  These resources may also be helpful to other people, such as your family, if they feel affected by this study. </w:t>
      </w:r>
    </w:p>
    <w:p w14:paraId="000014DB" w14:textId="77777777" w:rsidR="00CB4215" w:rsidRDefault="007E2DD6">
      <w:pPr>
        <w:rPr>
          <w:rFonts w:ascii="Times New Roman" w:eastAsia="Times New Roman" w:hAnsi="Times New Roman" w:cs="Times New Roman"/>
          <w:color w:val="000000"/>
          <w:sz w:val="24"/>
          <w:szCs w:val="24"/>
        </w:rPr>
      </w:pPr>
      <w:hyperlink r:id="rId862">
        <w:r w:rsidR="000530B4">
          <w:rPr>
            <w:rFonts w:ascii="Times New Roman" w:eastAsia="Times New Roman" w:hAnsi="Times New Roman" w:cs="Times New Roman"/>
            <w:color w:val="000000"/>
            <w:sz w:val="24"/>
            <w:szCs w:val="24"/>
            <w:u w:val="single"/>
          </w:rPr>
          <w:t>https://www.nhs.uk/mental-health/feelings-symptoms-behaviours/feelings-and-symptoms/stress/</w:t>
        </w:r>
      </w:hyperlink>
    </w:p>
    <w:p w14:paraId="000014DC"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https://www.nhs.uk/every-mind-matters/lifes-challenges/our-personal-lives-and-relationships/</w:t>
      </w:r>
    </w:p>
    <w:p w14:paraId="000014DD"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are the possible benefits of taking part?</w:t>
      </w:r>
    </w:p>
    <w:p w14:paraId="000014DE"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will be offered a </w:t>
      </w:r>
      <w:r>
        <w:rPr>
          <w:rFonts w:ascii="Times New Roman" w:eastAsia="Times New Roman" w:hAnsi="Times New Roman" w:cs="Times New Roman"/>
          <w:b/>
          <w:color w:val="000000"/>
          <w:sz w:val="24"/>
          <w:szCs w:val="24"/>
        </w:rPr>
        <w:t>£25</w:t>
      </w:r>
      <w:r>
        <w:rPr>
          <w:rFonts w:ascii="Times New Roman" w:eastAsia="Times New Roman" w:hAnsi="Times New Roman" w:cs="Times New Roman"/>
          <w:color w:val="000000"/>
          <w:sz w:val="24"/>
          <w:szCs w:val="24"/>
        </w:rPr>
        <w:t xml:space="preserve"> electronic Amazon gift voucher to thank you for your time to attend a </w:t>
      </w:r>
      <w:r>
        <w:rPr>
          <w:rFonts w:ascii="Times New Roman" w:eastAsia="Times New Roman" w:hAnsi="Times New Roman" w:cs="Times New Roman"/>
          <w:b/>
          <w:color w:val="000000"/>
          <w:sz w:val="24"/>
          <w:szCs w:val="24"/>
        </w:rPr>
        <w:t>Face-to-Face</w:t>
      </w:r>
      <w:r>
        <w:rPr>
          <w:rFonts w:ascii="Times New Roman" w:eastAsia="Times New Roman" w:hAnsi="Times New Roman" w:cs="Times New Roman"/>
          <w:color w:val="000000"/>
          <w:sz w:val="24"/>
          <w:szCs w:val="24"/>
        </w:rPr>
        <w:t xml:space="preserve"> interview. If you choose an </w:t>
      </w:r>
      <w:r>
        <w:rPr>
          <w:rFonts w:ascii="Times New Roman" w:eastAsia="Times New Roman" w:hAnsi="Times New Roman" w:cs="Times New Roman"/>
          <w:b/>
          <w:color w:val="000000"/>
          <w:sz w:val="24"/>
          <w:szCs w:val="24"/>
        </w:rPr>
        <w:t>Online</w:t>
      </w:r>
      <w:r>
        <w:rPr>
          <w:rFonts w:ascii="Times New Roman" w:eastAsia="Times New Roman" w:hAnsi="Times New Roman" w:cs="Times New Roman"/>
          <w:color w:val="000000"/>
          <w:sz w:val="24"/>
          <w:szCs w:val="24"/>
        </w:rPr>
        <w:t xml:space="preserve"> interview, you will be offered a </w:t>
      </w:r>
      <w:r>
        <w:rPr>
          <w:rFonts w:ascii="Times New Roman" w:eastAsia="Times New Roman" w:hAnsi="Times New Roman" w:cs="Times New Roman"/>
          <w:b/>
          <w:color w:val="000000"/>
          <w:sz w:val="24"/>
          <w:szCs w:val="24"/>
        </w:rPr>
        <w:t>£20</w:t>
      </w:r>
      <w:r>
        <w:rPr>
          <w:rFonts w:ascii="Times New Roman" w:eastAsia="Times New Roman" w:hAnsi="Times New Roman" w:cs="Times New Roman"/>
          <w:color w:val="000000"/>
          <w:sz w:val="24"/>
          <w:szCs w:val="24"/>
        </w:rPr>
        <w:t xml:space="preserve"> electronic Amazon gift voucher. Please note, travel expenses and/or any other costs which you may incur during your involvement in the research cannot be reimbursed. </w:t>
      </w:r>
    </w:p>
    <w:p w14:paraId="000014DF" w14:textId="77777777" w:rsidR="00CB4215" w:rsidRDefault="00CB4215">
      <w:pPr>
        <w:rPr>
          <w:rFonts w:ascii="Times New Roman" w:eastAsia="Times New Roman" w:hAnsi="Times New Roman" w:cs="Times New Roman"/>
          <w:color w:val="000000"/>
          <w:sz w:val="24"/>
          <w:szCs w:val="24"/>
        </w:rPr>
      </w:pPr>
    </w:p>
    <w:p w14:paraId="000014E0"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Will my taking part in this project be kept confidential?</w:t>
      </w:r>
    </w:p>
    <w:p w14:paraId="000014E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the information that we collect about you during the research will be kept strictly</w:t>
      </w:r>
      <w:r>
        <w:rPr>
          <w:rFonts w:ascii="Times New Roman" w:eastAsia="Times New Roman" w:hAnsi="Times New Roman" w:cs="Times New Roman"/>
          <w:b/>
          <w:color w:val="000000"/>
          <w:sz w:val="24"/>
          <w:szCs w:val="24"/>
        </w:rPr>
        <w:t xml:space="preserve"> confidential.</w:t>
      </w:r>
      <w:r>
        <w:rPr>
          <w:rFonts w:ascii="Times New Roman" w:eastAsia="Times New Roman" w:hAnsi="Times New Roman" w:cs="Times New Roman"/>
          <w:color w:val="000000"/>
          <w:sz w:val="24"/>
          <w:szCs w:val="24"/>
        </w:rPr>
        <w:t xml:space="preserve"> Interviews will be audio recorded by a recorder and transcribed by a third party, 'TAKE NOTE,' a UK-based transcription service. It is important to note that 'TAKE NOTE' operates within the web browser, ensuring that no data is downloaded. All transcriptions will be anonymous and securely stored. You will not be able to be identified in any reports or publications. If you agree to us sharing the information you provide with other researchers (e.g., by making it available in a data archive) then your personal details will not be included. </w:t>
      </w:r>
    </w:p>
    <w:p w14:paraId="000014E2" w14:textId="77777777" w:rsidR="00CB4215" w:rsidRDefault="00CB4215">
      <w:pPr>
        <w:rPr>
          <w:rFonts w:ascii="Times New Roman" w:eastAsia="Times New Roman" w:hAnsi="Times New Roman" w:cs="Times New Roman"/>
          <w:color w:val="000000"/>
          <w:sz w:val="24"/>
          <w:szCs w:val="24"/>
        </w:rPr>
      </w:pPr>
    </w:p>
    <w:p w14:paraId="000014E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findings may be published in a peer review journal article, however</w:t>
      </w:r>
    </w:p>
    <w:p w14:paraId="000014E4"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data reported will be for the overall results from all participants and your responses will</w:t>
      </w:r>
    </w:p>
    <w:p w14:paraId="000014E5"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remain </w:t>
      </w:r>
      <w:r>
        <w:rPr>
          <w:rFonts w:ascii="Times New Roman" w:eastAsia="Times New Roman" w:hAnsi="Times New Roman" w:cs="Times New Roman"/>
          <w:b/>
          <w:color w:val="000000"/>
          <w:sz w:val="24"/>
          <w:szCs w:val="24"/>
        </w:rPr>
        <w:t>anonymous</w:t>
      </w:r>
      <w:r>
        <w:rPr>
          <w:rFonts w:ascii="Times New Roman" w:eastAsia="Times New Roman" w:hAnsi="Times New Roman" w:cs="Times New Roman"/>
          <w:color w:val="000000"/>
          <w:sz w:val="24"/>
          <w:szCs w:val="24"/>
        </w:rPr>
        <w:t>.</w:t>
      </w:r>
    </w:p>
    <w:p w14:paraId="000014E6" w14:textId="77777777" w:rsidR="00CB4215" w:rsidRDefault="00CB4215">
      <w:pPr>
        <w:rPr>
          <w:rFonts w:ascii="Times New Roman" w:eastAsia="Times New Roman" w:hAnsi="Times New Roman" w:cs="Times New Roman"/>
          <w:color w:val="000000"/>
          <w:sz w:val="24"/>
          <w:szCs w:val="24"/>
        </w:rPr>
      </w:pPr>
    </w:p>
    <w:p w14:paraId="000014E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is the legal basis for processing my personal data?</w:t>
      </w:r>
    </w:p>
    <w:p w14:paraId="000014E8"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data protection legislation, we are required to inform you that the legal basis we are applying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process your personal data is that ‘processing is necessary for the performance of a task carried out in the public interest’ (Article 6(1)(e)). Further information can be found in the University’s Privacy Notice </w:t>
      </w:r>
      <w:hyperlink r:id="rId863">
        <w:r>
          <w:rPr>
            <w:rFonts w:ascii="Times New Roman" w:eastAsia="Times New Roman" w:hAnsi="Times New Roman" w:cs="Times New Roman"/>
            <w:color w:val="000000"/>
            <w:sz w:val="24"/>
            <w:szCs w:val="24"/>
            <w:u w:val="single"/>
          </w:rPr>
          <w:t>https://www.sheffield.ac.uk/govern/data-protection/privacy/general</w:t>
        </w:r>
      </w:hyperlink>
      <w:r>
        <w:rPr>
          <w:rFonts w:ascii="Times New Roman" w:eastAsia="Times New Roman" w:hAnsi="Times New Roman" w:cs="Times New Roman"/>
          <w:color w:val="000000"/>
          <w:sz w:val="24"/>
          <w:szCs w:val="24"/>
        </w:rPr>
        <w:t>.’  </w:t>
      </w:r>
    </w:p>
    <w:p w14:paraId="000014E9" w14:textId="77777777" w:rsidR="00CB4215" w:rsidRDefault="00CB4215">
      <w:pPr>
        <w:rPr>
          <w:rFonts w:ascii="Times New Roman" w:eastAsia="Times New Roman" w:hAnsi="Times New Roman" w:cs="Times New Roman"/>
          <w:color w:val="000000"/>
          <w:sz w:val="24"/>
          <w:szCs w:val="24"/>
        </w:rPr>
      </w:pPr>
    </w:p>
    <w:p w14:paraId="000014EA"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will happen to the data collected, and the results of the research project?</w:t>
      </w:r>
    </w:p>
    <w:p w14:paraId="000014E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data collected will be accessible by researchers involved in this project. Any personal information (e.g., email address and name) will be deleted once study recruitment is complete (estimated by the end of September 2023).</w:t>
      </w:r>
    </w:p>
    <w:p w14:paraId="000014EC"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This study aims to be published; you may obtain a copy of the published results by contacting the researcher </w:t>
      </w:r>
      <w:hyperlink r:id="rId864">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Please note you will not be identified in any report or publication. </w:t>
      </w:r>
    </w:p>
    <w:p w14:paraId="000014ED"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Due to the nature of this research, it is very likely that other researchers may find the data collected to be useful in answering future research questions. We will ask for your explicit consent for your data to be shared in this way.</w:t>
      </w:r>
    </w:p>
    <w:p w14:paraId="000014EE" w14:textId="77777777" w:rsidR="00CB4215" w:rsidRDefault="00CB4215">
      <w:pPr>
        <w:rPr>
          <w:rFonts w:ascii="Times New Roman" w:eastAsia="Times New Roman" w:hAnsi="Times New Roman" w:cs="Times New Roman"/>
          <w:color w:val="000000"/>
          <w:sz w:val="24"/>
          <w:szCs w:val="24"/>
        </w:rPr>
      </w:pPr>
    </w:p>
    <w:p w14:paraId="000014E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confirm receipt of the £25 Amazon voucher for the face-to-face interview or £20 Amazon voucher for the online interview, a record of the email address used against the voucher code will be kept, stored securely in a locked cabinet or as a digital copy for 10 years by the University of Sheffield’s finance team in the event of a financial audit. </w:t>
      </w:r>
    </w:p>
    <w:p w14:paraId="000014F0"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Who is organising and funding the research and who is the Data Controller?</w:t>
      </w:r>
    </w:p>
    <w:p w14:paraId="000014F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is being organised by the Department of Psychology at the University of Sheffield.</w:t>
      </w:r>
    </w:p>
    <w:p w14:paraId="000014F2"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University of Sheffield will act as the Data Controller for this study. This means that the University is responsible for looking after your information and using it properly. </w:t>
      </w:r>
    </w:p>
    <w:p w14:paraId="000014F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Who has ethically reviewed the project?</w:t>
      </w:r>
    </w:p>
    <w:p w14:paraId="000014F4"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project has been ethically approved via the University of Sheffield’s Ethics Review Procedure, as administered by the Psychology department.</w:t>
      </w:r>
    </w:p>
    <w:p w14:paraId="000014F5" w14:textId="77777777" w:rsidR="00CB4215" w:rsidRDefault="00CB4215">
      <w:pPr>
        <w:rPr>
          <w:rFonts w:ascii="Times New Roman" w:eastAsia="Times New Roman" w:hAnsi="Times New Roman" w:cs="Times New Roman"/>
          <w:color w:val="000000"/>
          <w:sz w:val="24"/>
          <w:szCs w:val="24"/>
        </w:rPr>
      </w:pPr>
    </w:p>
    <w:p w14:paraId="000014F6"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if something goes wrong and I wish to complain about the research or report a concern or incident?</w:t>
      </w:r>
    </w:p>
    <w:p w14:paraId="000014F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are dissatisfied with any aspect of the research and wish to make a complaint, please contact Dr Nicola Buckland; </w:t>
      </w:r>
      <w:hyperlink r:id="rId865">
        <w:r>
          <w:rPr>
            <w:rFonts w:ascii="Times New Roman" w:eastAsia="Times New Roman" w:hAnsi="Times New Roman" w:cs="Times New Roman"/>
            <w:color w:val="000000"/>
            <w:sz w:val="24"/>
            <w:szCs w:val="24"/>
            <w:u w:val="single"/>
          </w:rPr>
          <w:t>n.buckland@sheffield.ac.uk</w:t>
        </w:r>
      </w:hyperlink>
      <w:r>
        <w:rPr>
          <w:rFonts w:ascii="Times New Roman" w:eastAsia="Times New Roman" w:hAnsi="Times New Roman" w:cs="Times New Roman"/>
          <w:color w:val="000000"/>
          <w:sz w:val="24"/>
          <w:szCs w:val="24"/>
        </w:rPr>
        <w:t xml:space="preserve"> or Bixuan Yan; </w:t>
      </w:r>
      <w:hyperlink r:id="rId866">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xml:space="preserve">, in the first instance. If you feel your complaint has not been handled in a satisfactory way you can contact the Head of the Department of Psychology [Professor Elizabeth Milne, </w:t>
      </w:r>
      <w:hyperlink r:id="rId867">
        <w:r>
          <w:rPr>
            <w:rFonts w:ascii="Times New Roman" w:eastAsia="Times New Roman" w:hAnsi="Times New Roman" w:cs="Times New Roman"/>
            <w:color w:val="000000"/>
            <w:sz w:val="24"/>
            <w:szCs w:val="24"/>
            <w:u w:val="single"/>
          </w:rPr>
          <w:t>psy-hod@sheffield.ac.uk</w:t>
        </w:r>
      </w:hyperlink>
      <w:r>
        <w:rPr>
          <w:rFonts w:ascii="Times New Roman" w:eastAsia="Times New Roman" w:hAnsi="Times New Roman" w:cs="Times New Roman"/>
          <w:color w:val="000000"/>
          <w:sz w:val="24"/>
          <w:szCs w:val="24"/>
        </w:rPr>
        <w:t xml:space="preserve"> ]. If the complaint relates to how your personal data has been handled, you can find information about how to raise a complaint in the University’s Privacy Notice: </w:t>
      </w:r>
      <w:hyperlink r:id="rId868">
        <w:r>
          <w:rPr>
            <w:rFonts w:ascii="Times New Roman" w:eastAsia="Times New Roman" w:hAnsi="Times New Roman" w:cs="Times New Roman"/>
            <w:color w:val="000000"/>
            <w:sz w:val="24"/>
            <w:szCs w:val="24"/>
            <w:u w:val="single"/>
          </w:rPr>
          <w:t>https://www.sheffield.ac.uk/govern/data-protection/privacy/general</w:t>
        </w:r>
      </w:hyperlink>
      <w:r>
        <w:rPr>
          <w:rFonts w:ascii="Times New Roman" w:eastAsia="Times New Roman" w:hAnsi="Times New Roman" w:cs="Times New Roman"/>
          <w:color w:val="000000"/>
          <w:sz w:val="24"/>
          <w:szCs w:val="24"/>
        </w:rPr>
        <w:t xml:space="preserve"> .</w:t>
      </w:r>
    </w:p>
    <w:p w14:paraId="000014F8" w14:textId="77777777" w:rsidR="00CB4215" w:rsidRDefault="00CB4215">
      <w:pPr>
        <w:rPr>
          <w:rFonts w:ascii="Times New Roman" w:eastAsia="Times New Roman" w:hAnsi="Times New Roman" w:cs="Times New Roman"/>
          <w:color w:val="000000"/>
          <w:sz w:val="24"/>
          <w:szCs w:val="24"/>
        </w:rPr>
      </w:pPr>
    </w:p>
    <w:p w14:paraId="000014F9"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wish to make a report of a concern or incident relating to potential exploitation, abuse or harm resulting from your involvement in this project, please contact the project’s Designated Safeguarding Contact, that is Dr Nicola Buckland (</w:t>
      </w:r>
      <w:hyperlink r:id="rId869">
        <w:r>
          <w:rPr>
            <w:rFonts w:ascii="Times New Roman" w:eastAsia="Times New Roman" w:hAnsi="Times New Roman" w:cs="Times New Roman"/>
            <w:color w:val="000000"/>
            <w:sz w:val="24"/>
            <w:szCs w:val="24"/>
            <w:u w:val="single"/>
          </w:rPr>
          <w:t>n.buckland@sheffield.ac.uk</w:t>
        </w:r>
      </w:hyperlink>
      <w:r>
        <w:rPr>
          <w:rFonts w:ascii="Times New Roman" w:eastAsia="Times New Roman" w:hAnsi="Times New Roman" w:cs="Times New Roman"/>
          <w:color w:val="000000"/>
          <w:sz w:val="24"/>
          <w:szCs w:val="24"/>
        </w:rPr>
        <w:t>) or Bixuan Yan (</w:t>
      </w:r>
      <w:hyperlink r:id="rId870">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xml:space="preserve">). If the concern or incident relates to the Designated Safeguarding Contact, or if you feel a report you have made to this Contact has not been handled in a satisfactory way, please contact the Head of the Department of Psychology [Professor Elizabeth Milne, </w:t>
      </w:r>
      <w:hyperlink r:id="rId871">
        <w:r>
          <w:rPr>
            <w:rFonts w:ascii="Times New Roman" w:eastAsia="Times New Roman" w:hAnsi="Times New Roman" w:cs="Times New Roman"/>
            <w:color w:val="000000"/>
            <w:sz w:val="24"/>
            <w:szCs w:val="24"/>
            <w:u w:val="single"/>
          </w:rPr>
          <w:t>psy-hod@sheffield.ac.uk</w:t>
        </w:r>
      </w:hyperlink>
      <w:r>
        <w:rPr>
          <w:rFonts w:ascii="Times New Roman" w:eastAsia="Times New Roman" w:hAnsi="Times New Roman" w:cs="Times New Roman"/>
          <w:color w:val="000000"/>
          <w:sz w:val="24"/>
          <w:szCs w:val="24"/>
        </w:rPr>
        <w:t xml:space="preserve"> ] and/or the University’s Research Ethics &amp; Integrity Manager (Lindsay Unwin; </w:t>
      </w:r>
      <w:hyperlink r:id="rId872">
        <w:r>
          <w:rPr>
            <w:rFonts w:ascii="Times New Roman" w:eastAsia="Times New Roman" w:hAnsi="Times New Roman" w:cs="Times New Roman"/>
            <w:color w:val="000000"/>
            <w:sz w:val="24"/>
            <w:szCs w:val="24"/>
            <w:u w:val="single"/>
          </w:rPr>
          <w:t>l.v.unwin@sheffield.ac.uk</w:t>
        </w:r>
      </w:hyperlink>
      <w:r>
        <w:rPr>
          <w:rFonts w:ascii="Times New Roman" w:eastAsia="Times New Roman" w:hAnsi="Times New Roman" w:cs="Times New Roman"/>
          <w:color w:val="000000"/>
          <w:sz w:val="24"/>
          <w:szCs w:val="24"/>
        </w:rPr>
        <w:t>).</w:t>
      </w:r>
    </w:p>
    <w:p w14:paraId="000014FA" w14:textId="77777777" w:rsidR="00CB4215" w:rsidRDefault="00CB4215">
      <w:pPr>
        <w:rPr>
          <w:rFonts w:ascii="Times New Roman" w:eastAsia="Times New Roman" w:hAnsi="Times New Roman" w:cs="Times New Roman"/>
          <w:color w:val="000000"/>
          <w:sz w:val="24"/>
          <w:szCs w:val="24"/>
        </w:rPr>
      </w:pPr>
    </w:p>
    <w:p w14:paraId="000014F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What COVID-19 safety measures are in place?</w:t>
      </w:r>
    </w:p>
    <w:p w14:paraId="000014FC"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Face-to-Face interviews will be conducted in accordance with COVID-19 safety guidelines. We will ask you to reschedule the session if you experience any covid symptoms or have been in contact with any one with symptoms. </w:t>
      </w:r>
    </w:p>
    <w:p w14:paraId="000014FD" w14:textId="77777777" w:rsidR="00CB4215" w:rsidRDefault="00CB4215">
      <w:pPr>
        <w:rPr>
          <w:rFonts w:ascii="Times New Roman" w:eastAsia="Times New Roman" w:hAnsi="Times New Roman" w:cs="Times New Roman"/>
          <w:color w:val="000000"/>
          <w:sz w:val="24"/>
          <w:szCs w:val="24"/>
        </w:rPr>
      </w:pPr>
    </w:p>
    <w:p w14:paraId="000014FE"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Contact for further information</w:t>
      </w:r>
    </w:p>
    <w:p w14:paraId="000014F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case you wish to obtain </w:t>
      </w:r>
      <w:r>
        <w:rPr>
          <w:rFonts w:ascii="Times New Roman" w:eastAsia="Times New Roman" w:hAnsi="Times New Roman" w:cs="Times New Roman"/>
          <w:b/>
          <w:color w:val="000000"/>
          <w:sz w:val="24"/>
          <w:szCs w:val="24"/>
        </w:rPr>
        <w:t>further information</w:t>
      </w:r>
      <w:r>
        <w:rPr>
          <w:rFonts w:ascii="Times New Roman" w:eastAsia="Times New Roman" w:hAnsi="Times New Roman" w:cs="Times New Roman"/>
          <w:color w:val="000000"/>
          <w:sz w:val="24"/>
          <w:szCs w:val="24"/>
        </w:rPr>
        <w:t xml:space="preserve"> about the project, please contact researcher Bixuan Yan (</w:t>
      </w:r>
      <w:hyperlink r:id="rId873">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w:t>
      </w:r>
    </w:p>
    <w:p w14:paraId="00001500" w14:textId="77777777" w:rsidR="00CB4215" w:rsidRDefault="00CB4215">
      <w:pPr>
        <w:rPr>
          <w:rFonts w:ascii="Times New Roman" w:eastAsia="Times New Roman" w:hAnsi="Times New Roman" w:cs="Times New Roman"/>
          <w:color w:val="000000"/>
          <w:sz w:val="24"/>
          <w:szCs w:val="24"/>
        </w:rPr>
      </w:pPr>
    </w:p>
    <w:p w14:paraId="0000150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keep a copy of this information sheet for your future reference. You can save the version emailed by using the “download” function.</w:t>
      </w:r>
    </w:p>
    <w:p w14:paraId="00001502"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Thank you for considering taking part in this project. </w:t>
      </w:r>
    </w:p>
    <w:p w14:paraId="0000150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14:paraId="00001504" w14:textId="77777777" w:rsidR="00CB4215" w:rsidRDefault="000530B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Interview Study Consent Form</w:t>
      </w:r>
    </w:p>
    <w:tbl>
      <w:tblPr>
        <w:tblStyle w:val="aff4"/>
        <w:tblW w:w="9019" w:type="dxa"/>
        <w:tblLayout w:type="fixed"/>
        <w:tblLook w:val="0400" w:firstRow="0" w:lastRow="0" w:firstColumn="0" w:lastColumn="0" w:noHBand="0" w:noVBand="1"/>
      </w:tblPr>
      <w:tblGrid>
        <w:gridCol w:w="7891"/>
        <w:gridCol w:w="604"/>
        <w:gridCol w:w="524"/>
      </w:tblGrid>
      <w:tr w:rsidR="00CB4215" w14:paraId="791BFD74" w14:textId="77777777">
        <w:trPr>
          <w:trHeight w:val="280"/>
        </w:trPr>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5"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Please tick the appropriate boxes</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6"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Yes</w:t>
            </w: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w:t>
            </w:r>
          </w:p>
        </w:tc>
      </w:tr>
      <w:tr w:rsidR="00CB4215" w14:paraId="41D73431" w14:textId="77777777">
        <w:trPr>
          <w:trHeight w:val="300"/>
        </w:trPr>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8"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Taking Part in the Project</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9"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A" w14:textId="77777777" w:rsidR="00CB4215" w:rsidRDefault="00CB4215">
            <w:pPr>
              <w:rPr>
                <w:rFonts w:ascii="Times New Roman" w:eastAsia="Times New Roman" w:hAnsi="Times New Roman" w:cs="Times New Roman"/>
                <w:color w:val="000000"/>
                <w:sz w:val="24"/>
                <w:szCs w:val="24"/>
              </w:rPr>
            </w:pPr>
          </w:p>
        </w:tc>
      </w:tr>
      <w:tr w:rsidR="00CB4215" w14:paraId="77FA08C0" w14:textId="77777777">
        <w:trPr>
          <w:trHeight w:val="460"/>
        </w:trPr>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have read and understood the project information sheet dated XX/07/2023 (If you will answer No to this question please do not proceed with this consent form until you are fully aware of what your participation in the project will mean).</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C"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D" w14:textId="77777777" w:rsidR="00CB4215" w:rsidRDefault="00CB4215">
            <w:pPr>
              <w:rPr>
                <w:rFonts w:ascii="Times New Roman" w:eastAsia="Times New Roman" w:hAnsi="Times New Roman" w:cs="Times New Roman"/>
                <w:color w:val="000000"/>
                <w:sz w:val="24"/>
                <w:szCs w:val="24"/>
              </w:rPr>
            </w:pPr>
          </w:p>
        </w:tc>
      </w:tr>
      <w:tr w:rsidR="00CB4215" w14:paraId="4E2E9C7E" w14:textId="77777777">
        <w:trPr>
          <w:trHeight w:val="540"/>
        </w:trPr>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E"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have been given the opportunity to ask questions about the project. </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0F"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0" w14:textId="77777777" w:rsidR="00CB4215" w:rsidRDefault="00CB4215">
            <w:pPr>
              <w:rPr>
                <w:rFonts w:ascii="Times New Roman" w:eastAsia="Times New Roman" w:hAnsi="Times New Roman" w:cs="Times New Roman"/>
                <w:color w:val="000000"/>
                <w:sz w:val="24"/>
                <w:szCs w:val="24"/>
              </w:rPr>
            </w:pPr>
          </w:p>
        </w:tc>
      </w:tr>
      <w:tr w:rsidR="00CB4215" w14:paraId="6D367998" w14:textId="77777777">
        <w:trPr>
          <w:trHeight w:val="540"/>
        </w:trPr>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agree to take part in the project.  </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2"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3" w14:textId="77777777" w:rsidR="00CB4215" w:rsidRDefault="00CB4215">
            <w:pPr>
              <w:rPr>
                <w:rFonts w:ascii="Times New Roman" w:eastAsia="Times New Roman" w:hAnsi="Times New Roman" w:cs="Times New Roman"/>
                <w:color w:val="000000"/>
                <w:sz w:val="24"/>
                <w:szCs w:val="24"/>
              </w:rPr>
            </w:pPr>
          </w:p>
        </w:tc>
      </w:tr>
      <w:tr w:rsidR="00CB4215" w14:paraId="5DE3A4AB"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4"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understand that my taking part is voluntary and that I cannot withdraw once study recruitment is complete (estimated by the end of September 2023</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I do not have to give any reasons for why I no longer want to take part and there will be no adverse consequences if I choose to withdraw.</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5"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6" w14:textId="77777777" w:rsidR="00CB4215" w:rsidRDefault="00CB4215">
            <w:pPr>
              <w:rPr>
                <w:rFonts w:ascii="Times New Roman" w:eastAsia="Times New Roman" w:hAnsi="Times New Roman" w:cs="Times New Roman"/>
                <w:color w:val="000000"/>
                <w:sz w:val="24"/>
                <w:szCs w:val="24"/>
              </w:rPr>
            </w:pPr>
          </w:p>
        </w:tc>
      </w:tr>
      <w:tr w:rsidR="00CB4215" w14:paraId="0131160E"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How my information will be used during and after the project</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8"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9" w14:textId="77777777" w:rsidR="00CB4215" w:rsidRDefault="00CB4215">
            <w:pPr>
              <w:rPr>
                <w:rFonts w:ascii="Times New Roman" w:eastAsia="Times New Roman" w:hAnsi="Times New Roman" w:cs="Times New Roman"/>
                <w:color w:val="000000"/>
                <w:sz w:val="24"/>
                <w:szCs w:val="24"/>
              </w:rPr>
            </w:pPr>
          </w:p>
        </w:tc>
      </w:tr>
      <w:tr w:rsidR="00CB4215" w14:paraId="5327DA12"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A"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understand my personal details, such as my name and email address will not be revealed to people outside the project.</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B"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C" w14:textId="77777777" w:rsidR="00CB4215" w:rsidRDefault="00CB4215">
            <w:pPr>
              <w:rPr>
                <w:rFonts w:ascii="Times New Roman" w:eastAsia="Times New Roman" w:hAnsi="Times New Roman" w:cs="Times New Roman"/>
                <w:color w:val="000000"/>
                <w:sz w:val="24"/>
                <w:szCs w:val="24"/>
              </w:rPr>
            </w:pPr>
          </w:p>
        </w:tc>
      </w:tr>
      <w:tr w:rsidR="00CB4215" w14:paraId="3AE5CD37"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D"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understand and agree that my anonymous data may be used in publications, reports, web pages, and other research outputs. </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E"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1F" w14:textId="77777777" w:rsidR="00CB4215" w:rsidRDefault="00CB4215">
            <w:pPr>
              <w:rPr>
                <w:rFonts w:ascii="Times New Roman" w:eastAsia="Times New Roman" w:hAnsi="Times New Roman" w:cs="Times New Roman"/>
                <w:color w:val="000000"/>
                <w:sz w:val="24"/>
                <w:szCs w:val="24"/>
              </w:rPr>
            </w:pPr>
          </w:p>
        </w:tc>
      </w:tr>
      <w:tr w:rsidR="00CB4215" w14:paraId="1CFE92C5"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0"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understand and agree that other authorised researchers will have access to this anonymous data only if they agree to preserve the confidentiality of the information as requested in this form. </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1"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2" w14:textId="77777777" w:rsidR="00CB4215" w:rsidRDefault="00CB4215">
            <w:pPr>
              <w:rPr>
                <w:rFonts w:ascii="Times New Roman" w:eastAsia="Times New Roman" w:hAnsi="Times New Roman" w:cs="Times New Roman"/>
                <w:color w:val="000000"/>
                <w:sz w:val="24"/>
                <w:szCs w:val="24"/>
              </w:rPr>
            </w:pPr>
          </w:p>
        </w:tc>
      </w:tr>
      <w:tr w:rsidR="00CB4215" w14:paraId="6D515699"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understand and agree that other authorised researchers may use my anonymous data in publications, reports, web pages, and other research outputs, only if they agree to preserve the confidentiality of the information as requested in this form.</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4"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5" w14:textId="77777777" w:rsidR="00CB4215" w:rsidRDefault="00CB4215">
            <w:pPr>
              <w:rPr>
                <w:rFonts w:ascii="Times New Roman" w:eastAsia="Times New Roman" w:hAnsi="Times New Roman" w:cs="Times New Roman"/>
                <w:color w:val="000000"/>
                <w:sz w:val="24"/>
                <w:szCs w:val="24"/>
              </w:rPr>
            </w:pPr>
          </w:p>
        </w:tc>
      </w:tr>
      <w:tr w:rsidR="00CB4215" w14:paraId="64740CE9"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6"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give permission for the anonymous data that I provide to be deposited in the Dept. of Psychology at the University of Sheffield so it can be used for future research and learning.</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7"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8" w14:textId="77777777" w:rsidR="00CB4215" w:rsidRDefault="00CB4215">
            <w:pPr>
              <w:rPr>
                <w:rFonts w:ascii="Times New Roman" w:eastAsia="Times New Roman" w:hAnsi="Times New Roman" w:cs="Times New Roman"/>
                <w:color w:val="000000"/>
                <w:sz w:val="24"/>
                <w:szCs w:val="24"/>
              </w:rPr>
            </w:pPr>
          </w:p>
        </w:tc>
      </w:tr>
      <w:tr w:rsidR="00CB4215" w14:paraId="5320450C"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9"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give permission for the anonymous data that I provide to be deposited in an open-access repository.</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A"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B" w14:textId="77777777" w:rsidR="00CB4215" w:rsidRDefault="00CB4215">
            <w:pPr>
              <w:rPr>
                <w:rFonts w:ascii="Times New Roman" w:eastAsia="Times New Roman" w:hAnsi="Times New Roman" w:cs="Times New Roman"/>
                <w:color w:val="000000"/>
                <w:sz w:val="24"/>
                <w:szCs w:val="24"/>
              </w:rPr>
            </w:pPr>
          </w:p>
        </w:tc>
      </w:tr>
      <w:tr w:rsidR="00CB4215" w14:paraId="1805C79C"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C"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give permission for my interview being audio-recorded. </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D"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E" w14:textId="77777777" w:rsidR="00CB4215" w:rsidRDefault="00CB4215">
            <w:pPr>
              <w:rPr>
                <w:rFonts w:ascii="Times New Roman" w:eastAsia="Times New Roman" w:hAnsi="Times New Roman" w:cs="Times New Roman"/>
                <w:color w:val="000000"/>
                <w:sz w:val="24"/>
                <w:szCs w:val="24"/>
              </w:rPr>
            </w:pPr>
          </w:p>
        </w:tc>
      </w:tr>
      <w:tr w:rsidR="00CB4215" w14:paraId="30C774E1"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2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give permission for my interview to be transcribed by 'TAKE NOTE'.</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0"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1" w14:textId="77777777" w:rsidR="00CB4215" w:rsidRDefault="00CB4215">
            <w:pPr>
              <w:rPr>
                <w:rFonts w:ascii="Times New Roman" w:eastAsia="Times New Roman" w:hAnsi="Times New Roman" w:cs="Times New Roman"/>
                <w:color w:val="000000"/>
                <w:sz w:val="24"/>
                <w:szCs w:val="24"/>
              </w:rPr>
            </w:pPr>
          </w:p>
        </w:tc>
      </w:tr>
      <w:tr w:rsidR="00CB4215" w14:paraId="6EDBA0F8"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2"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 understand and agree that other authorised researchers will have access to my words, only if they agree to preserve the confidentiality of the information as requested in this form. </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3"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4" w14:textId="77777777" w:rsidR="00CB4215" w:rsidRDefault="00CB4215">
            <w:pPr>
              <w:rPr>
                <w:rFonts w:ascii="Times New Roman" w:eastAsia="Times New Roman" w:hAnsi="Times New Roman" w:cs="Times New Roman"/>
                <w:color w:val="000000"/>
                <w:sz w:val="24"/>
                <w:szCs w:val="24"/>
              </w:rPr>
            </w:pPr>
          </w:p>
        </w:tc>
      </w:tr>
      <w:tr w:rsidR="00CB4215" w14:paraId="7ABB4400"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5"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understand and agree that other authorised researchers may use my words in publications, reports, web pages, and other research outputs, only if they agree to preserve the confidentiality of the information as requested in this form.</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6"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7" w14:textId="77777777" w:rsidR="00CB4215" w:rsidRDefault="00CB4215">
            <w:pPr>
              <w:rPr>
                <w:rFonts w:ascii="Times New Roman" w:eastAsia="Times New Roman" w:hAnsi="Times New Roman" w:cs="Times New Roman"/>
                <w:color w:val="000000"/>
                <w:sz w:val="24"/>
                <w:szCs w:val="24"/>
              </w:rPr>
            </w:pPr>
          </w:p>
        </w:tc>
      </w:tr>
      <w:tr w:rsidR="00CB4215" w14:paraId="7D2CA237"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8"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 that the information you provide can be used legally by the researchers</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9"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A" w14:textId="77777777" w:rsidR="00CB4215" w:rsidRDefault="00CB4215">
            <w:pPr>
              <w:rPr>
                <w:rFonts w:ascii="Times New Roman" w:eastAsia="Times New Roman" w:hAnsi="Times New Roman" w:cs="Times New Roman"/>
                <w:color w:val="000000"/>
                <w:sz w:val="24"/>
                <w:szCs w:val="24"/>
              </w:rPr>
            </w:pPr>
          </w:p>
        </w:tc>
      </w:tr>
      <w:tr w:rsidR="00CB4215" w14:paraId="34581FAD" w14:textId="77777777">
        <w:tc>
          <w:tcPr>
            <w:tcW w:w="7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agree to assign the copyright I hold in any materials generated as part of this project to The University of Sheffield.</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C" w14:textId="77777777" w:rsidR="00CB4215" w:rsidRDefault="00CB4215">
            <w:pPr>
              <w:rPr>
                <w:rFonts w:ascii="Times New Roman" w:eastAsia="Times New Roman" w:hAnsi="Times New Roman" w:cs="Times New Roman"/>
                <w:color w:val="000000"/>
                <w:sz w:val="24"/>
                <w:szCs w:val="24"/>
              </w:rPr>
            </w:pPr>
          </w:p>
        </w:tc>
        <w:tc>
          <w:tcPr>
            <w:tcW w:w="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3D" w14:textId="77777777" w:rsidR="00CB4215" w:rsidRDefault="00CB4215">
            <w:pPr>
              <w:rPr>
                <w:rFonts w:ascii="Times New Roman" w:eastAsia="Times New Roman" w:hAnsi="Times New Roman" w:cs="Times New Roman"/>
                <w:color w:val="000000"/>
                <w:sz w:val="24"/>
                <w:szCs w:val="24"/>
              </w:rPr>
            </w:pPr>
          </w:p>
        </w:tc>
      </w:tr>
    </w:tbl>
    <w:p w14:paraId="0000153E" w14:textId="77777777" w:rsidR="00CB4215" w:rsidRDefault="00CB4215">
      <w:pPr>
        <w:rPr>
          <w:color w:val="000000"/>
        </w:rPr>
      </w:pPr>
    </w:p>
    <w:p w14:paraId="7E3347DC" w14:textId="77777777" w:rsidR="00927980" w:rsidRDefault="00927980">
      <w:pPr>
        <w:jc w:val="center"/>
        <w:rPr>
          <w:rFonts w:ascii="Times New Roman" w:eastAsia="Times New Roman" w:hAnsi="Times New Roman" w:cs="Times New Roman"/>
          <w:b/>
          <w:color w:val="000000"/>
          <w:sz w:val="24"/>
          <w:szCs w:val="24"/>
        </w:rPr>
      </w:pPr>
    </w:p>
    <w:p w14:paraId="0000153F" w14:textId="267C00B1" w:rsidR="00CB4215" w:rsidRDefault="000530B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Debrief Form for Interview Study</w:t>
      </w:r>
    </w:p>
    <w:p w14:paraId="00001540" w14:textId="77777777" w:rsidR="00CB4215" w:rsidRDefault="00CB4215">
      <w:pPr>
        <w:rPr>
          <w:rFonts w:ascii="Times New Roman" w:eastAsia="Times New Roman" w:hAnsi="Times New Roman" w:cs="Times New Roman"/>
          <w:color w:val="000000"/>
          <w:sz w:val="24"/>
          <w:szCs w:val="24"/>
        </w:rPr>
      </w:pPr>
    </w:p>
    <w:p w14:paraId="0000154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Thank you for taking part in this study! </w:t>
      </w:r>
    </w:p>
    <w:p w14:paraId="00001542" w14:textId="77777777" w:rsidR="00CB4215" w:rsidRDefault="00CB4215">
      <w:pPr>
        <w:rPr>
          <w:rFonts w:ascii="Times New Roman" w:eastAsia="Times New Roman" w:hAnsi="Times New Roman" w:cs="Times New Roman"/>
          <w:color w:val="000000"/>
          <w:sz w:val="24"/>
          <w:szCs w:val="24"/>
        </w:rPr>
      </w:pPr>
    </w:p>
    <w:p w14:paraId="0000154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Thank you for taking part in this study. We hope that you found your experience participating in this study interesting. The purpose of this study was to explore late evening eating in participants living with overweight or obesity.</w:t>
      </w:r>
    </w:p>
    <w:p w14:paraId="00001544" w14:textId="77777777" w:rsidR="00CB4215" w:rsidRDefault="00CB4215">
      <w:pPr>
        <w:rPr>
          <w:rFonts w:ascii="Times New Roman" w:eastAsia="Times New Roman" w:hAnsi="Times New Roman" w:cs="Times New Roman"/>
          <w:color w:val="000000"/>
          <w:sz w:val="24"/>
          <w:szCs w:val="24"/>
        </w:rPr>
      </w:pPr>
    </w:p>
    <w:p w14:paraId="00001545" w14:textId="347FB9BB"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this study, we would like to share some research findings related to late eating. Currently, the timing of food intake is emerging as an important predictor of overall health and a </w:t>
      </w:r>
      <w:r w:rsidR="00726876">
        <w:rPr>
          <w:rFonts w:ascii="Times New Roman" w:eastAsia="Times New Roman" w:hAnsi="Times New Roman" w:cs="Times New Roman"/>
          <w:color w:val="000000"/>
          <w:sz w:val="24"/>
          <w:szCs w:val="24"/>
        </w:rPr>
        <w:t>potentially</w:t>
      </w:r>
      <w:r>
        <w:rPr>
          <w:rFonts w:ascii="Times New Roman" w:eastAsia="Times New Roman" w:hAnsi="Times New Roman" w:cs="Times New Roman"/>
          <w:color w:val="000000"/>
          <w:sz w:val="24"/>
          <w:szCs w:val="24"/>
        </w:rPr>
        <w:t xml:space="preserve"> relevant risk factor for obesity in adults. Previous research has shown that eating late may have an impact on weight gain and increase the risk of health conditions, such as obesity and type 2 diabetes. Building upon previous work, this research further explores the reasons for late evening eating and factors that might help or support earlier eating in the evening. If you would like to read more about late eating, you may find this resource useful: </w:t>
      </w:r>
      <w:hyperlink r:id="rId874">
        <w:r>
          <w:rPr>
            <w:rFonts w:ascii="Times New Roman" w:eastAsia="Times New Roman" w:hAnsi="Times New Roman" w:cs="Times New Roman"/>
            <w:color w:val="000000"/>
            <w:sz w:val="24"/>
            <w:szCs w:val="24"/>
            <w:u w:val="single"/>
          </w:rPr>
          <w:t>https://www.nia.nih.gov/</w:t>
        </w:r>
      </w:hyperlink>
    </w:p>
    <w:p w14:paraId="00001546" w14:textId="77777777" w:rsidR="00CB4215" w:rsidRDefault="00CB4215">
      <w:pPr>
        <w:rPr>
          <w:rFonts w:ascii="Times New Roman" w:eastAsia="Times New Roman" w:hAnsi="Times New Roman" w:cs="Times New Roman"/>
          <w:color w:val="000000"/>
          <w:sz w:val="24"/>
          <w:szCs w:val="24"/>
        </w:rPr>
      </w:pPr>
    </w:p>
    <w:p w14:paraId="00001547"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Because this is an ongoing study and many other people may get involved, we ask that you not talk about the study with any other people. The reason we ask this is because if someone you talk to about this study then decides to participate, their reactions would not be as spontaneous or natural as if they had not known what the study was about. Even if you think that the person you are telling is not likely or eligible to participate in this study, they may tell someone else who may then participate. For this reason, we would like to ask you to not say anything more about the study than what you were told at the beginning of the study.</w:t>
      </w:r>
    </w:p>
    <w:p w14:paraId="00001548" w14:textId="77777777" w:rsidR="00CB4215" w:rsidRDefault="00CB4215">
      <w:pPr>
        <w:rPr>
          <w:rFonts w:ascii="Times New Roman" w:eastAsia="Times New Roman" w:hAnsi="Times New Roman" w:cs="Times New Roman"/>
          <w:color w:val="000000"/>
          <w:sz w:val="24"/>
          <w:szCs w:val="24"/>
        </w:rPr>
      </w:pPr>
    </w:p>
    <w:p w14:paraId="00001549"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Your participation in this research is very important. If you are not satisfied with this study and do not want us to use your data, then please let us know now and your data will be withdrawn (please note, we can only withdraw data up to the point of data analyses, estimated to be in October 2023).</w:t>
      </w:r>
    </w:p>
    <w:p w14:paraId="0000154A" w14:textId="77777777" w:rsidR="00CB4215" w:rsidRDefault="00CB4215">
      <w:pPr>
        <w:rPr>
          <w:rFonts w:ascii="Times New Roman" w:eastAsia="Times New Roman" w:hAnsi="Times New Roman" w:cs="Times New Roman"/>
          <w:color w:val="000000"/>
          <w:sz w:val="24"/>
          <w:szCs w:val="24"/>
        </w:rPr>
      </w:pPr>
    </w:p>
    <w:p w14:paraId="0000154B"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feel distressed by any aspect of this study, you may find the following resources useful. If the distress continues, we advise you to seek support from your GP.  </w:t>
      </w:r>
    </w:p>
    <w:p w14:paraId="0000154C" w14:textId="77777777" w:rsidR="00CB4215" w:rsidRDefault="007E2DD6">
      <w:pPr>
        <w:rPr>
          <w:rFonts w:ascii="Times New Roman" w:eastAsia="Times New Roman" w:hAnsi="Times New Roman" w:cs="Times New Roman"/>
          <w:color w:val="000000"/>
          <w:sz w:val="24"/>
          <w:szCs w:val="24"/>
        </w:rPr>
      </w:pPr>
      <w:hyperlink r:id="rId875">
        <w:r w:rsidR="000530B4">
          <w:rPr>
            <w:rFonts w:ascii="Times New Roman" w:eastAsia="Times New Roman" w:hAnsi="Times New Roman" w:cs="Times New Roman"/>
            <w:color w:val="000000"/>
            <w:sz w:val="24"/>
            <w:szCs w:val="24"/>
            <w:u w:val="single"/>
          </w:rPr>
          <w:t>https://www.nhs.uk/mental-health/self-help/guides-tools-and-activities/five-steps-to-mental-wellbeing/</w:t>
        </w:r>
      </w:hyperlink>
      <w:r w:rsidR="000530B4">
        <w:rPr>
          <w:rFonts w:ascii="Times New Roman" w:eastAsia="Times New Roman" w:hAnsi="Times New Roman" w:cs="Times New Roman"/>
          <w:color w:val="000000"/>
          <w:sz w:val="24"/>
          <w:szCs w:val="24"/>
        </w:rPr>
        <w:t>  </w:t>
      </w:r>
    </w:p>
    <w:p w14:paraId="0000154D" w14:textId="77777777" w:rsidR="00CB4215" w:rsidRDefault="007E2DD6">
      <w:pPr>
        <w:rPr>
          <w:rFonts w:ascii="Times New Roman" w:eastAsia="Times New Roman" w:hAnsi="Times New Roman" w:cs="Times New Roman"/>
          <w:color w:val="000000"/>
          <w:sz w:val="24"/>
          <w:szCs w:val="24"/>
        </w:rPr>
      </w:pPr>
      <w:hyperlink r:id="rId876">
        <w:r w:rsidR="000530B4">
          <w:rPr>
            <w:rFonts w:ascii="Times New Roman" w:eastAsia="Times New Roman" w:hAnsi="Times New Roman" w:cs="Times New Roman"/>
            <w:color w:val="000000"/>
            <w:sz w:val="24"/>
            <w:szCs w:val="24"/>
            <w:u w:val="single"/>
          </w:rPr>
          <w:t>https://www.nhs.uk/mental-health/feelings-symptoms-behaviours/feelings-and-symptoms/stress/</w:t>
        </w:r>
      </w:hyperlink>
    </w:p>
    <w:p w14:paraId="0000154E"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resource may also be of </w:t>
      </w:r>
      <w:proofErr w:type="gramStart"/>
      <w:r>
        <w:rPr>
          <w:rFonts w:ascii="Times New Roman" w:eastAsia="Times New Roman" w:hAnsi="Times New Roman" w:cs="Times New Roman"/>
          <w:color w:val="000000"/>
          <w:sz w:val="24"/>
          <w:szCs w:val="24"/>
        </w:rPr>
        <w:t>use, if</w:t>
      </w:r>
      <w:proofErr w:type="gramEnd"/>
      <w:r>
        <w:rPr>
          <w:rFonts w:ascii="Times New Roman" w:eastAsia="Times New Roman" w:hAnsi="Times New Roman" w:cs="Times New Roman"/>
          <w:color w:val="000000"/>
          <w:sz w:val="24"/>
          <w:szCs w:val="24"/>
        </w:rPr>
        <w:t xml:space="preserve"> you feel as though your personal life has been affected. </w:t>
      </w:r>
      <w:hyperlink r:id="rId877">
        <w:r>
          <w:rPr>
            <w:rFonts w:ascii="Times New Roman" w:eastAsia="Times New Roman" w:hAnsi="Times New Roman" w:cs="Times New Roman"/>
            <w:color w:val="000000"/>
            <w:sz w:val="24"/>
            <w:szCs w:val="24"/>
            <w:u w:val="single"/>
          </w:rPr>
          <w:t>https://www.nhs.uk/every-mind-matters/lifes-challenges/our-personal-lives-and-relationships/</w:t>
        </w:r>
      </w:hyperlink>
    </w:p>
    <w:p w14:paraId="0000154F"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the information that we collected about you during the research will be kept strictly</w:t>
      </w:r>
      <w:r>
        <w:rPr>
          <w:rFonts w:ascii="Times New Roman" w:eastAsia="Times New Roman" w:hAnsi="Times New Roman" w:cs="Times New Roman"/>
          <w:b/>
          <w:color w:val="000000"/>
          <w:sz w:val="24"/>
          <w:szCs w:val="24"/>
        </w:rPr>
        <w:t xml:space="preserve"> confidential </w:t>
      </w:r>
      <w:r>
        <w:rPr>
          <w:rFonts w:ascii="Times New Roman" w:eastAsia="Times New Roman" w:hAnsi="Times New Roman" w:cs="Times New Roman"/>
          <w:color w:val="000000"/>
          <w:sz w:val="24"/>
          <w:szCs w:val="24"/>
        </w:rPr>
        <w:t>and will only be accessible to members of the research team. </w:t>
      </w:r>
    </w:p>
    <w:p w14:paraId="00001550" w14:textId="77777777" w:rsidR="00CB4215" w:rsidRDefault="00CB4215">
      <w:pPr>
        <w:rPr>
          <w:rFonts w:ascii="Times New Roman" w:eastAsia="Times New Roman" w:hAnsi="Times New Roman" w:cs="Times New Roman"/>
          <w:color w:val="000000"/>
          <w:sz w:val="24"/>
          <w:szCs w:val="24"/>
        </w:rPr>
      </w:pPr>
    </w:p>
    <w:p w14:paraId="00001551"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are dissatisfied with any aspect of the research and wish to make a complaint, please contact Bixuan Yan; </w:t>
      </w:r>
      <w:hyperlink r:id="rId878">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xml:space="preserve"> or Dr Nicola Buckland; </w:t>
      </w:r>
      <w:hyperlink r:id="rId879">
        <w:r>
          <w:rPr>
            <w:rFonts w:ascii="Times New Roman" w:eastAsia="Times New Roman" w:hAnsi="Times New Roman" w:cs="Times New Roman"/>
            <w:color w:val="000000"/>
            <w:sz w:val="24"/>
            <w:szCs w:val="24"/>
            <w:u w:val="single"/>
          </w:rPr>
          <w:t>N.buckland@sheffield.ac.uk</w:t>
        </w:r>
      </w:hyperlink>
      <w:r>
        <w:rPr>
          <w:rFonts w:ascii="Times New Roman" w:eastAsia="Times New Roman" w:hAnsi="Times New Roman" w:cs="Times New Roman"/>
          <w:color w:val="000000"/>
          <w:sz w:val="24"/>
          <w:szCs w:val="24"/>
        </w:rPr>
        <w:t xml:space="preserve">, in the first instance. If you feel your complaint has not been handled in a satisfactory way you can contact the Head of the Department of Psychology [Professor Elizabeth Milne, </w:t>
      </w:r>
      <w:hyperlink r:id="rId880">
        <w:r>
          <w:rPr>
            <w:rFonts w:ascii="Times New Roman" w:eastAsia="Times New Roman" w:hAnsi="Times New Roman" w:cs="Times New Roman"/>
            <w:color w:val="000000"/>
            <w:sz w:val="24"/>
            <w:szCs w:val="24"/>
            <w:u w:val="single"/>
          </w:rPr>
          <w:t>psy-hod@sheffield.ac.uk</w:t>
        </w:r>
      </w:hyperlink>
      <w:r>
        <w:rPr>
          <w:rFonts w:ascii="Times New Roman" w:eastAsia="Times New Roman" w:hAnsi="Times New Roman" w:cs="Times New Roman"/>
          <w:color w:val="000000"/>
          <w:sz w:val="24"/>
          <w:szCs w:val="24"/>
        </w:rPr>
        <w:t xml:space="preserve"> ]. If the complaint relates to how your personal data has been handled, you can find information about how to raise a complaint in the University’s Privacy Notice: </w:t>
      </w:r>
      <w:hyperlink r:id="rId881">
        <w:r>
          <w:rPr>
            <w:rFonts w:ascii="Times New Roman" w:eastAsia="Times New Roman" w:hAnsi="Times New Roman" w:cs="Times New Roman"/>
            <w:color w:val="000000"/>
            <w:sz w:val="24"/>
            <w:szCs w:val="24"/>
            <w:u w:val="single"/>
          </w:rPr>
          <w:t>https://www.sheffield.ac.uk/govern/data-protection/privacy/general</w:t>
        </w:r>
      </w:hyperlink>
      <w:r>
        <w:rPr>
          <w:rFonts w:ascii="Times New Roman" w:eastAsia="Times New Roman" w:hAnsi="Times New Roman" w:cs="Times New Roman"/>
          <w:color w:val="000000"/>
          <w:sz w:val="24"/>
          <w:szCs w:val="24"/>
        </w:rPr>
        <w:t xml:space="preserve"> .</w:t>
      </w:r>
    </w:p>
    <w:p w14:paraId="00001552" w14:textId="77777777" w:rsidR="00CB4215" w:rsidRDefault="00CB4215">
      <w:pPr>
        <w:rPr>
          <w:rFonts w:ascii="Times New Roman" w:eastAsia="Times New Roman" w:hAnsi="Times New Roman" w:cs="Times New Roman"/>
          <w:color w:val="000000"/>
          <w:sz w:val="24"/>
          <w:szCs w:val="24"/>
        </w:rPr>
      </w:pPr>
    </w:p>
    <w:p w14:paraId="00001553"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wish to make a report of a concern or incident relating to potential exploitation, abuse or harm resulting from your involvement in this project, please contact the project’s Designated Safeguarding Contact [Bixuan Yan, </w:t>
      </w:r>
      <w:hyperlink r:id="rId882">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xml:space="preserve"> ][Dr Nicola Buckland, </w:t>
      </w:r>
      <w:hyperlink r:id="rId883">
        <w:r>
          <w:rPr>
            <w:rFonts w:ascii="Times New Roman" w:eastAsia="Times New Roman" w:hAnsi="Times New Roman" w:cs="Times New Roman"/>
            <w:color w:val="000000"/>
            <w:sz w:val="24"/>
            <w:szCs w:val="24"/>
            <w:u w:val="single"/>
          </w:rPr>
          <w:t>N.buckland@sheffield.ac.uk</w:t>
        </w:r>
      </w:hyperlink>
      <w:r>
        <w:rPr>
          <w:rFonts w:ascii="Times New Roman" w:eastAsia="Times New Roman" w:hAnsi="Times New Roman" w:cs="Times New Roman"/>
          <w:color w:val="000000"/>
          <w:sz w:val="24"/>
          <w:szCs w:val="24"/>
        </w:rPr>
        <w:t xml:space="preserve"> ]. If the concern or incident relates to the Designated Safeguarding Contact, or if you feel a report you have made to this Contact has not been handled in a satisfactory way, please contact the Head of the Department of Psychology [Professor Elizabeth Milne, psy-hod@sheffield.ac.uk] and/or the University’s Research Ethics &amp; Integrity Manager (Lindsay Unwin; </w:t>
      </w:r>
      <w:hyperlink r:id="rId884">
        <w:r>
          <w:rPr>
            <w:rFonts w:ascii="Times New Roman" w:eastAsia="Times New Roman" w:hAnsi="Times New Roman" w:cs="Times New Roman"/>
            <w:color w:val="000000"/>
            <w:sz w:val="24"/>
            <w:szCs w:val="24"/>
            <w:u w:val="single"/>
          </w:rPr>
          <w:t>l.v.unwin@sheffield.ac.uk</w:t>
        </w:r>
      </w:hyperlink>
      <w:r>
        <w:rPr>
          <w:rFonts w:ascii="Times New Roman" w:eastAsia="Times New Roman" w:hAnsi="Times New Roman" w:cs="Times New Roman"/>
          <w:color w:val="000000"/>
          <w:sz w:val="24"/>
          <w:szCs w:val="24"/>
        </w:rPr>
        <w:t>).</w:t>
      </w:r>
    </w:p>
    <w:p w14:paraId="00001554" w14:textId="77777777" w:rsidR="00CB4215" w:rsidRDefault="00CB4215">
      <w:pPr>
        <w:rPr>
          <w:rFonts w:ascii="Times New Roman" w:eastAsia="Times New Roman" w:hAnsi="Times New Roman" w:cs="Times New Roman"/>
          <w:color w:val="000000"/>
          <w:sz w:val="24"/>
          <w:szCs w:val="24"/>
        </w:rPr>
      </w:pPr>
    </w:p>
    <w:p w14:paraId="00001555" w14:textId="77777777" w:rsidR="00CB4215" w:rsidRDefault="000530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Thank you for your participation in our study. We hope that you found your experience participating in this study to be interesting. We are happy to answer any questions that you may have. This study aims to be published, you may obtain a final report of the study by contacting the researcher Bixuan Yan; </w:t>
      </w:r>
      <w:hyperlink r:id="rId885">
        <w:r>
          <w:rPr>
            <w:rFonts w:ascii="Times New Roman" w:eastAsia="Times New Roman" w:hAnsi="Times New Roman" w:cs="Times New Roman"/>
            <w:color w:val="000000"/>
            <w:sz w:val="24"/>
            <w:szCs w:val="24"/>
            <w:u w:val="single"/>
          </w:rPr>
          <w:t>byan6@sheffield.ac.uk</w:t>
        </w:r>
      </w:hyperlink>
      <w:r>
        <w:rPr>
          <w:rFonts w:ascii="Times New Roman" w:eastAsia="Times New Roman" w:hAnsi="Times New Roman" w:cs="Times New Roman"/>
          <w:color w:val="000000"/>
          <w:sz w:val="24"/>
          <w:szCs w:val="24"/>
        </w:rPr>
        <w:t xml:space="preserve"> Please note you will not be identified in any report or publication. </w:t>
      </w:r>
    </w:p>
    <w:p w14:paraId="00001556" w14:textId="77777777" w:rsidR="00CB4215" w:rsidRDefault="000530B4">
      <w:pPr>
        <w:rPr>
          <w:color w:val="000000"/>
        </w:rPr>
      </w:pPr>
      <w:r>
        <w:rPr>
          <w:color w:val="000000"/>
        </w:rPr>
        <w:br/>
      </w:r>
      <w:r>
        <w:rPr>
          <w:color w:val="000000"/>
        </w:rPr>
        <w:br/>
      </w:r>
    </w:p>
    <w:p w14:paraId="00001557" w14:textId="77777777" w:rsidR="00CB4215" w:rsidRDefault="00CB4215">
      <w:pPr>
        <w:spacing w:after="160" w:line="259" w:lineRule="auto"/>
        <w:rPr>
          <w:rFonts w:ascii="Times New Roman" w:eastAsia="Times New Roman" w:hAnsi="Times New Roman" w:cs="Times New Roman"/>
          <w:color w:val="000000"/>
          <w:sz w:val="24"/>
          <w:szCs w:val="24"/>
        </w:rPr>
      </w:pPr>
    </w:p>
    <w:p w14:paraId="00001558" w14:textId="77777777" w:rsidR="00CB4215" w:rsidRDefault="00CB4215">
      <w:pPr>
        <w:spacing w:after="160" w:line="259" w:lineRule="auto"/>
        <w:rPr>
          <w:rFonts w:ascii="Times New Roman" w:eastAsia="Times New Roman" w:hAnsi="Times New Roman" w:cs="Times New Roman"/>
          <w:color w:val="000000"/>
          <w:sz w:val="24"/>
          <w:szCs w:val="24"/>
        </w:rPr>
      </w:pPr>
    </w:p>
    <w:p w14:paraId="00001559" w14:textId="77777777" w:rsidR="00CB4215" w:rsidRDefault="00CB4215">
      <w:pPr>
        <w:spacing w:after="160" w:line="259" w:lineRule="auto"/>
        <w:rPr>
          <w:rFonts w:ascii="Times New Roman" w:eastAsia="Times New Roman" w:hAnsi="Times New Roman" w:cs="Times New Roman"/>
          <w:color w:val="000000"/>
          <w:sz w:val="24"/>
          <w:szCs w:val="24"/>
        </w:rPr>
      </w:pPr>
    </w:p>
    <w:p w14:paraId="0000155A" w14:textId="77777777" w:rsidR="00CB4215" w:rsidRDefault="00CB4215">
      <w:pPr>
        <w:rPr>
          <w:rFonts w:ascii="Times New Roman" w:eastAsia="Times New Roman" w:hAnsi="Times New Roman" w:cs="Times New Roman"/>
          <w:color w:val="000000"/>
          <w:sz w:val="24"/>
          <w:szCs w:val="24"/>
        </w:rPr>
      </w:pPr>
    </w:p>
    <w:p w14:paraId="0000155B" w14:textId="77777777" w:rsidR="00CB4215" w:rsidRDefault="00CB4215">
      <w:pPr>
        <w:spacing w:line="480" w:lineRule="auto"/>
        <w:ind w:left="737" w:hanging="720"/>
        <w:jc w:val="both"/>
        <w:rPr>
          <w:sz w:val="24"/>
          <w:szCs w:val="24"/>
        </w:rPr>
      </w:pPr>
    </w:p>
    <w:p w14:paraId="00001560" w14:textId="77777777" w:rsidR="00CB4215" w:rsidRDefault="00CB4215"/>
    <w:sectPr w:rsidR="00CB4215">
      <w:headerReference w:type="default" r:id="rId886"/>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159AF" w14:textId="77777777" w:rsidR="007E2DD6" w:rsidRDefault="007E2DD6">
      <w:pPr>
        <w:spacing w:line="240" w:lineRule="auto"/>
      </w:pPr>
      <w:r>
        <w:separator/>
      </w:r>
    </w:p>
  </w:endnote>
  <w:endnote w:type="continuationSeparator" w:id="0">
    <w:p w14:paraId="6378D756" w14:textId="77777777" w:rsidR="007E2DD6" w:rsidRDefault="007E2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Gungsuh">
    <w:charset w:val="81"/>
    <w:family w:val="roman"/>
    <w:pitch w:val="variable"/>
    <w:sig w:usb0="B00002AF" w:usb1="69D77CFB" w:usb2="00000030" w:usb3="00000000" w:csb0="0008009F" w:csb1="00000000"/>
  </w:font>
  <w:font w:name="Cardo">
    <w:altName w:val="Calibri"/>
    <w:charset w:val="00"/>
    <w:family w:val="auto"/>
    <w:pitch w:val="default"/>
  </w:font>
  <w:font w:name="Arial Unicode MS">
    <w:altName w:val="Arial"/>
    <w:panose1 w:val="020B0604020202020204"/>
    <w:charset w:val="00"/>
    <w:family w:val="auto"/>
    <w:pitch w:val="default"/>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D" w14:textId="77777777" w:rsidR="00213FC5" w:rsidRDefault="00213FC5">
    <w:pPr>
      <w:pBdr>
        <w:top w:val="nil"/>
        <w:left w:val="nil"/>
        <w:bottom w:val="nil"/>
        <w:right w:val="nil"/>
        <w:between w:val="nil"/>
      </w:pBdr>
      <w:tabs>
        <w:tab w:val="center" w:pos="4513"/>
        <w:tab w:val="right" w:pos="9026"/>
      </w:tabs>
      <w:spacing w:line="240" w:lineRule="auto"/>
      <w:jc w:val="center"/>
      <w:rPr>
        <w:color w:val="000000"/>
      </w:rPr>
    </w:pPr>
  </w:p>
  <w:p w14:paraId="0000156E" w14:textId="77777777" w:rsidR="00213FC5" w:rsidRDefault="00213FC5">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8678944"/>
      <w:docPartObj>
        <w:docPartGallery w:val="Page Numbers (Bottom of Page)"/>
        <w:docPartUnique/>
      </w:docPartObj>
    </w:sdtPr>
    <w:sdtEndPr>
      <w:rPr>
        <w:noProof/>
      </w:rPr>
    </w:sdtEndPr>
    <w:sdtContent>
      <w:p w14:paraId="1E121119" w14:textId="77777777" w:rsidR="00213FC5" w:rsidRDefault="00213F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26BFC7" w14:textId="77777777" w:rsidR="00213FC5" w:rsidRDefault="00213F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71" w14:textId="68FA278B" w:rsidR="00213FC5" w:rsidRDefault="00213FC5">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1572" w14:textId="77777777" w:rsidR="00213FC5" w:rsidRDefault="00213FC5">
    <w:pPr>
      <w:pBdr>
        <w:top w:val="nil"/>
        <w:left w:val="nil"/>
        <w:bottom w:val="nil"/>
        <w:right w:val="nil"/>
        <w:between w:val="nil"/>
      </w:pBdr>
      <w:tabs>
        <w:tab w:val="center" w:pos="4513"/>
        <w:tab w:val="right" w:pos="9026"/>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73" w14:textId="2DAD83C4" w:rsidR="00213FC5" w:rsidRDefault="00213FC5">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185</w:t>
    </w:r>
    <w:r>
      <w:rPr>
        <w:color w:val="000000"/>
      </w:rPr>
      <w:fldChar w:fldCharType="end"/>
    </w:r>
  </w:p>
  <w:p w14:paraId="00001574" w14:textId="77777777" w:rsidR="00213FC5" w:rsidRDefault="00213FC5">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02CC6" w14:textId="77777777" w:rsidR="007E2DD6" w:rsidRDefault="007E2DD6">
      <w:pPr>
        <w:spacing w:line="240" w:lineRule="auto"/>
      </w:pPr>
      <w:r>
        <w:separator/>
      </w:r>
    </w:p>
  </w:footnote>
  <w:footnote w:type="continuationSeparator" w:id="0">
    <w:p w14:paraId="3B8E3D70" w14:textId="77777777" w:rsidR="007E2DD6" w:rsidRDefault="007E2D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1" w14:textId="77777777" w:rsidR="00213FC5" w:rsidRPr="00F93CA8" w:rsidRDefault="00213FC5">
    <w:pPr>
      <w:pBdr>
        <w:top w:val="nil"/>
        <w:left w:val="nil"/>
        <w:bottom w:val="nil"/>
        <w:right w:val="nil"/>
        <w:between w:val="nil"/>
      </w:pBdr>
      <w:tabs>
        <w:tab w:val="center" w:pos="4513"/>
        <w:tab w:val="right" w:pos="9026"/>
      </w:tabs>
      <w:spacing w:line="240" w:lineRule="auto"/>
      <w:rPr>
        <w:rFonts w:ascii="Times New Roman" w:hAnsi="Times New Roman" w:cs="Times New Roman"/>
        <w:color w:val="000000"/>
        <w:sz w:val="24"/>
        <w:szCs w:val="24"/>
      </w:rPr>
    </w:pPr>
    <w:r w:rsidRPr="00F93CA8">
      <w:rPr>
        <w:rFonts w:ascii="Times New Roman" w:hAnsi="Times New Roman" w:cs="Times New Roman"/>
        <w:color w:val="000000"/>
        <w:sz w:val="24"/>
        <w:szCs w:val="24"/>
      </w:rPr>
      <w:t>Chapter 1</w:t>
    </w:r>
  </w:p>
  <w:p w14:paraId="00001562" w14:textId="77777777" w:rsidR="00213FC5" w:rsidRDefault="00213FC5">
    <w:pPr>
      <w:pBdr>
        <w:top w:val="nil"/>
        <w:left w:val="nil"/>
        <w:bottom w:val="nil"/>
        <w:right w:val="nil"/>
        <w:between w:val="nil"/>
      </w:pBdr>
      <w:tabs>
        <w:tab w:val="center" w:pos="4513"/>
        <w:tab w:val="right" w:pos="9026"/>
      </w:tabs>
      <w:spacing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B" w14:textId="77777777" w:rsidR="00213FC5" w:rsidRPr="0072628A" w:rsidRDefault="00213FC5">
    <w:pPr>
      <w:pBdr>
        <w:top w:val="nil"/>
        <w:left w:val="nil"/>
        <w:bottom w:val="nil"/>
        <w:right w:val="nil"/>
        <w:between w:val="nil"/>
      </w:pBdr>
      <w:tabs>
        <w:tab w:val="center" w:pos="4513"/>
        <w:tab w:val="right" w:pos="9026"/>
      </w:tabs>
      <w:spacing w:line="240" w:lineRule="auto"/>
      <w:rPr>
        <w:rFonts w:ascii="Times New Roman" w:hAnsi="Times New Roman" w:cs="Times New Roman"/>
        <w:color w:val="000000"/>
        <w:sz w:val="24"/>
        <w:szCs w:val="24"/>
      </w:rPr>
    </w:pPr>
    <w:r w:rsidRPr="0072628A">
      <w:rPr>
        <w:rFonts w:ascii="Times New Roman" w:hAnsi="Times New Roman" w:cs="Times New Roman"/>
        <w:color w:val="000000"/>
        <w:sz w:val="24"/>
        <w:szCs w:val="24"/>
      </w:rPr>
      <w:t>References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C" w14:textId="77777777" w:rsidR="00213FC5" w:rsidRPr="0072628A" w:rsidRDefault="00213FC5">
    <w:pPr>
      <w:pBdr>
        <w:top w:val="nil"/>
        <w:left w:val="nil"/>
        <w:bottom w:val="nil"/>
        <w:right w:val="nil"/>
        <w:between w:val="nil"/>
      </w:pBdr>
      <w:tabs>
        <w:tab w:val="center" w:pos="4513"/>
        <w:tab w:val="right" w:pos="9026"/>
      </w:tabs>
      <w:spacing w:line="240" w:lineRule="auto"/>
      <w:rPr>
        <w:rFonts w:ascii="Times New Roman" w:hAnsi="Times New Roman" w:cs="Times New Roman"/>
        <w:color w:val="000000"/>
        <w:sz w:val="24"/>
        <w:szCs w:val="24"/>
      </w:rPr>
    </w:pPr>
    <w:r w:rsidRPr="0072628A">
      <w:rPr>
        <w:rFonts w:ascii="Times New Roman" w:hAnsi="Times New Roman" w:cs="Times New Roman"/>
        <w:color w:val="000000"/>
        <w:sz w:val="24"/>
        <w:szCs w:val="24"/>
      </w:rPr>
      <w:t>Appendices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3" w14:textId="77777777" w:rsidR="00213FC5" w:rsidRPr="00F93CA8" w:rsidRDefault="00213FC5">
    <w:pPr>
      <w:pBdr>
        <w:top w:val="nil"/>
        <w:left w:val="nil"/>
        <w:bottom w:val="nil"/>
        <w:right w:val="nil"/>
        <w:between w:val="nil"/>
      </w:pBdr>
      <w:tabs>
        <w:tab w:val="center" w:pos="4513"/>
        <w:tab w:val="right" w:pos="9026"/>
      </w:tabs>
      <w:spacing w:line="240" w:lineRule="auto"/>
      <w:rPr>
        <w:rFonts w:ascii="Times New Roman" w:hAnsi="Times New Roman" w:cs="Times New Roman"/>
        <w:color w:val="000000"/>
        <w:sz w:val="24"/>
        <w:szCs w:val="24"/>
      </w:rPr>
    </w:pPr>
    <w:r w:rsidRPr="00F93CA8">
      <w:rPr>
        <w:rFonts w:ascii="Times New Roman" w:hAnsi="Times New Roman" w:cs="Times New Roman"/>
        <w:color w:val="000000"/>
        <w:sz w:val="24"/>
        <w:szCs w:val="24"/>
      </w:rPr>
      <w:t>Chapter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4" w14:textId="77777777" w:rsidR="00213FC5" w:rsidRDefault="00213FC5">
    <w:pPr>
      <w:pBdr>
        <w:top w:val="nil"/>
        <w:left w:val="nil"/>
        <w:bottom w:val="nil"/>
        <w:right w:val="nil"/>
        <w:between w:val="nil"/>
      </w:pBdr>
      <w:tabs>
        <w:tab w:val="center" w:pos="4513"/>
        <w:tab w:val="right" w:pos="9026"/>
      </w:tabs>
      <w:spacing w:line="240" w:lineRule="auto"/>
      <w:rPr>
        <w:color w:val="000000"/>
      </w:rPr>
    </w:pPr>
    <w:r>
      <w:rPr>
        <w:color w:val="000000"/>
      </w:rPr>
      <w:t>Chapter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5" w14:textId="77777777" w:rsidR="00213FC5" w:rsidRPr="0072628A" w:rsidRDefault="00213FC5">
    <w:pPr>
      <w:pBdr>
        <w:top w:val="nil"/>
        <w:left w:val="nil"/>
        <w:bottom w:val="nil"/>
        <w:right w:val="nil"/>
        <w:between w:val="nil"/>
      </w:pBdr>
      <w:tabs>
        <w:tab w:val="center" w:pos="4513"/>
        <w:tab w:val="right" w:pos="9026"/>
      </w:tabs>
      <w:spacing w:line="240" w:lineRule="auto"/>
      <w:rPr>
        <w:rFonts w:ascii="Times New Roman" w:hAnsi="Times New Roman" w:cs="Times New Roman"/>
        <w:color w:val="000000"/>
        <w:sz w:val="24"/>
        <w:szCs w:val="24"/>
      </w:rPr>
    </w:pPr>
    <w:r w:rsidRPr="0072628A">
      <w:rPr>
        <w:rFonts w:ascii="Times New Roman" w:hAnsi="Times New Roman" w:cs="Times New Roman"/>
        <w:color w:val="000000"/>
        <w:sz w:val="24"/>
        <w:szCs w:val="24"/>
      </w:rPr>
      <w:t>Chapter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6" w14:textId="77777777" w:rsidR="00213FC5" w:rsidRPr="0072628A" w:rsidRDefault="00213FC5">
    <w:pPr>
      <w:pBdr>
        <w:top w:val="nil"/>
        <w:left w:val="nil"/>
        <w:bottom w:val="nil"/>
        <w:right w:val="nil"/>
        <w:between w:val="nil"/>
      </w:pBdr>
      <w:tabs>
        <w:tab w:val="center" w:pos="4513"/>
        <w:tab w:val="right" w:pos="9026"/>
      </w:tabs>
      <w:spacing w:line="240" w:lineRule="auto"/>
      <w:rPr>
        <w:rFonts w:ascii="Times New Roman" w:hAnsi="Times New Roman" w:cs="Times New Roman"/>
        <w:color w:val="000000"/>
        <w:sz w:val="24"/>
        <w:szCs w:val="24"/>
      </w:rPr>
    </w:pPr>
    <w:r w:rsidRPr="0072628A">
      <w:rPr>
        <w:rFonts w:ascii="Times New Roman" w:hAnsi="Times New Roman" w:cs="Times New Roman"/>
        <w:color w:val="000000"/>
        <w:sz w:val="24"/>
        <w:szCs w:val="24"/>
      </w:rPr>
      <w:t>Chapter 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7" w14:textId="77777777" w:rsidR="00213FC5" w:rsidRPr="0072628A" w:rsidRDefault="00213FC5">
    <w:pPr>
      <w:pBdr>
        <w:top w:val="nil"/>
        <w:left w:val="nil"/>
        <w:bottom w:val="nil"/>
        <w:right w:val="nil"/>
        <w:between w:val="nil"/>
      </w:pBdr>
      <w:tabs>
        <w:tab w:val="center" w:pos="4513"/>
        <w:tab w:val="right" w:pos="9026"/>
      </w:tabs>
      <w:spacing w:line="240" w:lineRule="auto"/>
      <w:rPr>
        <w:rFonts w:ascii="Times New Roman" w:hAnsi="Times New Roman" w:cs="Times New Roman"/>
        <w:color w:val="000000"/>
        <w:sz w:val="24"/>
        <w:szCs w:val="24"/>
      </w:rPr>
    </w:pPr>
    <w:r w:rsidRPr="0072628A">
      <w:rPr>
        <w:rFonts w:ascii="Times New Roman" w:hAnsi="Times New Roman" w:cs="Times New Roman"/>
        <w:color w:val="000000"/>
        <w:sz w:val="24"/>
        <w:szCs w:val="24"/>
      </w:rPr>
      <w:t>Chapter 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8" w14:textId="77777777" w:rsidR="00213FC5" w:rsidRPr="0072628A" w:rsidRDefault="00213FC5">
    <w:pPr>
      <w:pBdr>
        <w:top w:val="nil"/>
        <w:left w:val="nil"/>
        <w:bottom w:val="nil"/>
        <w:right w:val="nil"/>
        <w:between w:val="nil"/>
      </w:pBdr>
      <w:tabs>
        <w:tab w:val="center" w:pos="4513"/>
        <w:tab w:val="right" w:pos="9026"/>
      </w:tabs>
      <w:spacing w:line="240" w:lineRule="auto"/>
      <w:rPr>
        <w:rFonts w:ascii="Times New Roman" w:hAnsi="Times New Roman" w:cs="Times New Roman"/>
        <w:color w:val="000000"/>
        <w:sz w:val="24"/>
        <w:szCs w:val="24"/>
      </w:rPr>
    </w:pPr>
    <w:r w:rsidRPr="0072628A">
      <w:rPr>
        <w:rFonts w:ascii="Times New Roman" w:hAnsi="Times New Roman" w:cs="Times New Roman"/>
        <w:color w:val="000000"/>
        <w:sz w:val="24"/>
        <w:szCs w:val="24"/>
      </w:rPr>
      <w:t>Chapter 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9" w14:textId="77777777" w:rsidR="00213FC5" w:rsidRDefault="00213FC5">
    <w:pPr>
      <w:pBdr>
        <w:top w:val="nil"/>
        <w:left w:val="nil"/>
        <w:bottom w:val="nil"/>
        <w:right w:val="nil"/>
        <w:between w:val="nil"/>
      </w:pBdr>
      <w:tabs>
        <w:tab w:val="center" w:pos="4513"/>
        <w:tab w:val="right" w:pos="9026"/>
      </w:tabs>
      <w:spacing w:line="240" w:lineRule="auto"/>
      <w:rPr>
        <w:color w:val="000000"/>
      </w:rPr>
    </w:pPr>
    <w:r>
      <w:rPr>
        <w:color w:val="000000"/>
      </w:rPr>
      <w:t>Chapter 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56A" w14:textId="77777777" w:rsidR="00213FC5" w:rsidRPr="0072628A" w:rsidRDefault="00213FC5">
    <w:pPr>
      <w:pBdr>
        <w:top w:val="nil"/>
        <w:left w:val="nil"/>
        <w:bottom w:val="nil"/>
        <w:right w:val="nil"/>
        <w:between w:val="nil"/>
      </w:pBdr>
      <w:tabs>
        <w:tab w:val="center" w:pos="4513"/>
        <w:tab w:val="right" w:pos="9026"/>
      </w:tabs>
      <w:spacing w:line="240" w:lineRule="auto"/>
      <w:rPr>
        <w:rFonts w:ascii="Times New Roman" w:hAnsi="Times New Roman" w:cs="Times New Roman"/>
        <w:color w:val="000000"/>
        <w:sz w:val="24"/>
        <w:szCs w:val="24"/>
      </w:rPr>
    </w:pPr>
    <w:r w:rsidRPr="0072628A">
      <w:rPr>
        <w:rFonts w:ascii="Times New Roman" w:hAnsi="Times New Roman" w:cs="Times New Roman"/>
        <w:color w:val="000000"/>
        <w:sz w:val="24"/>
        <w:szCs w:val="24"/>
      </w:rPr>
      <w:t>Chapter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C3143"/>
    <w:multiLevelType w:val="multilevel"/>
    <w:tmpl w:val="1388A73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058C767E"/>
    <w:multiLevelType w:val="multilevel"/>
    <w:tmpl w:val="258CBA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285E71"/>
    <w:multiLevelType w:val="multilevel"/>
    <w:tmpl w:val="CF4AD5AE"/>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3" w15:restartNumberingAfterBreak="0">
    <w:nsid w:val="0D9C45CB"/>
    <w:multiLevelType w:val="multilevel"/>
    <w:tmpl w:val="A3BCFB4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15:restartNumberingAfterBreak="0">
    <w:nsid w:val="107A43C4"/>
    <w:multiLevelType w:val="multilevel"/>
    <w:tmpl w:val="D8D290E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15:restartNumberingAfterBreak="0">
    <w:nsid w:val="1AC653D0"/>
    <w:multiLevelType w:val="multilevel"/>
    <w:tmpl w:val="33521B8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15:restartNumberingAfterBreak="0">
    <w:nsid w:val="1C800E27"/>
    <w:multiLevelType w:val="multilevel"/>
    <w:tmpl w:val="5B52C11E"/>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7" w15:restartNumberingAfterBreak="0">
    <w:nsid w:val="1D5B6835"/>
    <w:multiLevelType w:val="multilevel"/>
    <w:tmpl w:val="30440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E9862E6"/>
    <w:multiLevelType w:val="multilevel"/>
    <w:tmpl w:val="C674066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15:restartNumberingAfterBreak="0">
    <w:nsid w:val="246B5275"/>
    <w:multiLevelType w:val="multilevel"/>
    <w:tmpl w:val="37E835C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248F4598"/>
    <w:multiLevelType w:val="multilevel"/>
    <w:tmpl w:val="3B9EA19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1" w15:restartNumberingAfterBreak="0">
    <w:nsid w:val="28700EAD"/>
    <w:multiLevelType w:val="multilevel"/>
    <w:tmpl w:val="780CD09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9904673"/>
    <w:multiLevelType w:val="multilevel"/>
    <w:tmpl w:val="DB7A8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4F141F6"/>
    <w:multiLevelType w:val="multilevel"/>
    <w:tmpl w:val="9C420A84"/>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14" w15:restartNumberingAfterBreak="0">
    <w:nsid w:val="404B3A04"/>
    <w:multiLevelType w:val="multilevel"/>
    <w:tmpl w:val="DAA46AE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5" w15:restartNumberingAfterBreak="0">
    <w:nsid w:val="41E2405B"/>
    <w:multiLevelType w:val="multilevel"/>
    <w:tmpl w:val="38A2163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6" w15:restartNumberingAfterBreak="0">
    <w:nsid w:val="435C5291"/>
    <w:multiLevelType w:val="multilevel"/>
    <w:tmpl w:val="7F7A081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7" w15:restartNumberingAfterBreak="0">
    <w:nsid w:val="4D5A3971"/>
    <w:multiLevelType w:val="multilevel"/>
    <w:tmpl w:val="D9CC2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DDA6CFB"/>
    <w:multiLevelType w:val="multilevel"/>
    <w:tmpl w:val="3D9E326A"/>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19" w15:restartNumberingAfterBreak="0">
    <w:nsid w:val="553C2041"/>
    <w:multiLevelType w:val="multilevel"/>
    <w:tmpl w:val="422026A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0" w15:restartNumberingAfterBreak="0">
    <w:nsid w:val="56831A7E"/>
    <w:multiLevelType w:val="multilevel"/>
    <w:tmpl w:val="0AA83F00"/>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21" w15:restartNumberingAfterBreak="0">
    <w:nsid w:val="59804988"/>
    <w:multiLevelType w:val="multilevel"/>
    <w:tmpl w:val="4CA8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82F1814"/>
    <w:multiLevelType w:val="multilevel"/>
    <w:tmpl w:val="F35A82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4663856"/>
    <w:multiLevelType w:val="multilevel"/>
    <w:tmpl w:val="12464DC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4" w15:restartNumberingAfterBreak="0">
    <w:nsid w:val="75CF65E8"/>
    <w:multiLevelType w:val="multilevel"/>
    <w:tmpl w:val="6C5C7A2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5" w15:restartNumberingAfterBreak="0">
    <w:nsid w:val="75E35359"/>
    <w:multiLevelType w:val="multilevel"/>
    <w:tmpl w:val="AA20FDB8"/>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26" w15:restartNumberingAfterBreak="0">
    <w:nsid w:val="7BCE5AFE"/>
    <w:multiLevelType w:val="multilevel"/>
    <w:tmpl w:val="2312C0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4"/>
  </w:num>
  <w:num w:numId="2">
    <w:abstractNumId w:val="10"/>
  </w:num>
  <w:num w:numId="3">
    <w:abstractNumId w:val="14"/>
  </w:num>
  <w:num w:numId="4">
    <w:abstractNumId w:val="17"/>
  </w:num>
  <w:num w:numId="5">
    <w:abstractNumId w:val="22"/>
  </w:num>
  <w:num w:numId="6">
    <w:abstractNumId w:val="0"/>
  </w:num>
  <w:num w:numId="7">
    <w:abstractNumId w:val="21"/>
  </w:num>
  <w:num w:numId="8">
    <w:abstractNumId w:val="12"/>
  </w:num>
  <w:num w:numId="9">
    <w:abstractNumId w:val="2"/>
  </w:num>
  <w:num w:numId="10">
    <w:abstractNumId w:val="26"/>
  </w:num>
  <w:num w:numId="11">
    <w:abstractNumId w:val="7"/>
  </w:num>
  <w:num w:numId="12">
    <w:abstractNumId w:val="20"/>
  </w:num>
  <w:num w:numId="13">
    <w:abstractNumId w:val="11"/>
  </w:num>
  <w:num w:numId="14">
    <w:abstractNumId w:val="25"/>
  </w:num>
  <w:num w:numId="15">
    <w:abstractNumId w:val="4"/>
  </w:num>
  <w:num w:numId="16">
    <w:abstractNumId w:val="3"/>
  </w:num>
  <w:num w:numId="17">
    <w:abstractNumId w:val="15"/>
  </w:num>
  <w:num w:numId="18">
    <w:abstractNumId w:val="19"/>
  </w:num>
  <w:num w:numId="19">
    <w:abstractNumId w:val="16"/>
  </w:num>
  <w:num w:numId="20">
    <w:abstractNumId w:val="18"/>
  </w:num>
  <w:num w:numId="21">
    <w:abstractNumId w:val="13"/>
  </w:num>
  <w:num w:numId="22">
    <w:abstractNumId w:val="23"/>
  </w:num>
  <w:num w:numId="23">
    <w:abstractNumId w:val="8"/>
  </w:num>
  <w:num w:numId="24">
    <w:abstractNumId w:val="1"/>
  </w:num>
  <w:num w:numId="25">
    <w:abstractNumId w:val="6"/>
  </w:num>
  <w:num w:numId="26">
    <w:abstractNumId w:val="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215"/>
    <w:rsid w:val="00016023"/>
    <w:rsid w:val="000223D7"/>
    <w:rsid w:val="00034DBD"/>
    <w:rsid w:val="00036FFF"/>
    <w:rsid w:val="0004777F"/>
    <w:rsid w:val="000530B4"/>
    <w:rsid w:val="00053158"/>
    <w:rsid w:val="000571F5"/>
    <w:rsid w:val="00057945"/>
    <w:rsid w:val="00066A08"/>
    <w:rsid w:val="000A5897"/>
    <w:rsid w:val="000A6286"/>
    <w:rsid w:val="000B396A"/>
    <w:rsid w:val="000B7C8C"/>
    <w:rsid w:val="000C0A95"/>
    <w:rsid w:val="000C353D"/>
    <w:rsid w:val="000D1920"/>
    <w:rsid w:val="000D363C"/>
    <w:rsid w:val="000E4FE6"/>
    <w:rsid w:val="000F47B8"/>
    <w:rsid w:val="00110ED2"/>
    <w:rsid w:val="00146FE6"/>
    <w:rsid w:val="00166A90"/>
    <w:rsid w:val="001705C4"/>
    <w:rsid w:val="001759C0"/>
    <w:rsid w:val="001826B9"/>
    <w:rsid w:val="001C6F50"/>
    <w:rsid w:val="001D23C8"/>
    <w:rsid w:val="001E7D67"/>
    <w:rsid w:val="002133EE"/>
    <w:rsid w:val="00213FC5"/>
    <w:rsid w:val="0022448A"/>
    <w:rsid w:val="00226322"/>
    <w:rsid w:val="00255F03"/>
    <w:rsid w:val="002743B0"/>
    <w:rsid w:val="00285B09"/>
    <w:rsid w:val="00292BE4"/>
    <w:rsid w:val="00295818"/>
    <w:rsid w:val="002A3322"/>
    <w:rsid w:val="002A46D7"/>
    <w:rsid w:val="002A7BB7"/>
    <w:rsid w:val="002B2827"/>
    <w:rsid w:val="002B2BFC"/>
    <w:rsid w:val="002C2D40"/>
    <w:rsid w:val="002C3679"/>
    <w:rsid w:val="002F3B56"/>
    <w:rsid w:val="00301B58"/>
    <w:rsid w:val="00310629"/>
    <w:rsid w:val="003124F9"/>
    <w:rsid w:val="0031376D"/>
    <w:rsid w:val="00313C94"/>
    <w:rsid w:val="003178DC"/>
    <w:rsid w:val="00330BAD"/>
    <w:rsid w:val="0033180B"/>
    <w:rsid w:val="00365ADA"/>
    <w:rsid w:val="003706EB"/>
    <w:rsid w:val="00373CDD"/>
    <w:rsid w:val="00381A05"/>
    <w:rsid w:val="003C1554"/>
    <w:rsid w:val="003D2433"/>
    <w:rsid w:val="003D2B8C"/>
    <w:rsid w:val="003E422D"/>
    <w:rsid w:val="003E7A03"/>
    <w:rsid w:val="00404B3A"/>
    <w:rsid w:val="00410932"/>
    <w:rsid w:val="0041694E"/>
    <w:rsid w:val="00427D38"/>
    <w:rsid w:val="00430D5A"/>
    <w:rsid w:val="004447BE"/>
    <w:rsid w:val="00450B5E"/>
    <w:rsid w:val="00487DB1"/>
    <w:rsid w:val="004A7B3F"/>
    <w:rsid w:val="004B0CBE"/>
    <w:rsid w:val="004B39B8"/>
    <w:rsid w:val="004C35B2"/>
    <w:rsid w:val="004C4295"/>
    <w:rsid w:val="004C48C1"/>
    <w:rsid w:val="004D2BCD"/>
    <w:rsid w:val="004E4E15"/>
    <w:rsid w:val="004E7DB2"/>
    <w:rsid w:val="004F08D4"/>
    <w:rsid w:val="004F664B"/>
    <w:rsid w:val="0050434F"/>
    <w:rsid w:val="005104DD"/>
    <w:rsid w:val="00515A7F"/>
    <w:rsid w:val="005220DA"/>
    <w:rsid w:val="005224F9"/>
    <w:rsid w:val="00522B89"/>
    <w:rsid w:val="00524523"/>
    <w:rsid w:val="00525FB9"/>
    <w:rsid w:val="005319A8"/>
    <w:rsid w:val="0054355B"/>
    <w:rsid w:val="00556659"/>
    <w:rsid w:val="00577175"/>
    <w:rsid w:val="00577BB4"/>
    <w:rsid w:val="005821A8"/>
    <w:rsid w:val="005866C5"/>
    <w:rsid w:val="00595580"/>
    <w:rsid w:val="00595CA5"/>
    <w:rsid w:val="00595E66"/>
    <w:rsid w:val="005C4DCA"/>
    <w:rsid w:val="005E542D"/>
    <w:rsid w:val="005F5344"/>
    <w:rsid w:val="00603760"/>
    <w:rsid w:val="00606A72"/>
    <w:rsid w:val="00610611"/>
    <w:rsid w:val="006133DD"/>
    <w:rsid w:val="00627E40"/>
    <w:rsid w:val="00632D97"/>
    <w:rsid w:val="00634CA9"/>
    <w:rsid w:val="0064076D"/>
    <w:rsid w:val="0064164F"/>
    <w:rsid w:val="00645661"/>
    <w:rsid w:val="006548C7"/>
    <w:rsid w:val="0065578D"/>
    <w:rsid w:val="006859CC"/>
    <w:rsid w:val="006A4262"/>
    <w:rsid w:val="006C356B"/>
    <w:rsid w:val="006C51FD"/>
    <w:rsid w:val="006C59DA"/>
    <w:rsid w:val="006C7463"/>
    <w:rsid w:val="006D033D"/>
    <w:rsid w:val="006D0A6A"/>
    <w:rsid w:val="006D67BA"/>
    <w:rsid w:val="006D75D2"/>
    <w:rsid w:val="006E0BBE"/>
    <w:rsid w:val="006E3D64"/>
    <w:rsid w:val="006F099D"/>
    <w:rsid w:val="006F2A4F"/>
    <w:rsid w:val="006F5E54"/>
    <w:rsid w:val="006F70F3"/>
    <w:rsid w:val="007010A2"/>
    <w:rsid w:val="00713C6E"/>
    <w:rsid w:val="0071654E"/>
    <w:rsid w:val="00723240"/>
    <w:rsid w:val="0072628A"/>
    <w:rsid w:val="00726876"/>
    <w:rsid w:val="00734307"/>
    <w:rsid w:val="00741968"/>
    <w:rsid w:val="00743AE7"/>
    <w:rsid w:val="007443E1"/>
    <w:rsid w:val="00755A32"/>
    <w:rsid w:val="007822CC"/>
    <w:rsid w:val="007867D6"/>
    <w:rsid w:val="007B20E9"/>
    <w:rsid w:val="007B45A8"/>
    <w:rsid w:val="007C2E7A"/>
    <w:rsid w:val="007E2DD6"/>
    <w:rsid w:val="007F0D2F"/>
    <w:rsid w:val="00801E74"/>
    <w:rsid w:val="00803883"/>
    <w:rsid w:val="00813065"/>
    <w:rsid w:val="00815F97"/>
    <w:rsid w:val="00821FA5"/>
    <w:rsid w:val="00823EC2"/>
    <w:rsid w:val="00832E46"/>
    <w:rsid w:val="00851C07"/>
    <w:rsid w:val="00853712"/>
    <w:rsid w:val="008559FA"/>
    <w:rsid w:val="00855AA8"/>
    <w:rsid w:val="008666FA"/>
    <w:rsid w:val="0089530B"/>
    <w:rsid w:val="00896480"/>
    <w:rsid w:val="008A4BDF"/>
    <w:rsid w:val="008E08B0"/>
    <w:rsid w:val="009257E2"/>
    <w:rsid w:val="00927980"/>
    <w:rsid w:val="009463B8"/>
    <w:rsid w:val="00951F4E"/>
    <w:rsid w:val="00977F70"/>
    <w:rsid w:val="00986F5C"/>
    <w:rsid w:val="00991698"/>
    <w:rsid w:val="009A1993"/>
    <w:rsid w:val="009C0694"/>
    <w:rsid w:val="009C21E9"/>
    <w:rsid w:val="009C47A8"/>
    <w:rsid w:val="009D1C4C"/>
    <w:rsid w:val="009D3A29"/>
    <w:rsid w:val="009F0A16"/>
    <w:rsid w:val="009F5CAE"/>
    <w:rsid w:val="00A04E56"/>
    <w:rsid w:val="00A1475E"/>
    <w:rsid w:val="00A15D02"/>
    <w:rsid w:val="00A31FBA"/>
    <w:rsid w:val="00A46772"/>
    <w:rsid w:val="00A87E82"/>
    <w:rsid w:val="00A905E8"/>
    <w:rsid w:val="00AB6A83"/>
    <w:rsid w:val="00AC014F"/>
    <w:rsid w:val="00AC070B"/>
    <w:rsid w:val="00AD28AA"/>
    <w:rsid w:val="00AE50C6"/>
    <w:rsid w:val="00AE7F93"/>
    <w:rsid w:val="00AF61ED"/>
    <w:rsid w:val="00B16B62"/>
    <w:rsid w:val="00B27C2D"/>
    <w:rsid w:val="00B35D93"/>
    <w:rsid w:val="00B633A4"/>
    <w:rsid w:val="00B64CA5"/>
    <w:rsid w:val="00B750A9"/>
    <w:rsid w:val="00B76CC7"/>
    <w:rsid w:val="00BA6A27"/>
    <w:rsid w:val="00BB7405"/>
    <w:rsid w:val="00BC6C86"/>
    <w:rsid w:val="00BD53A8"/>
    <w:rsid w:val="00BE68C2"/>
    <w:rsid w:val="00BF46D0"/>
    <w:rsid w:val="00C0461F"/>
    <w:rsid w:val="00C13A56"/>
    <w:rsid w:val="00C15801"/>
    <w:rsid w:val="00C16E22"/>
    <w:rsid w:val="00C20383"/>
    <w:rsid w:val="00C37F60"/>
    <w:rsid w:val="00C412CC"/>
    <w:rsid w:val="00C630F7"/>
    <w:rsid w:val="00C70A91"/>
    <w:rsid w:val="00C81F3A"/>
    <w:rsid w:val="00C954FF"/>
    <w:rsid w:val="00CB4215"/>
    <w:rsid w:val="00CB5D1A"/>
    <w:rsid w:val="00CC50CC"/>
    <w:rsid w:val="00CE038C"/>
    <w:rsid w:val="00CF0130"/>
    <w:rsid w:val="00CF08C0"/>
    <w:rsid w:val="00CF655A"/>
    <w:rsid w:val="00D03B56"/>
    <w:rsid w:val="00D04424"/>
    <w:rsid w:val="00D31EB2"/>
    <w:rsid w:val="00D377C1"/>
    <w:rsid w:val="00D429D4"/>
    <w:rsid w:val="00D50C0D"/>
    <w:rsid w:val="00D53AA8"/>
    <w:rsid w:val="00D54CCC"/>
    <w:rsid w:val="00D5703E"/>
    <w:rsid w:val="00D76D1D"/>
    <w:rsid w:val="00D80CD2"/>
    <w:rsid w:val="00D82D2D"/>
    <w:rsid w:val="00D92628"/>
    <w:rsid w:val="00DB55AE"/>
    <w:rsid w:val="00DD4B69"/>
    <w:rsid w:val="00DF5838"/>
    <w:rsid w:val="00E07568"/>
    <w:rsid w:val="00E50F61"/>
    <w:rsid w:val="00E57DBF"/>
    <w:rsid w:val="00E7113C"/>
    <w:rsid w:val="00E75C75"/>
    <w:rsid w:val="00E77C09"/>
    <w:rsid w:val="00E807C2"/>
    <w:rsid w:val="00E81B0F"/>
    <w:rsid w:val="00E85396"/>
    <w:rsid w:val="00E85AA5"/>
    <w:rsid w:val="00E921D5"/>
    <w:rsid w:val="00EA630B"/>
    <w:rsid w:val="00EB725C"/>
    <w:rsid w:val="00EC159E"/>
    <w:rsid w:val="00ED0765"/>
    <w:rsid w:val="00ED360F"/>
    <w:rsid w:val="00ED54FE"/>
    <w:rsid w:val="00EF154F"/>
    <w:rsid w:val="00F074C9"/>
    <w:rsid w:val="00F2003C"/>
    <w:rsid w:val="00F2797C"/>
    <w:rsid w:val="00F83655"/>
    <w:rsid w:val="00F85096"/>
    <w:rsid w:val="00F93CA8"/>
    <w:rsid w:val="00FA3ED8"/>
    <w:rsid w:val="00FB0FE9"/>
    <w:rsid w:val="00FB6346"/>
    <w:rsid w:val="00FB6D74"/>
    <w:rsid w:val="00FC5891"/>
    <w:rsid w:val="00FC7B35"/>
    <w:rsid w:val="00FD0F11"/>
    <w:rsid w:val="00FD691D"/>
    <w:rsid w:val="00FD72E7"/>
    <w:rsid w:val="00FE23C8"/>
    <w:rsid w:val="00FE4E71"/>
    <w:rsid w:val="00FF0167"/>
    <w:rsid w:val="00FF11D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35A5D"/>
  <w15:docId w15:val="{458DF97D-0336-4145-9226-A442A92B7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SimSun"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B35"/>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spacing w:before="240" w:after="80"/>
      <w:outlineLvl w:val="4"/>
    </w:pPr>
    <w:rPr>
      <w:color w:val="666666"/>
    </w:rPr>
  </w:style>
  <w:style w:type="paragraph" w:styleId="Heading6">
    <w:name w:val="heading 6"/>
    <w:basedOn w:val="Normal"/>
    <w:next w:val="Normal"/>
    <w:link w:val="Heading6Char"/>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E11C93"/>
    <w:rPr>
      <w:sz w:val="40"/>
      <w:szCs w:val="40"/>
    </w:rPr>
  </w:style>
  <w:style w:type="character" w:customStyle="1" w:styleId="Heading2Char">
    <w:name w:val="Heading 2 Char"/>
    <w:basedOn w:val="DefaultParagraphFont"/>
    <w:link w:val="Heading2"/>
    <w:uiPriority w:val="9"/>
    <w:rsid w:val="00E11C93"/>
    <w:rPr>
      <w:sz w:val="32"/>
      <w:szCs w:val="32"/>
    </w:rPr>
  </w:style>
  <w:style w:type="character" w:customStyle="1" w:styleId="Heading3Char">
    <w:name w:val="Heading 3 Char"/>
    <w:basedOn w:val="DefaultParagraphFont"/>
    <w:link w:val="Heading3"/>
    <w:uiPriority w:val="9"/>
    <w:rsid w:val="00E11C93"/>
    <w:rPr>
      <w:color w:val="434343"/>
      <w:sz w:val="28"/>
      <w:szCs w:val="28"/>
    </w:rPr>
  </w:style>
  <w:style w:type="character" w:customStyle="1" w:styleId="Heading4Char">
    <w:name w:val="Heading 4 Char"/>
    <w:basedOn w:val="DefaultParagraphFont"/>
    <w:link w:val="Heading4"/>
    <w:uiPriority w:val="9"/>
    <w:rsid w:val="00E11C93"/>
    <w:rPr>
      <w:color w:val="666666"/>
      <w:sz w:val="24"/>
      <w:szCs w:val="24"/>
    </w:rPr>
  </w:style>
  <w:style w:type="character" w:customStyle="1" w:styleId="Heading5Char">
    <w:name w:val="Heading 5 Char"/>
    <w:basedOn w:val="DefaultParagraphFont"/>
    <w:link w:val="Heading5"/>
    <w:uiPriority w:val="9"/>
    <w:rsid w:val="00E11C93"/>
    <w:rPr>
      <w:color w:val="666666"/>
    </w:rPr>
  </w:style>
  <w:style w:type="character" w:customStyle="1" w:styleId="Heading6Char">
    <w:name w:val="Heading 6 Char"/>
    <w:basedOn w:val="DefaultParagraphFont"/>
    <w:link w:val="Heading6"/>
    <w:uiPriority w:val="9"/>
    <w:rsid w:val="00E11C93"/>
    <w:rPr>
      <w:i/>
      <w:color w:val="666666"/>
    </w:rPr>
  </w:style>
  <w:style w:type="paragraph" w:styleId="Header">
    <w:name w:val="header"/>
    <w:basedOn w:val="Normal"/>
    <w:link w:val="HeaderChar"/>
    <w:uiPriority w:val="99"/>
    <w:unhideWhenUsed/>
    <w:rsid w:val="00D8527B"/>
    <w:pPr>
      <w:tabs>
        <w:tab w:val="center" w:pos="4513"/>
        <w:tab w:val="right" w:pos="9026"/>
      </w:tabs>
      <w:spacing w:line="240" w:lineRule="auto"/>
    </w:pPr>
  </w:style>
  <w:style w:type="character" w:customStyle="1" w:styleId="HeaderChar">
    <w:name w:val="Header Char"/>
    <w:basedOn w:val="DefaultParagraphFont"/>
    <w:link w:val="Header"/>
    <w:uiPriority w:val="99"/>
    <w:rsid w:val="00D8527B"/>
  </w:style>
  <w:style w:type="paragraph" w:styleId="Footer">
    <w:name w:val="footer"/>
    <w:basedOn w:val="Normal"/>
    <w:link w:val="FooterChar"/>
    <w:uiPriority w:val="99"/>
    <w:unhideWhenUsed/>
    <w:rsid w:val="00D8527B"/>
    <w:pPr>
      <w:tabs>
        <w:tab w:val="center" w:pos="4513"/>
        <w:tab w:val="right" w:pos="9026"/>
      </w:tabs>
      <w:spacing w:line="240" w:lineRule="auto"/>
    </w:pPr>
  </w:style>
  <w:style w:type="character" w:customStyle="1" w:styleId="FooterChar">
    <w:name w:val="Footer Char"/>
    <w:basedOn w:val="DefaultParagraphFont"/>
    <w:link w:val="Footer"/>
    <w:uiPriority w:val="99"/>
    <w:rsid w:val="00D8527B"/>
  </w:style>
  <w:style w:type="character" w:styleId="Hyperlink">
    <w:name w:val="Hyperlink"/>
    <w:basedOn w:val="DefaultParagraphFont"/>
    <w:uiPriority w:val="99"/>
    <w:unhideWhenUsed/>
    <w:rsid w:val="00D8527B"/>
    <w:rPr>
      <w:color w:val="0000FF" w:themeColor="hyperlink"/>
      <w:u w:val="single"/>
    </w:rPr>
  </w:style>
  <w:style w:type="character" w:styleId="UnresolvedMention">
    <w:name w:val="Unresolved Mention"/>
    <w:basedOn w:val="DefaultParagraphFont"/>
    <w:uiPriority w:val="99"/>
    <w:semiHidden/>
    <w:unhideWhenUsed/>
    <w:rsid w:val="00D8527B"/>
    <w:rPr>
      <w:color w:val="605E5C"/>
      <w:shd w:val="clear" w:color="auto" w:fill="E1DFDD"/>
    </w:rPr>
  </w:style>
  <w:style w:type="paragraph" w:styleId="NormalWeb">
    <w:name w:val="Normal (Web)"/>
    <w:basedOn w:val="Normal"/>
    <w:uiPriority w:val="99"/>
    <w:unhideWhenUsed/>
    <w:rsid w:val="006B4A2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E61E8"/>
    <w:rPr>
      <w:color w:val="800080" w:themeColor="followedHyperlink"/>
      <w:u w:val="single"/>
    </w:rPr>
  </w:style>
  <w:style w:type="paragraph" w:customStyle="1" w:styleId="msonormal0">
    <w:name w:val="msonormal"/>
    <w:basedOn w:val="Normal"/>
    <w:rsid w:val="00EE61E8"/>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EE61E8"/>
    <w:pPr>
      <w:spacing w:line="240" w:lineRule="auto"/>
    </w:pPr>
    <w:rPr>
      <w:sz w:val="20"/>
      <w:szCs w:val="20"/>
    </w:rPr>
  </w:style>
  <w:style w:type="character" w:customStyle="1" w:styleId="CommentTextChar">
    <w:name w:val="Comment Text Char"/>
    <w:basedOn w:val="DefaultParagraphFont"/>
    <w:link w:val="CommentText"/>
    <w:uiPriority w:val="99"/>
    <w:rsid w:val="00EE61E8"/>
    <w:rPr>
      <w:sz w:val="20"/>
      <w:szCs w:val="20"/>
    </w:rPr>
  </w:style>
  <w:style w:type="character" w:customStyle="1" w:styleId="TitleChar">
    <w:name w:val="Title Char"/>
    <w:basedOn w:val="DefaultParagraphFont"/>
    <w:link w:val="Title"/>
    <w:uiPriority w:val="10"/>
    <w:rsid w:val="00EE61E8"/>
    <w:rPr>
      <w:sz w:val="52"/>
      <w:szCs w:val="52"/>
    </w:rPr>
  </w:style>
  <w:style w:type="character" w:customStyle="1" w:styleId="SubtitleChar">
    <w:name w:val="Subtitle Char"/>
    <w:basedOn w:val="DefaultParagraphFont"/>
    <w:link w:val="Subtitle"/>
    <w:uiPriority w:val="11"/>
    <w:rsid w:val="00EE61E8"/>
    <w:rPr>
      <w:color w:val="666666"/>
      <w:sz w:val="30"/>
      <w:szCs w:val="30"/>
    </w:rPr>
  </w:style>
  <w:style w:type="paragraph" w:styleId="CommentSubject">
    <w:name w:val="annotation subject"/>
    <w:basedOn w:val="CommentText"/>
    <w:next w:val="CommentText"/>
    <w:link w:val="CommentSubjectChar"/>
    <w:uiPriority w:val="99"/>
    <w:semiHidden/>
    <w:unhideWhenUsed/>
    <w:rsid w:val="00EE61E8"/>
    <w:rPr>
      <w:b/>
      <w:bCs/>
    </w:rPr>
  </w:style>
  <w:style w:type="character" w:customStyle="1" w:styleId="CommentSubjectChar">
    <w:name w:val="Comment Subject Char"/>
    <w:basedOn w:val="CommentTextChar"/>
    <w:link w:val="CommentSubject"/>
    <w:uiPriority w:val="99"/>
    <w:semiHidden/>
    <w:rsid w:val="00EE61E8"/>
    <w:rPr>
      <w:b/>
      <w:bCs/>
      <w:sz w:val="20"/>
      <w:szCs w:val="20"/>
    </w:rPr>
  </w:style>
  <w:style w:type="paragraph" w:styleId="Revision">
    <w:name w:val="Revision"/>
    <w:uiPriority w:val="99"/>
    <w:semiHidden/>
    <w:rsid w:val="00EE61E8"/>
    <w:pPr>
      <w:spacing w:line="240" w:lineRule="auto"/>
    </w:pPr>
  </w:style>
  <w:style w:type="character" w:styleId="CommentReference">
    <w:name w:val="annotation reference"/>
    <w:basedOn w:val="DefaultParagraphFont"/>
    <w:uiPriority w:val="99"/>
    <w:semiHidden/>
    <w:unhideWhenUsed/>
    <w:rsid w:val="00EE61E8"/>
    <w:rPr>
      <w:sz w:val="16"/>
      <w:szCs w:val="16"/>
    </w:rPr>
  </w:style>
  <w:style w:type="paragraph" w:styleId="TOCHeading">
    <w:name w:val="TOC Heading"/>
    <w:basedOn w:val="Heading1"/>
    <w:next w:val="Normal"/>
    <w:uiPriority w:val="39"/>
    <w:unhideWhenUsed/>
    <w:qFormat/>
    <w:rsid w:val="00375624"/>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375624"/>
    <w:pPr>
      <w:spacing w:after="100"/>
      <w:ind w:left="220"/>
    </w:pPr>
  </w:style>
  <w:style w:type="paragraph" w:styleId="TOC1">
    <w:name w:val="toc 1"/>
    <w:basedOn w:val="Normal"/>
    <w:next w:val="Normal"/>
    <w:autoRedefine/>
    <w:uiPriority w:val="39"/>
    <w:unhideWhenUsed/>
    <w:rsid w:val="00375624"/>
    <w:pPr>
      <w:spacing w:after="100"/>
    </w:pPr>
  </w:style>
  <w:style w:type="paragraph" w:styleId="TOC3">
    <w:name w:val="toc 3"/>
    <w:basedOn w:val="Normal"/>
    <w:next w:val="Normal"/>
    <w:autoRedefine/>
    <w:uiPriority w:val="39"/>
    <w:unhideWhenUsed/>
    <w:rsid w:val="00375624"/>
    <w:pPr>
      <w:spacing w:after="100"/>
      <w:ind w:left="440"/>
    </w:pPr>
  </w:style>
  <w:style w:type="paragraph" w:styleId="Caption">
    <w:name w:val="caption"/>
    <w:basedOn w:val="Normal"/>
    <w:next w:val="Normal"/>
    <w:uiPriority w:val="35"/>
    <w:unhideWhenUsed/>
    <w:qFormat/>
    <w:rsid w:val="00EA3C54"/>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0A3D26"/>
  </w:style>
  <w:style w:type="paragraph" w:styleId="ListParagraph">
    <w:name w:val="List Paragraph"/>
    <w:basedOn w:val="Normal"/>
    <w:uiPriority w:val="34"/>
    <w:qFormat/>
    <w:rsid w:val="00BF2AFE"/>
    <w:pPr>
      <w:ind w:left="720"/>
      <w:contextualSpacing/>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paragraph" w:styleId="TOC4">
    <w:name w:val="toc 4"/>
    <w:basedOn w:val="Normal"/>
    <w:next w:val="Normal"/>
    <w:autoRedefine/>
    <w:uiPriority w:val="39"/>
    <w:unhideWhenUsed/>
    <w:rsid w:val="00595CA5"/>
    <w:pPr>
      <w:spacing w:after="100"/>
      <w:ind w:left="660"/>
    </w:pPr>
  </w:style>
  <w:style w:type="paragraph" w:styleId="TOC5">
    <w:name w:val="toc 5"/>
    <w:basedOn w:val="Normal"/>
    <w:next w:val="Normal"/>
    <w:autoRedefine/>
    <w:uiPriority w:val="39"/>
    <w:unhideWhenUsed/>
    <w:rsid w:val="00595CA5"/>
    <w:pPr>
      <w:spacing w:after="100"/>
      <w:ind w:left="880"/>
    </w:pPr>
  </w:style>
  <w:style w:type="paragraph" w:styleId="TOC6">
    <w:name w:val="toc 6"/>
    <w:basedOn w:val="Normal"/>
    <w:next w:val="Normal"/>
    <w:autoRedefine/>
    <w:uiPriority w:val="39"/>
    <w:unhideWhenUsed/>
    <w:rsid w:val="00595CA5"/>
    <w:pPr>
      <w:spacing w:after="100"/>
      <w:ind w:left="1100"/>
    </w:pPr>
  </w:style>
  <w:style w:type="paragraph" w:styleId="TOC7">
    <w:name w:val="toc 7"/>
    <w:basedOn w:val="Normal"/>
    <w:next w:val="Normal"/>
    <w:autoRedefine/>
    <w:uiPriority w:val="39"/>
    <w:unhideWhenUsed/>
    <w:rsid w:val="00595CA5"/>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95CA5"/>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95CA5"/>
    <w:pPr>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538772">
      <w:bodyDiv w:val="1"/>
      <w:marLeft w:val="0"/>
      <w:marRight w:val="0"/>
      <w:marTop w:val="0"/>
      <w:marBottom w:val="0"/>
      <w:divBdr>
        <w:top w:val="none" w:sz="0" w:space="0" w:color="auto"/>
        <w:left w:val="none" w:sz="0" w:space="0" w:color="auto"/>
        <w:bottom w:val="none" w:sz="0" w:space="0" w:color="auto"/>
        <w:right w:val="none" w:sz="0" w:space="0" w:color="auto"/>
      </w:divBdr>
    </w:div>
    <w:div w:id="1222671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iwheel.com/work/citation?ids=2378877,16359005,16359006,5998721&amp;pre=&amp;pre=&amp;pre=&amp;pre=&amp;suf=&amp;suf=&amp;suf=&amp;suf=&amp;sa=0,0,0,0" TargetMode="External"/><Relationship Id="rId671" Type="http://schemas.openxmlformats.org/officeDocument/2006/relationships/hyperlink" Target="https://sciwheel.com/work/citation?ids=13742138&amp;pre=&amp;suf=&amp;sa=0" TargetMode="External"/><Relationship Id="rId769" Type="http://schemas.openxmlformats.org/officeDocument/2006/relationships/hyperlink" Target="https://sciwheel.com/work/citation?ids=1810772&amp;pre=&amp;suf=&amp;sa=0" TargetMode="External"/><Relationship Id="rId21" Type="http://schemas.openxmlformats.org/officeDocument/2006/relationships/hyperlink" Target="https://sciwheel.com/work/citation?ids=8288910&amp;pre=&amp;suf=&amp;sa=0" TargetMode="External"/><Relationship Id="rId324" Type="http://schemas.openxmlformats.org/officeDocument/2006/relationships/hyperlink" Target="https://sciwheel.com/work/citation?ids=16356281,8667796&amp;pre=&amp;pre=&amp;suf=&amp;suf=&amp;sa=0,0" TargetMode="External"/><Relationship Id="rId531" Type="http://schemas.openxmlformats.org/officeDocument/2006/relationships/hyperlink" Target="https://sciwheel.com/work/citation?ids=16450202,1810231&amp;pre=&amp;pre=&amp;suf=&amp;suf=&amp;sa=0,0" TargetMode="External"/><Relationship Id="rId629" Type="http://schemas.openxmlformats.org/officeDocument/2006/relationships/hyperlink" Target="https://sciwheel.com/work/citation?ids=3580106,7431247,10683308&amp;pre=&amp;pre=&amp;pre=&amp;suf=&amp;suf=&amp;suf=&amp;sa=0,0,0" TargetMode="External"/><Relationship Id="rId170" Type="http://schemas.openxmlformats.org/officeDocument/2006/relationships/hyperlink" Target="https://sciwheel.com/work/citation?ids=16342474,1314383,1810264,7289685&amp;pre=&amp;pre=&amp;pre=&amp;pre=&amp;suf=&amp;suf=&amp;suf=&amp;suf=&amp;sa=0,0,0,0" TargetMode="External"/><Relationship Id="rId836" Type="http://schemas.openxmlformats.org/officeDocument/2006/relationships/hyperlink" Target="mailto:byan6@sheffield.ac.uk" TargetMode="External"/><Relationship Id="rId268" Type="http://schemas.openxmlformats.org/officeDocument/2006/relationships/hyperlink" Target="https://sciwheel.com/work/citation?ids=8289909&amp;pre=&amp;suf=&amp;sa=0" TargetMode="External"/><Relationship Id="rId475" Type="http://schemas.openxmlformats.org/officeDocument/2006/relationships/hyperlink" Target="https://sciwheel.com/work/citation?ids=8297111,15613181&amp;pre=&amp;pre=&amp;suf=&amp;suf=&amp;sa=0,0" TargetMode="External"/><Relationship Id="rId682" Type="http://schemas.openxmlformats.org/officeDocument/2006/relationships/hyperlink" Target="https://sciwheel.com/work/citation?ids=5053693&amp;pre=&amp;suf=&amp;sa=0" TargetMode="External"/><Relationship Id="rId32" Type="http://schemas.openxmlformats.org/officeDocument/2006/relationships/hyperlink" Target="https://sciwheel.com/work/citation?ids=14617923,4520511,8290074&amp;pre=&amp;pre=&amp;pre=&amp;suf=&amp;suf=&amp;suf=&amp;sa=0,0,0" TargetMode="External"/><Relationship Id="rId128" Type="http://schemas.openxmlformats.org/officeDocument/2006/relationships/hyperlink" Target="https://sciwheel.com/work/citation?ids=2603629&amp;pre=&amp;suf=&amp;sa=0" TargetMode="External"/><Relationship Id="rId335" Type="http://schemas.openxmlformats.org/officeDocument/2006/relationships/hyperlink" Target="https://sciwheel.com/work/citation?ids=16356378&amp;pre=&amp;suf=&amp;sa=0" TargetMode="External"/><Relationship Id="rId542" Type="http://schemas.openxmlformats.org/officeDocument/2006/relationships/hyperlink" Target="https://sciwheel.com/work/citation?ids=1494732&amp;pre=&amp;suf=&amp;sa=0" TargetMode="External"/><Relationship Id="rId181" Type="http://schemas.openxmlformats.org/officeDocument/2006/relationships/hyperlink" Target="https://sciwheel.com/work/citation?ids=15657477&amp;pre=&amp;suf=&amp;sa=0" TargetMode="External"/><Relationship Id="rId402" Type="http://schemas.openxmlformats.org/officeDocument/2006/relationships/hyperlink" Target="https://sciwheel.com/work/citation?ids=16192080&amp;pre=&amp;suf=&amp;sa=0" TargetMode="External"/><Relationship Id="rId847" Type="http://schemas.openxmlformats.org/officeDocument/2006/relationships/hyperlink" Target="https://www.nhs.uk/mental-health/self-help/guides-tools-and-activities/five-steps-to-mental-wellbeing/" TargetMode="External"/><Relationship Id="rId279" Type="http://schemas.openxmlformats.org/officeDocument/2006/relationships/hyperlink" Target="https://sciwheel.com/work/citation?ids=8098861&amp;pre=&amp;suf=&amp;sa=0" TargetMode="External"/><Relationship Id="rId486" Type="http://schemas.openxmlformats.org/officeDocument/2006/relationships/hyperlink" Target="https://sciwheel.com/work/citation?ids=195059&amp;pre=&amp;suf=&amp;sa=0" TargetMode="External"/><Relationship Id="rId693" Type="http://schemas.openxmlformats.org/officeDocument/2006/relationships/hyperlink" Target="https://sciwheel.com/work/citation?ids=13822968&amp;pre=&amp;suf=&amp;sa=0" TargetMode="External"/><Relationship Id="rId707" Type="http://schemas.openxmlformats.org/officeDocument/2006/relationships/hyperlink" Target="https://sciwheel.com/work/citation?ids=15929835&amp;pre=&amp;suf=&amp;sa=0" TargetMode="External"/><Relationship Id="rId43" Type="http://schemas.openxmlformats.org/officeDocument/2006/relationships/hyperlink" Target="https://sciwheel.com/work/citation?ids=7243376&amp;pre=&amp;suf=&amp;sa=0" TargetMode="External"/><Relationship Id="rId139" Type="http://schemas.openxmlformats.org/officeDocument/2006/relationships/hyperlink" Target="https://sciwheel.com/work/citation?ids=15613187&amp;pre=&amp;suf=&amp;sa=0" TargetMode="External"/><Relationship Id="rId346" Type="http://schemas.openxmlformats.org/officeDocument/2006/relationships/hyperlink" Target="https://sciwheel.com/work/citation?ids=3873122&amp;pre=&amp;suf=&amp;sa=0" TargetMode="External"/><Relationship Id="rId553" Type="http://schemas.openxmlformats.org/officeDocument/2006/relationships/hyperlink" Target="https://sciwheel.com/work/citation?ids=7430354&amp;pre=&amp;suf=&amp;sa=0" TargetMode="External"/><Relationship Id="rId760" Type="http://schemas.openxmlformats.org/officeDocument/2006/relationships/hyperlink" Target="https://sciwheel.com/work/citation?ids=1506293&amp;pre=&amp;suf=&amp;sa=0" TargetMode="External"/><Relationship Id="rId192" Type="http://schemas.openxmlformats.org/officeDocument/2006/relationships/hyperlink" Target="https://sciwheel.com/work/citation?ids=15721318&amp;pre=&amp;suf=&amp;sa=0" TargetMode="External"/><Relationship Id="rId206" Type="http://schemas.openxmlformats.org/officeDocument/2006/relationships/hyperlink" Target="https://sciwheel.com/work/citation?ids=16639057,16342717,16639058&amp;pre=&amp;pre=&amp;pre=&amp;suf=&amp;suf=&amp;suf=&amp;sa=0,0,0" TargetMode="External"/><Relationship Id="rId413" Type="http://schemas.openxmlformats.org/officeDocument/2006/relationships/hyperlink" Target="https://sciwheel.com/work/citation?ids=10878448&amp;pre=&amp;suf=&amp;sa=0" TargetMode="External"/><Relationship Id="rId858" Type="http://schemas.openxmlformats.org/officeDocument/2006/relationships/hyperlink" Target="mailto:l.v.unwin@sheffield.ac.uk" TargetMode="External"/><Relationship Id="rId497" Type="http://schemas.openxmlformats.org/officeDocument/2006/relationships/hyperlink" Target="https://osf.io/428uh" TargetMode="External"/><Relationship Id="rId620" Type="http://schemas.openxmlformats.org/officeDocument/2006/relationships/hyperlink" Target="https://sciwheel.com/work/citation?ids=9256691&amp;pre=&amp;suf=&amp;sa=0" TargetMode="External"/><Relationship Id="rId718" Type="http://schemas.openxmlformats.org/officeDocument/2006/relationships/hyperlink" Target="https://sciwheel.com/work/citation?ids=7496815&amp;pre=&amp;suf=&amp;sa=0" TargetMode="External"/><Relationship Id="rId357" Type="http://schemas.openxmlformats.org/officeDocument/2006/relationships/hyperlink" Target="https://sciwheel.com/work/citation?ids=10878448,2704393,4028775,16597729&amp;pre=&amp;pre=&amp;pre=&amp;pre=&amp;suf=&amp;suf=&amp;suf=&amp;suf=&amp;sa=0,0,0,0" TargetMode="External"/><Relationship Id="rId54" Type="http://schemas.openxmlformats.org/officeDocument/2006/relationships/hyperlink" Target="https://sciwheel.com/work/citation?ids=1436648&amp;pre=&amp;suf=&amp;sa=0" TargetMode="External"/><Relationship Id="rId217" Type="http://schemas.openxmlformats.org/officeDocument/2006/relationships/hyperlink" Target="https://sciwheel.com/work/citation?ids=10671746&amp;pre=&amp;suf=&amp;sa=0" TargetMode="External"/><Relationship Id="rId564" Type="http://schemas.openxmlformats.org/officeDocument/2006/relationships/hyperlink" Target="https://sciwheel.com/work/citation?ids=10683308&amp;pre=&amp;suf=&amp;sa=0" TargetMode="External"/><Relationship Id="rId771" Type="http://schemas.openxmlformats.org/officeDocument/2006/relationships/hyperlink" Target="https://sciwheel.com/work/citation?ids=11757610,16509863,8922004&amp;pre=&amp;pre=&amp;pre=&amp;suf=&amp;suf=&amp;suf=&amp;sa=0,0,0" TargetMode="External"/><Relationship Id="rId869" Type="http://schemas.openxmlformats.org/officeDocument/2006/relationships/hyperlink" Target="mailto:n.buckland@sheffield.ac.uk" TargetMode="External"/><Relationship Id="rId424" Type="http://schemas.openxmlformats.org/officeDocument/2006/relationships/hyperlink" Target="https://sciwheel.com/work/citation?ids=15718132&amp;pre=&amp;suf=&amp;sa=0" TargetMode="External"/><Relationship Id="rId631" Type="http://schemas.openxmlformats.org/officeDocument/2006/relationships/hyperlink" Target="https://sciwheel.com/work/citation?ids=5087171&amp;pre=&amp;suf=&amp;sa=0" TargetMode="External"/><Relationship Id="rId729" Type="http://schemas.openxmlformats.org/officeDocument/2006/relationships/hyperlink" Target="https://sciwheel.com/work/citation?ids=8098926,12374607,16242843&amp;pre=&amp;pre=&amp;pre=&amp;suf=&amp;suf=&amp;suf=&amp;sa=0,0,0" TargetMode="External"/><Relationship Id="rId270" Type="http://schemas.openxmlformats.org/officeDocument/2006/relationships/hyperlink" Target="https://sciwheel.com/work/citation?ids=15150196&amp;pre=&amp;suf=&amp;sa=0" TargetMode="External"/><Relationship Id="rId65" Type="http://schemas.openxmlformats.org/officeDocument/2006/relationships/hyperlink" Target="https://sciwheel.com/work/citation?ids=7997144&amp;pre=&amp;suf=&amp;sa=0" TargetMode="External"/><Relationship Id="rId130" Type="http://schemas.openxmlformats.org/officeDocument/2006/relationships/hyperlink" Target="https://sciwheel.com/work/citation?ids=3086505&amp;pre=&amp;suf=&amp;sa=0" TargetMode="External"/><Relationship Id="rId368" Type="http://schemas.openxmlformats.org/officeDocument/2006/relationships/hyperlink" Target="https://sciwheel.com/work/citation?ids=10116078&amp;pre=&amp;suf=&amp;sa=0" TargetMode="External"/><Relationship Id="rId575" Type="http://schemas.openxmlformats.org/officeDocument/2006/relationships/hyperlink" Target="https://sciwheel.com/work/citation?ids=16168671&amp;pre=&amp;suf=&amp;sa=0" TargetMode="External"/><Relationship Id="rId782" Type="http://schemas.openxmlformats.org/officeDocument/2006/relationships/hyperlink" Target="https://sciwheel.com/work/citation?ids=16253979&amp;pre=&amp;suf=&amp;sa=0" TargetMode="External"/><Relationship Id="rId228" Type="http://schemas.openxmlformats.org/officeDocument/2006/relationships/hyperlink" Target="https://sciwheel.com/work/citation?ids=894779,5355313&amp;pre=&amp;pre=&amp;suf=&amp;suf=&amp;sa=0,0" TargetMode="External"/><Relationship Id="rId435" Type="http://schemas.openxmlformats.org/officeDocument/2006/relationships/hyperlink" Target="https://sciwheel.com/work/citation?ids=16558549&amp;pre=&amp;suf=&amp;sa=0" TargetMode="External"/><Relationship Id="rId642" Type="http://schemas.openxmlformats.org/officeDocument/2006/relationships/hyperlink" Target="https://sciwheel.com/work/citation?ids=8297111&amp;pre=&amp;suf=&amp;sa=0" TargetMode="External"/><Relationship Id="rId281" Type="http://schemas.openxmlformats.org/officeDocument/2006/relationships/hyperlink" Target="https://sciwheel.com/work/citation?ids=15145267&amp;pre=&amp;suf=&amp;sa=0" TargetMode="External"/><Relationship Id="rId502" Type="http://schemas.openxmlformats.org/officeDocument/2006/relationships/header" Target="header5.xml"/><Relationship Id="rId76" Type="http://schemas.openxmlformats.org/officeDocument/2006/relationships/hyperlink" Target="https://sciwheel.com/work/citation?ids=4572663&amp;pre=&amp;suf=&amp;sa=0" TargetMode="External"/><Relationship Id="rId141" Type="http://schemas.openxmlformats.org/officeDocument/2006/relationships/hyperlink" Target="https://sciwheel.com/work/citation?ids=15613187,8098885,1812060,15613191&amp;pre=&amp;pre=&amp;pre=&amp;pre=&amp;suf=&amp;suf=&amp;suf=&amp;suf=&amp;sa=0,0,0,0" TargetMode="External"/><Relationship Id="rId379" Type="http://schemas.openxmlformats.org/officeDocument/2006/relationships/hyperlink" Target="https://sciwheel.com/work/citation?ids=6860264&amp;pre=&amp;suf=&amp;sa=0" TargetMode="External"/><Relationship Id="rId586" Type="http://schemas.openxmlformats.org/officeDocument/2006/relationships/hyperlink" Target="https://sciwheel.com/work/citation?ids=587270,1769081&amp;pre=&amp;pre=&amp;suf=&amp;suf=&amp;sa=0,0" TargetMode="External"/><Relationship Id="rId793" Type="http://schemas.openxmlformats.org/officeDocument/2006/relationships/hyperlink" Target="https://sciwheel.com/work/citation?ids=16134459&amp;pre=&amp;suf=&amp;sa=0" TargetMode="External"/><Relationship Id="rId807" Type="http://schemas.openxmlformats.org/officeDocument/2006/relationships/hyperlink" Target="https://sciwheel.com/work/citation?ids=7942987&amp;pre=&amp;suf=&amp;sa=0" TargetMode="External"/><Relationship Id="rId7" Type="http://schemas.openxmlformats.org/officeDocument/2006/relationships/footnotes" Target="footnotes.xml"/><Relationship Id="rId239" Type="http://schemas.openxmlformats.org/officeDocument/2006/relationships/hyperlink" Target="https://sciwheel.com/work/citation?ids=8098861&amp;pre=&amp;suf=&amp;sa=0" TargetMode="External"/><Relationship Id="rId446" Type="http://schemas.openxmlformats.org/officeDocument/2006/relationships/hyperlink" Target="https://sciwheel.com/work/citation?ids=16384658,12062088,16384684&amp;pre=&amp;pre=&amp;pre=&amp;suf=&amp;suf=&amp;suf=&amp;sa=0,0,0" TargetMode="External"/><Relationship Id="rId653" Type="http://schemas.openxmlformats.org/officeDocument/2006/relationships/hyperlink" Target="https://sciwheel.com/work/citation?ids=15150361&amp;pre=&amp;suf=&amp;sa=0" TargetMode="External"/><Relationship Id="rId292" Type="http://schemas.openxmlformats.org/officeDocument/2006/relationships/hyperlink" Target="https://sciwheel.com/work/citation?ids=1812051&amp;pre=&amp;suf=&amp;sa=0" TargetMode="External"/><Relationship Id="rId306" Type="http://schemas.openxmlformats.org/officeDocument/2006/relationships/hyperlink" Target="https://sciwheel.com/work/citation?ids=15654934&amp;pre=&amp;suf=&amp;sa=0" TargetMode="External"/><Relationship Id="rId860" Type="http://schemas.openxmlformats.org/officeDocument/2006/relationships/hyperlink" Target="mailto:byan6@sheffield.ac.uk" TargetMode="External"/><Relationship Id="rId87" Type="http://schemas.openxmlformats.org/officeDocument/2006/relationships/hyperlink" Target="https://sciwheel.com/work/citation?ids=21594&amp;pre=&amp;suf=&amp;sa=0" TargetMode="External"/><Relationship Id="rId513" Type="http://schemas.openxmlformats.org/officeDocument/2006/relationships/hyperlink" Target="https://sciwheel.com/work/citation?ids=8288777&amp;pre=&amp;suf=&amp;sa=0" TargetMode="External"/><Relationship Id="rId597" Type="http://schemas.openxmlformats.org/officeDocument/2006/relationships/hyperlink" Target="https://sciwheel.com/work/citation?ids=3602879&amp;pre=&amp;suf=&amp;sa=0" TargetMode="External"/><Relationship Id="rId720" Type="http://schemas.openxmlformats.org/officeDocument/2006/relationships/hyperlink" Target="https://sciwheel.com/work/citation?ids=13823248,15144828&amp;pre=&amp;pre=&amp;suf=&amp;suf=&amp;sa=0,0" TargetMode="External"/><Relationship Id="rId818" Type="http://schemas.openxmlformats.org/officeDocument/2006/relationships/hyperlink" Target="https://sciwheel.com/work/citation?ids=4987358&amp;pre=&amp;suf=&amp;sa=0" TargetMode="External"/><Relationship Id="rId152" Type="http://schemas.openxmlformats.org/officeDocument/2006/relationships/hyperlink" Target="https://sciwheel.com/work/citation?ids=12634948,825965&amp;pre=&amp;pre=&amp;suf=&amp;suf=&amp;sa=0,0" TargetMode="External"/><Relationship Id="rId457" Type="http://schemas.openxmlformats.org/officeDocument/2006/relationships/hyperlink" Target="https://sciwheel.com/work/citation?ids=7628547&amp;pre=&amp;suf=&amp;sa=0" TargetMode="External"/><Relationship Id="rId664" Type="http://schemas.openxmlformats.org/officeDocument/2006/relationships/hyperlink" Target="https://sciwheel.com/work/citation?ids=15742004&amp;pre=&amp;suf=&amp;sa=0" TargetMode="External"/><Relationship Id="rId871" Type="http://schemas.openxmlformats.org/officeDocument/2006/relationships/hyperlink" Target="mailto:psy-hod@sheffield.ac.uk" TargetMode="External"/><Relationship Id="rId14" Type="http://schemas.openxmlformats.org/officeDocument/2006/relationships/hyperlink" Target="https://sciwheel.com/work/citation?ids=3033431,7893615&amp;pre=&amp;pre=&amp;suf=&amp;suf=&amp;sa=0,0" TargetMode="External"/><Relationship Id="rId317" Type="http://schemas.openxmlformats.org/officeDocument/2006/relationships/hyperlink" Target="https://sciwheel.com/work/citation?ids=15145267&amp;pre=&amp;suf=&amp;sa=0" TargetMode="External"/><Relationship Id="rId524" Type="http://schemas.openxmlformats.org/officeDocument/2006/relationships/hyperlink" Target="https://sciwheel.com/work/citation?ids=645608&amp;pre=&amp;suf=&amp;sa=0" TargetMode="External"/><Relationship Id="rId731" Type="http://schemas.openxmlformats.org/officeDocument/2006/relationships/hyperlink" Target="https://sciwheel.com/work/citation?ids=7431247&amp;pre=&amp;suf=&amp;sa=0" TargetMode="External"/><Relationship Id="rId98" Type="http://schemas.openxmlformats.org/officeDocument/2006/relationships/hyperlink" Target="https://sciwheel.com/work/citation?ids=4240459&amp;pre=&amp;suf=&amp;sa=0" TargetMode="External"/><Relationship Id="rId163" Type="http://schemas.openxmlformats.org/officeDocument/2006/relationships/hyperlink" Target="https://sciwheel.com/work/citation?ids=1812801&amp;pre=&amp;suf=&amp;sa=0" TargetMode="External"/><Relationship Id="rId370" Type="http://schemas.openxmlformats.org/officeDocument/2006/relationships/hyperlink" Target="https://sciwheel.com/work/citation?ids=15721318&amp;pre=&amp;suf=&amp;sa=0" TargetMode="External"/><Relationship Id="rId829" Type="http://schemas.openxmlformats.org/officeDocument/2006/relationships/hyperlink" Target="https://doi.org/10.1016/j.fertnstert.2017.02.104" TargetMode="External"/><Relationship Id="rId230" Type="http://schemas.openxmlformats.org/officeDocument/2006/relationships/hyperlink" Target="https://sciwheel.com/work/citation?ids=10244212&amp;pre=&amp;suf=&amp;sa=0" TargetMode="External"/><Relationship Id="rId468" Type="http://schemas.openxmlformats.org/officeDocument/2006/relationships/hyperlink" Target="https://sciwheel.com/work/citation?ids=894779,3873122,10655337,8255662&amp;pre=&amp;pre=&amp;pre=&amp;pre=&amp;suf=&amp;suf=&amp;suf=&amp;suf=&amp;sa=0,0,0,0" TargetMode="External"/><Relationship Id="rId675" Type="http://schemas.openxmlformats.org/officeDocument/2006/relationships/hyperlink" Target="https://sciwheel.com/work/citation?ids=858910&amp;pre=&amp;suf=&amp;sa=0" TargetMode="External"/><Relationship Id="rId882" Type="http://schemas.openxmlformats.org/officeDocument/2006/relationships/hyperlink" Target="mailto:byan6@sheffield.ac.uk" TargetMode="External"/><Relationship Id="rId25" Type="http://schemas.openxmlformats.org/officeDocument/2006/relationships/hyperlink" Target="https://sciwheel.com/work/citation?ids=1266417,568365,8667966,14220906&amp;pre=&amp;pre=&amp;pre=&amp;pre=&amp;suf=&amp;suf=&amp;suf=&amp;suf=&amp;sa=0,0,0,0" TargetMode="External"/><Relationship Id="rId328" Type="http://schemas.openxmlformats.org/officeDocument/2006/relationships/hyperlink" Target="https://sciwheel.com/work/citation?ids=7430353&amp;pre=&amp;suf=&amp;sa=0" TargetMode="External"/><Relationship Id="rId535" Type="http://schemas.openxmlformats.org/officeDocument/2006/relationships/hyperlink" Target="https://sciwheel.com/work/citation?ids=11419791&amp;pre=&amp;suf=&amp;sa=0" TargetMode="External"/><Relationship Id="rId742" Type="http://schemas.openxmlformats.org/officeDocument/2006/relationships/hyperlink" Target="https://sciwheel.com/work/citation?ids=15153259&amp;pre=&amp;suf=&amp;sa=0" TargetMode="External"/><Relationship Id="rId174" Type="http://schemas.openxmlformats.org/officeDocument/2006/relationships/hyperlink" Target="https://sciwheel.com/work/citation?ids=7289685&amp;pre=&amp;suf=&amp;sa=0" TargetMode="External"/><Relationship Id="rId381" Type="http://schemas.openxmlformats.org/officeDocument/2006/relationships/hyperlink" Target="https://sciwheel.com/work/citation?ids=16378275&amp;pre=&amp;suf=&amp;sa=0" TargetMode="External"/><Relationship Id="rId602" Type="http://schemas.openxmlformats.org/officeDocument/2006/relationships/hyperlink" Target="https://sciwheel.com/work/citation?ids=1813511,8255662&amp;pre=&amp;pre=&amp;suf=&amp;suf=&amp;sa=0,0" TargetMode="External"/><Relationship Id="rId241" Type="http://schemas.openxmlformats.org/officeDocument/2006/relationships/hyperlink" Target="https://sciwheel.com/work/citation?ids=15654934&amp;pre=&amp;suf=&amp;sa=0" TargetMode="External"/><Relationship Id="rId479" Type="http://schemas.openxmlformats.org/officeDocument/2006/relationships/hyperlink" Target="https://sciwheel.com/work/citation?ids=13742138&amp;pre=&amp;suf=&amp;sa=0" TargetMode="External"/><Relationship Id="rId686" Type="http://schemas.openxmlformats.org/officeDocument/2006/relationships/hyperlink" Target="https://sciwheel.com/work/citation?ids=15928129,1813511,3785572&amp;pre=&amp;pre=&amp;pre=&amp;suf=&amp;suf=&amp;suf=&amp;sa=0,0,0" TargetMode="External"/><Relationship Id="rId36" Type="http://schemas.openxmlformats.org/officeDocument/2006/relationships/hyperlink" Target="https://sciwheel.com/work/citation?ids=2715525&amp;pre=&amp;suf=&amp;sa=0" TargetMode="External"/><Relationship Id="rId339" Type="http://schemas.openxmlformats.org/officeDocument/2006/relationships/hyperlink" Target="https://sciwheel.com/work/citation?ids=1812051&amp;pre=&amp;suf=&amp;sa=0" TargetMode="External"/><Relationship Id="rId546" Type="http://schemas.openxmlformats.org/officeDocument/2006/relationships/hyperlink" Target="https://sciwheel.com/work/citation?ids=8289909&amp;pre=&amp;suf=&amp;sa=0" TargetMode="External"/><Relationship Id="rId753" Type="http://schemas.openxmlformats.org/officeDocument/2006/relationships/hyperlink" Target="https://sciwheel.com/work/citation?ids=8550834,1810264&amp;pre=&amp;pre=&amp;suf=&amp;suf=&amp;sa=0,0" TargetMode="External"/><Relationship Id="rId101" Type="http://schemas.openxmlformats.org/officeDocument/2006/relationships/hyperlink" Target="https://sciwheel.com/work/citation?ids=16341865&amp;pre=&amp;suf=&amp;sa=0" TargetMode="External"/><Relationship Id="rId185" Type="http://schemas.openxmlformats.org/officeDocument/2006/relationships/hyperlink" Target="https://sciwheel.com/work/citation?ids=9285419&amp;pre=&amp;suf=&amp;sa=0" TargetMode="External"/><Relationship Id="rId406" Type="http://schemas.openxmlformats.org/officeDocument/2006/relationships/hyperlink" Target="https://sciwheel.com/work/citation?ids=16192080&amp;pre=&amp;suf=&amp;sa=0" TargetMode="External"/><Relationship Id="rId392" Type="http://schemas.openxmlformats.org/officeDocument/2006/relationships/hyperlink" Target="https://sciwheel.com/work/citation?ids=10683308,15144920&amp;pre=&amp;pre=&amp;suf=&amp;suf=&amp;sa=0,0" TargetMode="External"/><Relationship Id="rId613" Type="http://schemas.openxmlformats.org/officeDocument/2006/relationships/hyperlink" Target="https://sciwheel.com/work/citation?ids=13822968&amp;pre=&amp;suf=&amp;sa=0" TargetMode="External"/><Relationship Id="rId697" Type="http://schemas.openxmlformats.org/officeDocument/2006/relationships/hyperlink" Target="https://sciwheel.com/work/citation?ids=2452690&amp;pre=&amp;suf=&amp;sa=0" TargetMode="External"/><Relationship Id="rId820" Type="http://schemas.openxmlformats.org/officeDocument/2006/relationships/hyperlink" Target="https://doi.org/10.1111/j.1440-1614.2006.01762.x" TargetMode="External"/><Relationship Id="rId252" Type="http://schemas.openxmlformats.org/officeDocument/2006/relationships/hyperlink" Target="https://sciwheel.com/work/citation?ids=1812051&amp;pre=&amp;suf=&amp;sa=0" TargetMode="External"/><Relationship Id="rId47" Type="http://schemas.openxmlformats.org/officeDocument/2006/relationships/hyperlink" Target="https://sciwheel.com/work/citation?ids=15970025&amp;pre=&amp;suf=&amp;sa=0" TargetMode="External"/><Relationship Id="rId112" Type="http://schemas.openxmlformats.org/officeDocument/2006/relationships/hyperlink" Target="https://sciwheel.com/work/citation?ids=15110880,15613233,8293296&amp;pre=&amp;pre=&amp;pre=&amp;suf=&amp;suf=&amp;suf=&amp;sa=0,0,0" TargetMode="External"/><Relationship Id="rId557" Type="http://schemas.openxmlformats.org/officeDocument/2006/relationships/hyperlink" Target="https://sciwheel.com/work/citation?ids=3602475&amp;pre=&amp;suf=&amp;sa=0" TargetMode="External"/><Relationship Id="rId764" Type="http://schemas.openxmlformats.org/officeDocument/2006/relationships/hyperlink" Target="https://sciwheel.com/work/citation?ids=5154297&amp;pre=&amp;suf=&amp;sa=0" TargetMode="External"/><Relationship Id="rId196" Type="http://schemas.openxmlformats.org/officeDocument/2006/relationships/hyperlink" Target="https://sciwheel.com/work/citation?ids=7827848,16349755,1493057,4752458,1810766&amp;pre=&amp;pre=&amp;pre=&amp;pre=&amp;pre=&amp;suf=&amp;suf=&amp;suf=&amp;suf=&amp;suf=&amp;sa=0,0,0,0,0" TargetMode="External"/><Relationship Id="rId417" Type="http://schemas.openxmlformats.org/officeDocument/2006/relationships/hyperlink" Target="https://sciwheel.com/work/citation?ids=4763084&amp;pre=&amp;suf=&amp;sa=0" TargetMode="External"/><Relationship Id="rId624" Type="http://schemas.openxmlformats.org/officeDocument/2006/relationships/hyperlink" Target="https://sciwheel.com/work/citation?ids=10683308,13725561&amp;pre=&amp;pre=&amp;suf=&amp;suf=&amp;sa=0,0" TargetMode="External"/><Relationship Id="rId831" Type="http://schemas.openxmlformats.org/officeDocument/2006/relationships/hyperlink" Target="https://doi.org/10.3389/fendo.2024.1359772" TargetMode="External"/><Relationship Id="rId263" Type="http://schemas.openxmlformats.org/officeDocument/2006/relationships/hyperlink" Target="https://sciwheel.com/work/citation?ids=16242843&amp;pre=&amp;suf=&amp;sa=0" TargetMode="External"/><Relationship Id="rId470" Type="http://schemas.openxmlformats.org/officeDocument/2006/relationships/hyperlink" Target="https://sciwheel.com/work/citation?ids=15144920,3580106,8297111,8289909&amp;pre=&amp;pre=&amp;pre=&amp;pre=&amp;suf=&amp;suf=&amp;suf=&amp;suf=&amp;sa=0,0,0,0" TargetMode="External"/><Relationship Id="rId58" Type="http://schemas.openxmlformats.org/officeDocument/2006/relationships/hyperlink" Target="https://sciwheel.com/work/citation?ids=5008814&amp;pre=&amp;suf=&amp;sa=0" TargetMode="External"/><Relationship Id="rId123" Type="http://schemas.openxmlformats.org/officeDocument/2006/relationships/hyperlink" Target="https://sciwheel.com/work/citation?ids=2378888,15598463&amp;pre=&amp;pre=&amp;suf=&amp;suf=&amp;sa=0,0" TargetMode="External"/><Relationship Id="rId330" Type="http://schemas.openxmlformats.org/officeDocument/2006/relationships/hyperlink" Target="https://sciwheel.com/work/citation?ids=15144920,15654934,15655567,15150196,8289909,13605504,10552444&amp;pre=&amp;pre=&amp;pre=&amp;pre=&amp;pre=&amp;pre=&amp;pre=&amp;suf=&amp;suf=&amp;suf=&amp;suf=&amp;suf=&amp;suf=&amp;suf=&amp;sa=0,0,0,0,0,0,0" TargetMode="External"/><Relationship Id="rId568" Type="http://schemas.openxmlformats.org/officeDocument/2006/relationships/hyperlink" Target="https://sciwheel.com/work/citation?ids=16168528,5952864,7924041&amp;pre=&amp;pre=&amp;pre=&amp;suf=&amp;suf=&amp;suf=&amp;sa=0,0,0" TargetMode="External"/><Relationship Id="rId775" Type="http://schemas.openxmlformats.org/officeDocument/2006/relationships/hyperlink" Target="https://sciwheel.com/work/citation?ids=8924944,16356355&amp;pre=&amp;pre=&amp;suf=&amp;suf=&amp;sa=0,0" TargetMode="External"/><Relationship Id="rId428" Type="http://schemas.openxmlformats.org/officeDocument/2006/relationships/hyperlink" Target="https://sciwheel.com/work/citation?ids=15718583,9195063,8080691&amp;pre=&amp;pre=&amp;pre=&amp;suf=&amp;suf=&amp;suf=&amp;sa=0,0,0" TargetMode="External"/><Relationship Id="rId635" Type="http://schemas.openxmlformats.org/officeDocument/2006/relationships/hyperlink" Target="https://sciwheel.com/work/citation?ids=8289909&amp;pre=&amp;suf=&amp;sa=0" TargetMode="External"/><Relationship Id="rId842" Type="http://schemas.openxmlformats.org/officeDocument/2006/relationships/hyperlink" Target="mailto:n.buckland@sheffield.ac.uk" TargetMode="External"/><Relationship Id="rId274" Type="http://schemas.openxmlformats.org/officeDocument/2006/relationships/hyperlink" Target="https://sciwheel.com/work/citation?ids=1812051,7430352&amp;pre=&amp;pre=&amp;suf=&amp;suf=&amp;sa=0,0" TargetMode="External"/><Relationship Id="rId481" Type="http://schemas.openxmlformats.org/officeDocument/2006/relationships/hyperlink" Target="https://sciwheel.com/work/citation?ids=10878448&amp;pre=&amp;suf=&amp;sa=0" TargetMode="External"/><Relationship Id="rId702" Type="http://schemas.openxmlformats.org/officeDocument/2006/relationships/hyperlink" Target="https://sciwheel.com/work/citation?ids=8288688&amp;pre=&amp;suf=&amp;sa=0" TargetMode="External"/><Relationship Id="rId69" Type="http://schemas.openxmlformats.org/officeDocument/2006/relationships/hyperlink" Target="https://sciwheel.com/work/citation?ids=653202&amp;pre=&amp;suf=&amp;sa=0" TargetMode="External"/><Relationship Id="rId134" Type="http://schemas.openxmlformats.org/officeDocument/2006/relationships/hyperlink" Target="https://sciwheel.com/work/citation?ids=5742903,8297046&amp;pre=&amp;pre=&amp;suf=&amp;suf=&amp;sa=0,0" TargetMode="External"/><Relationship Id="rId579" Type="http://schemas.openxmlformats.org/officeDocument/2006/relationships/hyperlink" Target="https://sciwheel.com/work/citation?ids=5998666,4023312&amp;pre=&amp;pre=&amp;suf=&amp;suf=&amp;sa=0,0" TargetMode="External"/><Relationship Id="rId786" Type="http://schemas.openxmlformats.org/officeDocument/2006/relationships/hyperlink" Target="https://sciwheel.com/work/citation?ids=10032939&amp;pre=&amp;suf=&amp;sa=0" TargetMode="External"/><Relationship Id="rId341" Type="http://schemas.openxmlformats.org/officeDocument/2006/relationships/hyperlink" Target="https://sciwheel.com/work/citation?ids=16356482&amp;pre=&amp;suf=&amp;sa=0" TargetMode="External"/><Relationship Id="rId439" Type="http://schemas.openxmlformats.org/officeDocument/2006/relationships/hyperlink" Target="https://sciwheel.com/work/citation?ids=6884303&amp;pre=&amp;suf=&amp;sa=0" TargetMode="External"/><Relationship Id="rId646" Type="http://schemas.openxmlformats.org/officeDocument/2006/relationships/hyperlink" Target="https://sciwheel.com/work/citation?ids=15145267&amp;pre=&amp;suf=&amp;sa=0" TargetMode="External"/><Relationship Id="rId201" Type="http://schemas.openxmlformats.org/officeDocument/2006/relationships/hyperlink" Target="https://sciwheel.com/work/citation?ids=10616940,15651926,4752456&amp;pre=&amp;pre=&amp;pre=&amp;suf=&amp;suf=&amp;suf=&amp;sa=0,0,0" TargetMode="External"/><Relationship Id="rId285" Type="http://schemas.openxmlformats.org/officeDocument/2006/relationships/hyperlink" Target="https://sciwheel.com/work/citation?ids=15144828&amp;pre=&amp;suf=&amp;sa=0" TargetMode="External"/><Relationship Id="rId506" Type="http://schemas.openxmlformats.org/officeDocument/2006/relationships/hyperlink" Target="https://sciwheel.com/work/citation?ids=8098926,15144828,15655567&amp;pre=&amp;pre=&amp;pre=&amp;suf=&amp;suf=&amp;suf=&amp;sa=0,0,0" TargetMode="External"/><Relationship Id="rId853" Type="http://schemas.openxmlformats.org/officeDocument/2006/relationships/hyperlink" Target="mailto:n.buckland@sheffield.ac.uk" TargetMode="External"/><Relationship Id="rId492" Type="http://schemas.openxmlformats.org/officeDocument/2006/relationships/hyperlink" Target="https://sciwheel.com/work/citation?ids=15868321&amp;pre=&amp;suf=&amp;sa=0" TargetMode="External"/><Relationship Id="rId713" Type="http://schemas.openxmlformats.org/officeDocument/2006/relationships/hyperlink" Target="https://sciwheel.com/work/citation?ids=16134438,1620947,16134442&amp;pre=&amp;pre=&amp;pre=&amp;suf=&amp;suf=&amp;suf=&amp;sa=0,0,0" TargetMode="External"/><Relationship Id="rId797" Type="http://schemas.openxmlformats.org/officeDocument/2006/relationships/hyperlink" Target="https://sciwheel.com/work/citation?ids=15458748,10680146&amp;pre=&amp;pre=&amp;suf=&amp;suf=&amp;sa=0,0" TargetMode="External"/><Relationship Id="rId145" Type="http://schemas.openxmlformats.org/officeDocument/2006/relationships/hyperlink" Target="https://sciwheel.com/work/citation?ids=12665014&amp;pre=&amp;suf=&amp;sa=0" TargetMode="External"/><Relationship Id="rId352" Type="http://schemas.openxmlformats.org/officeDocument/2006/relationships/hyperlink" Target="https://sciwheel.com/work/citation?ids=16283913&amp;pre=&amp;suf=&amp;sa=0" TargetMode="External"/><Relationship Id="rId212" Type="http://schemas.openxmlformats.org/officeDocument/2006/relationships/header" Target="header1.xml"/><Relationship Id="rId657" Type="http://schemas.openxmlformats.org/officeDocument/2006/relationships/hyperlink" Target="https://sciwheel.com/work/citation?ids=15654842,5352873&amp;pre=&amp;pre=&amp;suf=&amp;suf=&amp;sa=0,0" TargetMode="External"/><Relationship Id="rId864" Type="http://schemas.openxmlformats.org/officeDocument/2006/relationships/hyperlink" Target="mailto:byan6@sheffield.ac.uk" TargetMode="External"/><Relationship Id="rId296" Type="http://schemas.openxmlformats.org/officeDocument/2006/relationships/hyperlink" Target="https://sciwheel.com/work/citation?ids=2590263&amp;pre=&amp;suf=&amp;sa=0" TargetMode="External"/><Relationship Id="rId517" Type="http://schemas.openxmlformats.org/officeDocument/2006/relationships/hyperlink" Target="https://sciwheel.com/work/citation?ids=16201479,16201481&amp;pre=&amp;pre=&amp;suf=&amp;suf=&amp;sa=0,0" TargetMode="External"/><Relationship Id="rId724" Type="http://schemas.openxmlformats.org/officeDocument/2006/relationships/hyperlink" Target="https://sciwheel.com/work/citation?ids=1531511&amp;pre=&amp;suf=&amp;sa=0" TargetMode="External"/><Relationship Id="rId60" Type="http://schemas.openxmlformats.org/officeDocument/2006/relationships/hyperlink" Target="https://sciwheel.com/work/citation?ids=1051675&amp;pre=&amp;suf=&amp;sa=0" TargetMode="External"/><Relationship Id="rId156" Type="http://schemas.openxmlformats.org/officeDocument/2006/relationships/hyperlink" Target="https://sciwheel.com/work/citation?ids=16327726&amp;pre=&amp;suf=&amp;sa=0" TargetMode="External"/><Relationship Id="rId363" Type="http://schemas.openxmlformats.org/officeDocument/2006/relationships/hyperlink" Target="https://sciwheel.com/work/citation?ids=10116078&amp;pre=&amp;suf=&amp;sa=0" TargetMode="External"/><Relationship Id="rId570" Type="http://schemas.openxmlformats.org/officeDocument/2006/relationships/hyperlink" Target="https://sciwheel.com/work/citation?ids=15145267,13823248,8098861,1812051&amp;pre=&amp;pre=&amp;pre=&amp;pre=&amp;suf=&amp;suf=&amp;suf=&amp;suf=&amp;sa=0,0,0,0" TargetMode="External"/><Relationship Id="rId223" Type="http://schemas.openxmlformats.org/officeDocument/2006/relationships/hyperlink" Target="https://sciwheel.com/work/citation?ids=8260527&amp;pre=&amp;suf=&amp;sa=0" TargetMode="External"/><Relationship Id="rId430" Type="http://schemas.openxmlformats.org/officeDocument/2006/relationships/hyperlink" Target="https://sciwheel.com/work/citation?ids=15721341,8668250,4175553&amp;pre=&amp;pre=&amp;pre=&amp;suf=&amp;suf=&amp;suf=&amp;sa=0,0,0" TargetMode="External"/><Relationship Id="rId668" Type="http://schemas.openxmlformats.org/officeDocument/2006/relationships/hyperlink" Target="https://sciwheel.com/work/citation?ids=10859976&amp;pre=&amp;suf=&amp;sa=0" TargetMode="External"/><Relationship Id="rId875" Type="http://schemas.openxmlformats.org/officeDocument/2006/relationships/hyperlink" Target="https://www.nhs.uk/mental-health/self-help/guides-tools-and-activities/five-steps-to-mental-wellbeing/" TargetMode="External"/><Relationship Id="rId18" Type="http://schemas.openxmlformats.org/officeDocument/2006/relationships/hyperlink" Target="https://sciwheel.com/work/citation?ids=15548554&amp;pre=&amp;suf=&amp;sa=0" TargetMode="External"/><Relationship Id="rId528" Type="http://schemas.openxmlformats.org/officeDocument/2006/relationships/hyperlink" Target="https://sciwheel.com/work/citation?ids=7087432&amp;pre=&amp;suf=&amp;sa=0" TargetMode="External"/><Relationship Id="rId735" Type="http://schemas.openxmlformats.org/officeDocument/2006/relationships/hyperlink" Target="https://sciwheel.com/work/citation?ids=10878448&amp;pre=&amp;suf=&amp;sa=0" TargetMode="External"/><Relationship Id="rId167" Type="http://schemas.openxmlformats.org/officeDocument/2006/relationships/hyperlink" Target="https://sciwheel.com/work/citation?ids=1810243,3916992,16342474,1810777&amp;pre=&amp;pre=&amp;pre=&amp;pre=&amp;suf=&amp;suf=&amp;suf=&amp;suf=&amp;sa=0,0,0,0" TargetMode="External"/><Relationship Id="rId374" Type="http://schemas.openxmlformats.org/officeDocument/2006/relationships/hyperlink" Target="https://sciwheel.com/work/citation?ids=15706042&amp;pre=&amp;suf=&amp;sa=0" TargetMode="External"/><Relationship Id="rId581" Type="http://schemas.openxmlformats.org/officeDocument/2006/relationships/hyperlink" Target="https://sciwheel.com/work/citation?ids=16466908&amp;pre=&amp;suf=&amp;sa=0" TargetMode="External"/><Relationship Id="rId71" Type="http://schemas.openxmlformats.org/officeDocument/2006/relationships/hyperlink" Target="https://sciwheel.com/work/citation?ids=16332731&amp;pre=&amp;suf=&amp;sa=0" TargetMode="External"/><Relationship Id="rId234" Type="http://schemas.openxmlformats.org/officeDocument/2006/relationships/hyperlink" Target="https://sciwheel.com/work/citation?ids=10933210&amp;pre=&amp;suf=&amp;sa=0" TargetMode="External"/><Relationship Id="rId679" Type="http://schemas.openxmlformats.org/officeDocument/2006/relationships/hyperlink" Target="https://sciwheel.com/work/citation?ids=8888322,15694670,15694671,551036&amp;pre=&amp;pre=&amp;pre=&amp;pre=&amp;suf=&amp;suf=&amp;suf=&amp;suf=&amp;sa=0,0,0,0" TargetMode="External"/><Relationship Id="rId802" Type="http://schemas.openxmlformats.org/officeDocument/2006/relationships/hyperlink" Target="https://sciwheel.com/work/citation?ids=15145267&amp;pre=&amp;suf=&amp;sa=0" TargetMode="External"/><Relationship Id="rId886"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yperlink" Target="https://sciwheel.com/work/citation?ids=3580741&amp;pre=&amp;suf=&amp;sa=0" TargetMode="External"/><Relationship Id="rId441" Type="http://schemas.openxmlformats.org/officeDocument/2006/relationships/hyperlink" Target="https://sciwheel.com/work/citation?ids=15747185&amp;pre=&amp;suf=&amp;sa=0" TargetMode="External"/><Relationship Id="rId539" Type="http://schemas.openxmlformats.org/officeDocument/2006/relationships/hyperlink" Target="https://sciwheel.com/work/citation?ids=16450518&amp;pre=&amp;suf=&amp;sa=0" TargetMode="External"/><Relationship Id="rId746" Type="http://schemas.openxmlformats.org/officeDocument/2006/relationships/hyperlink" Target="https://sciwheel.com/work/citation?ids=15145267&amp;pre=&amp;suf=&amp;sa=0" TargetMode="External"/><Relationship Id="rId178" Type="http://schemas.openxmlformats.org/officeDocument/2006/relationships/hyperlink" Target="https://sciwheel.com/work/citation?ids=16349529,16349532,16349534&amp;pre=&amp;pre=&amp;pre=&amp;suf=&amp;suf=&amp;suf=&amp;sa=0,0,0" TargetMode="External"/><Relationship Id="rId301" Type="http://schemas.openxmlformats.org/officeDocument/2006/relationships/hyperlink" Target="https://sciwheel.com/work/citation?ids=16243749&amp;pre=&amp;suf=&amp;sa=0" TargetMode="External"/><Relationship Id="rId82" Type="http://schemas.openxmlformats.org/officeDocument/2006/relationships/hyperlink" Target="https://sciwheel.com/work/citation?ids=3198712,15636655,15636657&amp;pre=&amp;pre=&amp;pre=&amp;suf=&amp;suf=&amp;suf=&amp;sa=0,0,0" TargetMode="External"/><Relationship Id="rId385" Type="http://schemas.openxmlformats.org/officeDocument/2006/relationships/hyperlink" Target="https://sciwheel.com/work/citation?ids=16572&amp;pre=&amp;suf=&amp;sa=0" TargetMode="External"/><Relationship Id="rId592" Type="http://schemas.openxmlformats.org/officeDocument/2006/relationships/hyperlink" Target="https://sciwheel.com/work/citation?ids=5448932&amp;pre=&amp;suf=&amp;sa=0" TargetMode="External"/><Relationship Id="rId606" Type="http://schemas.openxmlformats.org/officeDocument/2006/relationships/hyperlink" Target="https://sciwheel.com/work/citation?ids=928055&amp;pre=&amp;suf=&amp;sa=0" TargetMode="External"/><Relationship Id="rId813" Type="http://schemas.openxmlformats.org/officeDocument/2006/relationships/hyperlink" Target="https://sciwheel.com/work/citation?ids=11627893&amp;pre=&amp;suf=&amp;sa=0" TargetMode="External"/><Relationship Id="rId245" Type="http://schemas.openxmlformats.org/officeDocument/2006/relationships/hyperlink" Target="https://sciwheel.com/work/citation?ids=2590263&amp;pre=&amp;suf=&amp;sa=0" TargetMode="External"/><Relationship Id="rId452" Type="http://schemas.openxmlformats.org/officeDocument/2006/relationships/hyperlink" Target="https://sciwheel.com/work/citation?ids=597703&amp;pre=&amp;suf=&amp;sa=0" TargetMode="External"/><Relationship Id="rId105" Type="http://schemas.openxmlformats.org/officeDocument/2006/relationships/hyperlink" Target="https://sciwheel.com/work/citation?ids=16341976&amp;pre=&amp;suf=&amp;sa=0" TargetMode="External"/><Relationship Id="rId312" Type="http://schemas.openxmlformats.org/officeDocument/2006/relationships/hyperlink" Target="https://sciwheel.com/work/citation?ids=10552444&amp;pre=&amp;suf=&amp;sa=0" TargetMode="External"/><Relationship Id="rId757" Type="http://schemas.openxmlformats.org/officeDocument/2006/relationships/hyperlink" Target="https://sciwheel.com/work/citation?ids=8288688&amp;pre=&amp;suf=&amp;sa=0" TargetMode="External"/><Relationship Id="rId93" Type="http://schemas.openxmlformats.org/officeDocument/2006/relationships/hyperlink" Target="https://sciwheel.com/work/citation?ids=15605304&amp;pre=&amp;suf=&amp;sa=0" TargetMode="External"/><Relationship Id="rId189" Type="http://schemas.openxmlformats.org/officeDocument/2006/relationships/hyperlink" Target="https://sciwheel.com/work/citation?ids=1811687,16349220&amp;pre=&amp;pre=&amp;suf=&amp;suf=&amp;sa=0,0" TargetMode="External"/><Relationship Id="rId396" Type="http://schemas.openxmlformats.org/officeDocument/2006/relationships/hyperlink" Target="https://sciwheel.com/work/citation?ids=10877449,8294559&amp;pre=&amp;pre=&amp;suf=&amp;suf=&amp;sa=0,0" TargetMode="External"/><Relationship Id="rId617" Type="http://schemas.openxmlformats.org/officeDocument/2006/relationships/hyperlink" Target="https://sciwheel.com/work/citation?ids=8298357&amp;pre=&amp;suf=&amp;sa=0" TargetMode="External"/><Relationship Id="rId824" Type="http://schemas.openxmlformats.org/officeDocument/2006/relationships/hyperlink" Target="https://doi.org/10.3945/an.115.008623" TargetMode="External"/><Relationship Id="rId256" Type="http://schemas.openxmlformats.org/officeDocument/2006/relationships/hyperlink" Target="https://sciwheel.com/work/citation?ids=13823248&amp;pre=&amp;suf=&amp;sa=0" TargetMode="External"/><Relationship Id="rId463" Type="http://schemas.openxmlformats.org/officeDocument/2006/relationships/hyperlink" Target="https://sciwheel.com/work/citation?ids=6170944&amp;pre=&amp;suf=&amp;sa=0" TargetMode="External"/><Relationship Id="rId670" Type="http://schemas.openxmlformats.org/officeDocument/2006/relationships/hyperlink" Target="https://sciwheel.com/work/citation?ids=3580106,4563112,14303210&amp;pre=&amp;pre=&amp;pre=&amp;suf=&amp;suf=&amp;suf=&amp;sa=0,0,0" TargetMode="External"/><Relationship Id="rId116" Type="http://schemas.openxmlformats.org/officeDocument/2006/relationships/hyperlink" Target="https://sciwheel.com/work/citation?ids=8098885,1812049,645651,16362183,8098922,1812060,8290170&amp;pre=&amp;pre=&amp;pre=&amp;pre=&amp;pre=&amp;pre=&amp;pre=&amp;suf=&amp;suf=&amp;suf=&amp;suf=&amp;suf=&amp;suf=&amp;suf=&amp;sa=0,0,0,0,0,0,0" TargetMode="External"/><Relationship Id="rId323" Type="http://schemas.openxmlformats.org/officeDocument/2006/relationships/hyperlink" Target="https://sciwheel.com/work/citation?ids=6717329&amp;pre=&amp;suf=&amp;sa=0" TargetMode="External"/><Relationship Id="rId530" Type="http://schemas.openxmlformats.org/officeDocument/2006/relationships/hyperlink" Target="https://sciwheel.com/work/citation?ids=16359311&amp;pre=&amp;suf=&amp;sa=0" TargetMode="External"/><Relationship Id="rId768" Type="http://schemas.openxmlformats.org/officeDocument/2006/relationships/hyperlink" Target="https://sciwheel.com/work/citation?ids=1810772&amp;pre=&amp;suf=&amp;sa=0" TargetMode="External"/><Relationship Id="rId20" Type="http://schemas.openxmlformats.org/officeDocument/2006/relationships/hyperlink" Target="https://sciwheel.com/work/citation?ids=11986532&amp;pre=&amp;suf=&amp;sa=0" TargetMode="External"/><Relationship Id="rId628" Type="http://schemas.openxmlformats.org/officeDocument/2006/relationships/hyperlink" Target="https://sciwheel.com/work/citation?ids=6027259&amp;pre=&amp;suf=&amp;sa=0" TargetMode="External"/><Relationship Id="rId835" Type="http://schemas.openxmlformats.org/officeDocument/2006/relationships/hyperlink" Target="https://www.nhs.uk/mental-health/self-help/guides-tools-and-activities/five-steps-to-mental-wellbeing/" TargetMode="External"/><Relationship Id="rId267" Type="http://schemas.openxmlformats.org/officeDocument/2006/relationships/hyperlink" Target="https://sciwheel.com/work/citation?ids=2992963&amp;pre=&amp;suf=&amp;sa=0" TargetMode="External"/><Relationship Id="rId474" Type="http://schemas.openxmlformats.org/officeDocument/2006/relationships/hyperlink" Target="https://sciwheel.com/work/citation?ids=15145267&amp;pre=&amp;suf=&amp;sa=0" TargetMode="External"/><Relationship Id="rId127" Type="http://schemas.openxmlformats.org/officeDocument/2006/relationships/hyperlink" Target="https://sciwheel.com/work/citation?ids=8922814&amp;pre=&amp;suf=&amp;sa=0" TargetMode="External"/><Relationship Id="rId681" Type="http://schemas.openxmlformats.org/officeDocument/2006/relationships/hyperlink" Target="https://sciwheel.com/work/citation?ids=12174467&amp;pre=&amp;suf=&amp;sa=0" TargetMode="External"/><Relationship Id="rId779" Type="http://schemas.openxmlformats.org/officeDocument/2006/relationships/hyperlink" Target="https://sciwheel.com/work/citation?ids=14303210&amp;pre=&amp;suf=&amp;sa=0" TargetMode="External"/><Relationship Id="rId31" Type="http://schemas.openxmlformats.org/officeDocument/2006/relationships/hyperlink" Target="https://sciwheel.com/work/citation?ids=185159&amp;pre=&amp;suf=&amp;sa=0" TargetMode="External"/><Relationship Id="rId334" Type="http://schemas.openxmlformats.org/officeDocument/2006/relationships/hyperlink" Target="https://sciwheel.com/work/citation?ids=894779&amp;pre=&amp;suf=&amp;sa=0" TargetMode="External"/><Relationship Id="rId541" Type="http://schemas.openxmlformats.org/officeDocument/2006/relationships/hyperlink" Target="https://sciwheel.com/work/citation?ids=8297111,3580106&amp;pre=&amp;pre=&amp;suf=&amp;suf=&amp;sa=0,0" TargetMode="External"/><Relationship Id="rId639" Type="http://schemas.openxmlformats.org/officeDocument/2006/relationships/hyperlink" Target="https://sciwheel.com/work/citation?ids=15421459&amp;pre=&amp;suf=&amp;sa=0" TargetMode="External"/><Relationship Id="rId180" Type="http://schemas.openxmlformats.org/officeDocument/2006/relationships/hyperlink" Target="https://sciwheel.com/work/citation?ids=3259577,1813240&amp;pre=&amp;pre=&amp;suf=&amp;suf=&amp;sa=0,0" TargetMode="External"/><Relationship Id="rId278" Type="http://schemas.openxmlformats.org/officeDocument/2006/relationships/hyperlink" Target="https://sciwheel.com/work/citation?ids=12174661&amp;pre=&amp;suf=&amp;sa=0" TargetMode="External"/><Relationship Id="rId401" Type="http://schemas.openxmlformats.org/officeDocument/2006/relationships/hyperlink" Target="https://sciwheel.com/work/citation?ids=7547403&amp;pre=&amp;suf=&amp;sa=0" TargetMode="External"/><Relationship Id="rId846" Type="http://schemas.openxmlformats.org/officeDocument/2006/relationships/hyperlink" Target="mailto:byan6@sheffield.ac.uk" TargetMode="External"/><Relationship Id="rId485" Type="http://schemas.openxmlformats.org/officeDocument/2006/relationships/hyperlink" Target="https://sciwheel.com/work/citation?ids=16435534&amp;pre=&amp;suf=&amp;sa=0" TargetMode="External"/><Relationship Id="rId692" Type="http://schemas.openxmlformats.org/officeDocument/2006/relationships/hyperlink" Target="https://sciwheel.com/work/citation?ids=8288685&amp;pre=&amp;suf=&amp;sa=0" TargetMode="External"/><Relationship Id="rId706" Type="http://schemas.openxmlformats.org/officeDocument/2006/relationships/hyperlink" Target="https://sciwheel.com/work/citation?ids=15268236&amp;pre=&amp;suf=&amp;sa=0" TargetMode="External"/><Relationship Id="rId42" Type="http://schemas.openxmlformats.org/officeDocument/2006/relationships/hyperlink" Target="https://sciwheel.com/work/citation?ids=7243376&amp;pre=&amp;suf=&amp;sa=0" TargetMode="External"/><Relationship Id="rId138" Type="http://schemas.openxmlformats.org/officeDocument/2006/relationships/hyperlink" Target="https://sciwheel.com/work/citation?ids=15613196&amp;pre=&amp;suf=&amp;sa=0" TargetMode="External"/><Relationship Id="rId345" Type="http://schemas.openxmlformats.org/officeDocument/2006/relationships/hyperlink" Target="https://sciwheel.com/work/citation?ids=16283913&amp;pre=&amp;suf=&amp;sa=0" TargetMode="External"/><Relationship Id="rId552" Type="http://schemas.openxmlformats.org/officeDocument/2006/relationships/hyperlink" Target="https://sciwheel.com/work/citation?ids=15150361&amp;pre=&amp;suf=&amp;sa=0" TargetMode="External"/><Relationship Id="rId191" Type="http://schemas.openxmlformats.org/officeDocument/2006/relationships/hyperlink" Target="https://sciwheel.com/work/citation?ids=15721318&amp;pre=&amp;suf=&amp;sa=0" TargetMode="External"/><Relationship Id="rId205" Type="http://schemas.openxmlformats.org/officeDocument/2006/relationships/hyperlink" Target="https://sciwheel.com/work/citation?ids=8667731&amp;pre=&amp;suf=&amp;sa=0" TargetMode="External"/><Relationship Id="rId412" Type="http://schemas.openxmlformats.org/officeDocument/2006/relationships/hyperlink" Target="https://sciwheel.com/work/citation?ids=7737191&amp;pre=&amp;suf=&amp;sa=0" TargetMode="External"/><Relationship Id="rId857" Type="http://schemas.openxmlformats.org/officeDocument/2006/relationships/hyperlink" Target="mailto:psy-hod@sheffield.ac.uk" TargetMode="External"/><Relationship Id="rId289" Type="http://schemas.openxmlformats.org/officeDocument/2006/relationships/hyperlink" Target="https://sciwheel.com/work/citation?ids=16242843&amp;pre=&amp;suf=&amp;sa=0" TargetMode="External"/><Relationship Id="rId496" Type="http://schemas.openxmlformats.org/officeDocument/2006/relationships/hyperlink" Target="https://sciwheel.com/work/citation?ids=15868370&amp;pre=&amp;suf=&amp;sa=0" TargetMode="External"/><Relationship Id="rId717" Type="http://schemas.openxmlformats.org/officeDocument/2006/relationships/hyperlink" Target="https://sciwheel.com/work/citation?ids=16134506,16134512&amp;pre=&amp;pre=&amp;suf=&amp;suf=&amp;sa=0,0" TargetMode="External"/><Relationship Id="rId53" Type="http://schemas.openxmlformats.org/officeDocument/2006/relationships/hyperlink" Target="https://sciwheel.com/work/citation?ids=16323740&amp;pre=&amp;suf=&amp;sa=0" TargetMode="External"/><Relationship Id="rId149" Type="http://schemas.openxmlformats.org/officeDocument/2006/relationships/hyperlink" Target="https://sciwheel.com/work/citation?ids=1620522&amp;pre=&amp;suf=&amp;sa=0" TargetMode="External"/><Relationship Id="rId356" Type="http://schemas.openxmlformats.org/officeDocument/2006/relationships/hyperlink" Target="https://sciwheel.com/work/citation?ids=16358421,16358422&amp;pre=&amp;pre=&amp;suf=&amp;suf=&amp;sa=0,0" TargetMode="External"/><Relationship Id="rId563" Type="http://schemas.openxmlformats.org/officeDocument/2006/relationships/hyperlink" Target="https://sciwheel.com/work/citation?ids=6477132&amp;pre=&amp;suf=&amp;sa=0" TargetMode="External"/><Relationship Id="rId770" Type="http://schemas.openxmlformats.org/officeDocument/2006/relationships/hyperlink" Target="https://sciwheel.com/work/citation?ids=7839503,8922004,1812008&amp;pre=&amp;pre=&amp;pre=&amp;suf=&amp;suf=&amp;suf=&amp;sa=0,0,0" TargetMode="External"/><Relationship Id="rId216" Type="http://schemas.openxmlformats.org/officeDocument/2006/relationships/hyperlink" Target="https://sciwheel.com/work/citation?ids=2649903,14917737&amp;pre=&amp;pre=&amp;suf=&amp;suf=&amp;sa=0,0" TargetMode="External"/><Relationship Id="rId423" Type="http://schemas.openxmlformats.org/officeDocument/2006/relationships/hyperlink" Target="https://sciwheel.com/work/citation?ids=15718131&amp;pre=&amp;suf=&amp;sa=0" TargetMode="External"/><Relationship Id="rId868" Type="http://schemas.openxmlformats.org/officeDocument/2006/relationships/hyperlink" Target="https://www.sheffield.ac.uk/govern/data-protection/privacy/general" TargetMode="External"/><Relationship Id="rId630" Type="http://schemas.openxmlformats.org/officeDocument/2006/relationships/hyperlink" Target="https://sciwheel.com/work/citation?ids=16168668&amp;pre=&amp;suf=&amp;sa=0" TargetMode="External"/><Relationship Id="rId728" Type="http://schemas.openxmlformats.org/officeDocument/2006/relationships/hyperlink" Target="https://sciwheel.com/work/citation?ids=15145267&amp;pre=&amp;suf=&amp;sa=0" TargetMode="External"/><Relationship Id="rId64" Type="http://schemas.openxmlformats.org/officeDocument/2006/relationships/hyperlink" Target="https://sciwheel.com/work/citation?ids=16555243&amp;pre=&amp;suf=&amp;sa=0" TargetMode="External"/><Relationship Id="rId367" Type="http://schemas.openxmlformats.org/officeDocument/2006/relationships/hyperlink" Target="https://sciwheel.com/work/citation?ids=5001360&amp;pre=&amp;suf=&amp;sa=0" TargetMode="External"/><Relationship Id="rId574" Type="http://schemas.openxmlformats.org/officeDocument/2006/relationships/hyperlink" Target="https://sciwheel.com/work/citation?ids=16168668&amp;pre=&amp;suf=&amp;sa=0" TargetMode="External"/><Relationship Id="rId227" Type="http://schemas.openxmlformats.org/officeDocument/2006/relationships/hyperlink" Target="https://sciwheel.com/work/citation?ids=894779&amp;pre=&amp;suf=&amp;sa=0" TargetMode="External"/><Relationship Id="rId781" Type="http://schemas.openxmlformats.org/officeDocument/2006/relationships/hyperlink" Target="https://sciwheel.com/work/citation?ids=15145267,2992963,1812051&amp;pre=&amp;pre=&amp;pre=&amp;suf=&amp;suf=&amp;suf=&amp;sa=0,0,0" TargetMode="External"/><Relationship Id="rId879" Type="http://schemas.openxmlformats.org/officeDocument/2006/relationships/hyperlink" Target="mailto:N.buckland@sheffield.ac.uk" TargetMode="External"/><Relationship Id="rId434" Type="http://schemas.openxmlformats.org/officeDocument/2006/relationships/hyperlink" Target="https://sciwheel.com/work/citation?ids=16384485,5662958&amp;pre=&amp;pre=&amp;suf=&amp;suf=&amp;sa=0,0" TargetMode="External"/><Relationship Id="rId641" Type="http://schemas.openxmlformats.org/officeDocument/2006/relationships/hyperlink" Target="https://sciwheel.com/work/citation?ids=3580106&amp;pre=&amp;suf=&amp;sa=0" TargetMode="External"/><Relationship Id="rId739" Type="http://schemas.openxmlformats.org/officeDocument/2006/relationships/hyperlink" Target="https://sciwheel.com/work/citation?ids=15721341,8668250,4175553&amp;pre=&amp;pre=&amp;pre=&amp;suf=&amp;suf=&amp;suf=&amp;sa=0,0,0" TargetMode="External"/><Relationship Id="rId280" Type="http://schemas.openxmlformats.org/officeDocument/2006/relationships/hyperlink" Target="https://sciwheel.com/work/citation?ids=13605504&amp;pre=&amp;suf=&amp;sa=0" TargetMode="External"/><Relationship Id="rId501" Type="http://schemas.openxmlformats.org/officeDocument/2006/relationships/hyperlink" Target="https://sciwheel.com/work/citation?ids=16438682&amp;pre=&amp;suf=&amp;sa=0" TargetMode="External"/><Relationship Id="rId75" Type="http://schemas.openxmlformats.org/officeDocument/2006/relationships/hyperlink" Target="https://sciwheel.com/work/citation?ids=7001389&amp;pre=&amp;suf=&amp;sa=0" TargetMode="External"/><Relationship Id="rId140" Type="http://schemas.openxmlformats.org/officeDocument/2006/relationships/hyperlink" Target="https://sciwheel.com/work/citation?ids=4737853&amp;pre=&amp;suf=&amp;sa=0" TargetMode="External"/><Relationship Id="rId378" Type="http://schemas.openxmlformats.org/officeDocument/2006/relationships/hyperlink" Target="https://sciwheel.com/work/citation?ids=7376461&amp;pre=&amp;suf=&amp;sa=0" TargetMode="External"/><Relationship Id="rId585" Type="http://schemas.openxmlformats.org/officeDocument/2006/relationships/hyperlink" Target="https://osf.io/9tju8/" TargetMode="External"/><Relationship Id="rId792" Type="http://schemas.openxmlformats.org/officeDocument/2006/relationships/hyperlink" Target="https://sciwheel.com/work/citation?ids=5975539&amp;pre=&amp;suf=&amp;sa=0" TargetMode="External"/><Relationship Id="rId806" Type="http://schemas.openxmlformats.org/officeDocument/2006/relationships/hyperlink" Target="https://sciwheel.com/work/citation?ids=11760412,1810547&amp;pre=&amp;pre=&amp;suf=&amp;suf=&amp;sa=0,0" TargetMode="External"/><Relationship Id="rId6" Type="http://schemas.openxmlformats.org/officeDocument/2006/relationships/webSettings" Target="webSettings.xml"/><Relationship Id="rId238" Type="http://schemas.openxmlformats.org/officeDocument/2006/relationships/hyperlink" Target="https://sciwheel.com/work/citation?ids=10683308&amp;pre=&amp;suf=&amp;sa=0" TargetMode="External"/><Relationship Id="rId445" Type="http://schemas.openxmlformats.org/officeDocument/2006/relationships/hyperlink" Target="https://sciwheel.com/work/citation?ids=8129599&amp;pre=&amp;suf=&amp;sa=0" TargetMode="External"/><Relationship Id="rId652" Type="http://schemas.openxmlformats.org/officeDocument/2006/relationships/hyperlink" Target="https://sciwheel.com/work/citation?ids=7431247&amp;pre=&amp;suf=&amp;sa=0" TargetMode="External"/><Relationship Id="rId291" Type="http://schemas.openxmlformats.org/officeDocument/2006/relationships/hyperlink" Target="https://sciwheel.com/work/citation?ids=8297111&amp;pre=&amp;suf=&amp;sa=0" TargetMode="External"/><Relationship Id="rId305" Type="http://schemas.openxmlformats.org/officeDocument/2006/relationships/hyperlink" Target="https://sciwheel.com/work/citation?ids=15144920&amp;pre=&amp;suf=&amp;sa=0" TargetMode="External"/><Relationship Id="rId512" Type="http://schemas.openxmlformats.org/officeDocument/2006/relationships/hyperlink" Target="https://sciwheel.com/work/citation?ids=15721318&amp;pre=&amp;suf=&amp;sa=0" TargetMode="External"/><Relationship Id="rId86" Type="http://schemas.openxmlformats.org/officeDocument/2006/relationships/hyperlink" Target="https://sciwheel.com/work/citation?ids=359635,1811167,1813537&amp;pre=&amp;pre=&amp;pre=&amp;suf=&amp;suf=&amp;suf=&amp;sa=0,0,0" TargetMode="External"/><Relationship Id="rId151" Type="http://schemas.openxmlformats.org/officeDocument/2006/relationships/hyperlink" Target="https://sciwheel.com/work/citation?ids=9673011&amp;pre=&amp;suf=&amp;sa=0" TargetMode="External"/><Relationship Id="rId389" Type="http://schemas.openxmlformats.org/officeDocument/2006/relationships/hyperlink" Target="https://sciwheel.com/work/citation?ids=3602475&amp;pre=&amp;suf=&amp;sa=0" TargetMode="External"/><Relationship Id="rId596" Type="http://schemas.openxmlformats.org/officeDocument/2006/relationships/header" Target="header6.xml"/><Relationship Id="rId817" Type="http://schemas.openxmlformats.org/officeDocument/2006/relationships/hyperlink" Target="https://sciwheel.com/work/citation?ids=8288307&amp;pre=&amp;suf=&amp;sa=0" TargetMode="External"/><Relationship Id="rId249" Type="http://schemas.openxmlformats.org/officeDocument/2006/relationships/hyperlink" Target="https://sciwheel.com/work/citation?ids=15655567&amp;pre=&amp;suf=&amp;sa=0" TargetMode="External"/><Relationship Id="rId456" Type="http://schemas.openxmlformats.org/officeDocument/2006/relationships/hyperlink" Target="https://sciwheel.com/work/citation?ids=16385074,16385075&amp;pre=&amp;pre=&amp;suf=&amp;suf=&amp;sa=0,0" TargetMode="External"/><Relationship Id="rId663" Type="http://schemas.openxmlformats.org/officeDocument/2006/relationships/hyperlink" Target="https://sciwheel.com/work/citation?ids=13823248&amp;pre=&amp;suf=&amp;sa=0" TargetMode="External"/><Relationship Id="rId870" Type="http://schemas.openxmlformats.org/officeDocument/2006/relationships/hyperlink" Target="mailto:byan6@sheffield.ac.uk" TargetMode="External"/><Relationship Id="rId13" Type="http://schemas.openxmlformats.org/officeDocument/2006/relationships/hyperlink" Target="https://sciwheel.com/work/citation?ids=15548297,2995838,8795174,5969644&amp;pre=&amp;pre=&amp;pre=&amp;pre=&amp;suf=&amp;suf=&amp;suf=&amp;suf=&amp;sa=0,0,0,0" TargetMode="External"/><Relationship Id="rId109" Type="http://schemas.openxmlformats.org/officeDocument/2006/relationships/hyperlink" Target="https://sciwheel.com/work/citation?ids=8924758&amp;pre=&amp;suf=&amp;sa=0" TargetMode="External"/><Relationship Id="rId316" Type="http://schemas.openxmlformats.org/officeDocument/2006/relationships/hyperlink" Target="https://sciwheel.com/work/citation?ids=1812051,7430352,13823248,6477132&amp;pre=&amp;pre=&amp;pre=&amp;pre=&amp;suf=&amp;suf=&amp;suf=&amp;suf=&amp;sa=0,0,0,0" TargetMode="External"/><Relationship Id="rId523" Type="http://schemas.openxmlformats.org/officeDocument/2006/relationships/hyperlink" Target="https://sciwheel.com/work/citation?ids=16096124,11378611&amp;pre=&amp;pre=&amp;suf=&amp;suf=&amp;sa=0,0" TargetMode="External"/><Relationship Id="rId97" Type="http://schemas.openxmlformats.org/officeDocument/2006/relationships/hyperlink" Target="https://sciwheel.com/work/citation?ids=16555243&amp;pre=&amp;suf=&amp;sa=0" TargetMode="External"/><Relationship Id="rId730" Type="http://schemas.openxmlformats.org/officeDocument/2006/relationships/hyperlink" Target="https://sciwheel.com/work/citation?ids=15145267,3580106,1812051&amp;pre=&amp;pre=&amp;pre=&amp;suf=&amp;suf=&amp;suf=&amp;sa=0,0,0" TargetMode="External"/><Relationship Id="rId828" Type="http://schemas.openxmlformats.org/officeDocument/2006/relationships/hyperlink" Target="https://doi.org/10.1017/S1368980010003034" TargetMode="External"/><Relationship Id="rId162" Type="http://schemas.openxmlformats.org/officeDocument/2006/relationships/hyperlink" Target="https://sciwheel.com/work/citation?ids=7243376&amp;pre=&amp;suf=&amp;sa=0" TargetMode="External"/><Relationship Id="rId467" Type="http://schemas.openxmlformats.org/officeDocument/2006/relationships/hyperlink" Target="https://sciwheel.com/work/citation?ids=1168869&amp;pre=&amp;suf=&amp;sa=0" TargetMode="External"/><Relationship Id="rId674" Type="http://schemas.openxmlformats.org/officeDocument/2006/relationships/hyperlink" Target="https://sciwheel.com/work/citation?ids=858910&amp;pre=&amp;suf=&amp;sa=0" TargetMode="External"/><Relationship Id="rId881" Type="http://schemas.openxmlformats.org/officeDocument/2006/relationships/hyperlink" Target="https://www.sheffield.ac.uk/govern/data-protection/privacy/general" TargetMode="External"/><Relationship Id="rId24" Type="http://schemas.openxmlformats.org/officeDocument/2006/relationships/image" Target="media/image2.png"/><Relationship Id="rId327" Type="http://schemas.openxmlformats.org/officeDocument/2006/relationships/hyperlink" Target="https://sciwheel.com/work/citation?ids=10481049&amp;pre=&amp;suf=&amp;sa=0" TargetMode="External"/><Relationship Id="rId534" Type="http://schemas.openxmlformats.org/officeDocument/2006/relationships/hyperlink" Target="https://sciwheel.com/work/citation?ids=3580247&amp;pre=&amp;suf=&amp;sa=0" TargetMode="External"/><Relationship Id="rId741" Type="http://schemas.openxmlformats.org/officeDocument/2006/relationships/hyperlink" Target="https://sciwheel.com/work/citation?ids=3602475&amp;pre=&amp;suf=&amp;sa=0" TargetMode="External"/><Relationship Id="rId839" Type="http://schemas.openxmlformats.org/officeDocument/2006/relationships/hyperlink" Target="mailto:psy-hod@sheffield.ac.uk" TargetMode="External"/><Relationship Id="rId173" Type="http://schemas.openxmlformats.org/officeDocument/2006/relationships/hyperlink" Target="https://sciwheel.com/work/citation?ids=6744545&amp;pre=&amp;suf=&amp;sa=0" TargetMode="External"/><Relationship Id="rId380" Type="http://schemas.openxmlformats.org/officeDocument/2006/relationships/hyperlink" Target="https://sciwheel.com/work/citation?ids=10878448&amp;pre=&amp;suf=&amp;sa=0" TargetMode="External"/><Relationship Id="rId601" Type="http://schemas.openxmlformats.org/officeDocument/2006/relationships/hyperlink" Target="https://sciwheel.com/work/citation?ids=16201479,16201481&amp;pre=&amp;pre=&amp;suf=&amp;suf=&amp;sa=0,0" TargetMode="External"/><Relationship Id="rId240" Type="http://schemas.openxmlformats.org/officeDocument/2006/relationships/hyperlink" Target="https://sciwheel.com/work/citation?ids=10481056&amp;pre=&amp;suf=&amp;sa=0" TargetMode="External"/><Relationship Id="rId478" Type="http://schemas.openxmlformats.org/officeDocument/2006/relationships/hyperlink" Target="https://sciwheel.com/work/citation?ids=7430353&amp;pre=&amp;suf=&amp;sa=0" TargetMode="External"/><Relationship Id="rId685" Type="http://schemas.openxmlformats.org/officeDocument/2006/relationships/hyperlink" Target="https://sciwheel.com/work/citation?ids=15928129,1813511,3785572&amp;pre=&amp;pre=&amp;pre=&amp;suf=&amp;suf=&amp;suf=&amp;sa=0,0,0" TargetMode="External"/><Relationship Id="rId35" Type="http://schemas.openxmlformats.org/officeDocument/2006/relationships/hyperlink" Target="https://sciwheel.com/work/citation?ids=891770&amp;pre=&amp;suf=&amp;sa=0" TargetMode="External"/><Relationship Id="rId100" Type="http://schemas.openxmlformats.org/officeDocument/2006/relationships/hyperlink" Target="https://sciwheel.com/work/citation?ids=7087431,7758844&amp;pre=&amp;pre=&amp;suf=&amp;suf=&amp;sa=0,0" TargetMode="External"/><Relationship Id="rId338" Type="http://schemas.openxmlformats.org/officeDocument/2006/relationships/hyperlink" Target="https://sciwheel.com/work/citation?ids=13823248&amp;pre=&amp;suf=&amp;sa=0" TargetMode="External"/><Relationship Id="rId545" Type="http://schemas.openxmlformats.org/officeDocument/2006/relationships/hyperlink" Target="https://sciwheel.com/work/citation?ids=8297111&amp;pre=&amp;suf=&amp;sa=0" TargetMode="External"/><Relationship Id="rId752" Type="http://schemas.openxmlformats.org/officeDocument/2006/relationships/hyperlink" Target="https://sciwheel.com/work/citation?ids=7243376&amp;pre=&amp;suf=&amp;sa=0" TargetMode="External"/><Relationship Id="rId184" Type="http://schemas.openxmlformats.org/officeDocument/2006/relationships/hyperlink" Target="https://sciwheel.com/work/citation?ids=13825517,5342623&amp;pre=&amp;pre=&amp;suf=&amp;suf=&amp;sa=0,0" TargetMode="External"/><Relationship Id="rId391" Type="http://schemas.openxmlformats.org/officeDocument/2006/relationships/hyperlink" Target="https://sciwheel.com/work/citation?ids=15859056&amp;pre=&amp;suf=&amp;sa=0" TargetMode="External"/><Relationship Id="rId405" Type="http://schemas.openxmlformats.org/officeDocument/2006/relationships/hyperlink" Target="https://sciwheel.com/work/citation?ids=16192080&amp;pre=&amp;suf=&amp;sa=0" TargetMode="External"/><Relationship Id="rId612" Type="http://schemas.openxmlformats.org/officeDocument/2006/relationships/hyperlink" Target="https://sciwheel.com/work/citation?ids=4435229&amp;pre=&amp;suf=&amp;sa=0" TargetMode="External"/><Relationship Id="rId251" Type="http://schemas.openxmlformats.org/officeDocument/2006/relationships/hyperlink" Target="https://sciwheel.com/work/citation?ids=2590263&amp;pre=&amp;suf=&amp;sa=0" TargetMode="External"/><Relationship Id="rId489" Type="http://schemas.openxmlformats.org/officeDocument/2006/relationships/hyperlink" Target="https://sciwheel.com/work/citation?ids=15868205&amp;pre=&amp;suf=&amp;sa=0" TargetMode="External"/><Relationship Id="rId696" Type="http://schemas.openxmlformats.org/officeDocument/2006/relationships/hyperlink" Target="https://sciwheel.com/work/citation?ids=13639033,7243251,1813248&amp;pre=&amp;pre=&amp;pre=&amp;suf=&amp;suf=&amp;suf=&amp;sa=0,0,0" TargetMode="External"/><Relationship Id="rId46" Type="http://schemas.openxmlformats.org/officeDocument/2006/relationships/hyperlink" Target="https://sciwheel.com/work/citation?ids=12853981,269747&amp;pre=&amp;pre=&amp;suf=&amp;suf=&amp;sa=0,0" TargetMode="External"/><Relationship Id="rId349" Type="http://schemas.openxmlformats.org/officeDocument/2006/relationships/hyperlink" Target="https://sciwheel.com/work/citation?ids=645993,16356584&amp;pre=&amp;pre=&amp;suf=&amp;suf=&amp;sa=0,0" TargetMode="External"/><Relationship Id="rId556" Type="http://schemas.openxmlformats.org/officeDocument/2006/relationships/hyperlink" Target="https://sciwheel.com/work/citation?ids=12174661&amp;pre=&amp;suf=&amp;sa=0" TargetMode="External"/><Relationship Id="rId763" Type="http://schemas.openxmlformats.org/officeDocument/2006/relationships/hyperlink" Target="https://sciwheel.com/work/citation?ids=7941915,8051325,1813538,8666463&amp;pre=&amp;pre=&amp;pre=&amp;pre=&amp;suf=&amp;suf=&amp;suf=&amp;suf=&amp;sa=0,0,0,0" TargetMode="External"/><Relationship Id="rId111" Type="http://schemas.openxmlformats.org/officeDocument/2006/relationships/hyperlink" Target="https://sciwheel.com/work/citation?ids=6478882,8575617,8289398,15613181,8292429&amp;pre=&amp;pre=&amp;pre=&amp;pre=&amp;pre=&amp;suf=&amp;suf=&amp;suf=&amp;suf=&amp;suf=&amp;sa=0,0,0,0,0" TargetMode="External"/><Relationship Id="rId195" Type="http://schemas.openxmlformats.org/officeDocument/2006/relationships/hyperlink" Target="https://sciwheel.com/work/citation?ids=12650898&amp;pre=&amp;suf=&amp;sa=0" TargetMode="External"/><Relationship Id="rId209" Type="http://schemas.openxmlformats.org/officeDocument/2006/relationships/hyperlink" Target="https://sciwheel.com/work/citation?ids=817877&amp;pre=&amp;suf=&amp;sa=0" TargetMode="External"/><Relationship Id="rId416" Type="http://schemas.openxmlformats.org/officeDocument/2006/relationships/hyperlink" Target="https://sciwheel.com/work/citation?ids=15714589&amp;pre=&amp;suf=&amp;sa=0" TargetMode="External"/><Relationship Id="rId623" Type="http://schemas.openxmlformats.org/officeDocument/2006/relationships/hyperlink" Target="https://sciwheel.com/work/citation?ids=15656654,2992963,1812051,15145267&amp;pre=&amp;pre=&amp;pre=&amp;pre=&amp;suf=&amp;suf=&amp;suf=&amp;suf=&amp;sa=0,0,0,0" TargetMode="External"/><Relationship Id="rId830" Type="http://schemas.openxmlformats.org/officeDocument/2006/relationships/hyperlink" Target="https://doi.org/10.1093/aje/kwn047" TargetMode="External"/><Relationship Id="rId57" Type="http://schemas.openxmlformats.org/officeDocument/2006/relationships/hyperlink" Target="https://sciwheel.com/work/citation?ids=2603742&amp;pre=&amp;suf=&amp;sa=0" TargetMode="External"/><Relationship Id="rId262" Type="http://schemas.openxmlformats.org/officeDocument/2006/relationships/hyperlink" Target="https://sciwheel.com/work/citation?ids=15144920&amp;pre=&amp;suf=&amp;sa=0" TargetMode="External"/><Relationship Id="rId567" Type="http://schemas.openxmlformats.org/officeDocument/2006/relationships/hyperlink" Target="https://sciwheel.com/work/citation?ids=16218672&amp;pre=&amp;suf=&amp;sa=0" TargetMode="External"/><Relationship Id="rId99" Type="http://schemas.openxmlformats.org/officeDocument/2006/relationships/hyperlink" Target="https://sciwheel.com/work/citation?ids=16327445&amp;pre=&amp;suf=&amp;sa=0" TargetMode="External"/><Relationship Id="rId122" Type="http://schemas.openxmlformats.org/officeDocument/2006/relationships/hyperlink" Target="https://sciwheel.com/work/citation?ids=8289571&amp;pre=&amp;suf=&amp;sa=0" TargetMode="External"/><Relationship Id="rId164" Type="http://schemas.openxmlformats.org/officeDocument/2006/relationships/hyperlink" Target="https://sciwheel.com/work/citation?ids=1813761,16342273,1810538&amp;pre=&amp;pre=&amp;pre=&amp;suf=&amp;suf=&amp;suf=&amp;sa=0,0,0" TargetMode="External"/><Relationship Id="rId371" Type="http://schemas.openxmlformats.org/officeDocument/2006/relationships/hyperlink" Target="https://sciwheel.com/work/citation?ids=5001360&amp;pre=&amp;suf=&amp;sa=0" TargetMode="External"/><Relationship Id="rId774" Type="http://schemas.openxmlformats.org/officeDocument/2006/relationships/hyperlink" Target="https://sciwheel.com/work/citation?ids=5666567,7012368&amp;pre=&amp;pre=&amp;suf=&amp;suf=&amp;sa=0,0" TargetMode="External"/><Relationship Id="rId427" Type="http://schemas.openxmlformats.org/officeDocument/2006/relationships/hyperlink" Target="https://sciwheel.com/work/citation?ids=15718521&amp;pre=&amp;suf=&amp;sa=0" TargetMode="External"/><Relationship Id="rId469" Type="http://schemas.openxmlformats.org/officeDocument/2006/relationships/hyperlink" Target="https://sciwheel.com/work/citation?ids=15144920,3580106,8297111,8289909&amp;pre=&amp;pre=&amp;pre=&amp;pre=&amp;suf=&amp;suf=&amp;suf=&amp;suf=&amp;sa=0,0,0,0" TargetMode="External"/><Relationship Id="rId634" Type="http://schemas.openxmlformats.org/officeDocument/2006/relationships/hyperlink" Target="https://sciwheel.com/work/citation?ids=7431247&amp;pre=&amp;suf=&amp;sa=0" TargetMode="External"/><Relationship Id="rId676" Type="http://schemas.openxmlformats.org/officeDocument/2006/relationships/hyperlink" Target="https://osf.io/my2k9/" TargetMode="External"/><Relationship Id="rId841" Type="http://schemas.openxmlformats.org/officeDocument/2006/relationships/hyperlink" Target="mailto:byan6@sheffield.ac.uk" TargetMode="External"/><Relationship Id="rId883" Type="http://schemas.openxmlformats.org/officeDocument/2006/relationships/hyperlink" Target="mailto:N.buckland@sheffield.ac.uk" TargetMode="External"/><Relationship Id="rId26" Type="http://schemas.openxmlformats.org/officeDocument/2006/relationships/hyperlink" Target="https://sciwheel.com/work/citation?ids=1266417,568365,8667966,14220906&amp;pre=&amp;pre=&amp;pre=&amp;pre=&amp;suf=&amp;suf=&amp;suf=&amp;suf=&amp;sa=0,0,0,0" TargetMode="External"/><Relationship Id="rId231" Type="http://schemas.openxmlformats.org/officeDocument/2006/relationships/hyperlink" Target="https://sciwheel.com/work/citation?ids=16537118&amp;pre=&amp;suf=&amp;sa=0" TargetMode="External"/><Relationship Id="rId273" Type="http://schemas.openxmlformats.org/officeDocument/2006/relationships/hyperlink" Target="https://sciwheel.com/work/citation?ids=10552444&amp;pre=&amp;suf=&amp;sa=0" TargetMode="External"/><Relationship Id="rId329" Type="http://schemas.openxmlformats.org/officeDocument/2006/relationships/hyperlink" Target="https://sciwheel.com/work/citation?ids=15144920,15654934,15655567,15150196,8289909,13605504,10552444&amp;pre=&amp;pre=&amp;pre=&amp;pre=&amp;pre=&amp;pre=&amp;pre=&amp;suf=&amp;suf=&amp;suf=&amp;suf=&amp;suf=&amp;suf=&amp;suf=&amp;sa=0,0,0,0,0,0,0" TargetMode="External"/><Relationship Id="rId480" Type="http://schemas.openxmlformats.org/officeDocument/2006/relationships/hyperlink" Target="https://sciwheel.com/work/citation?ids=16358840,6195586&amp;pre=&amp;pre=&amp;suf=&amp;suf=&amp;sa=0,0" TargetMode="External"/><Relationship Id="rId536" Type="http://schemas.openxmlformats.org/officeDocument/2006/relationships/hyperlink" Target="https://sciwheel.com/work/citation?ids=16096168&amp;pre=&amp;suf=&amp;sa=0" TargetMode="External"/><Relationship Id="rId701" Type="http://schemas.openxmlformats.org/officeDocument/2006/relationships/hyperlink" Target="https://sciwheel.com/work/citation?ids=8288777&amp;pre=&amp;suf=&amp;sa=0" TargetMode="External"/><Relationship Id="rId68" Type="http://schemas.openxmlformats.org/officeDocument/2006/relationships/hyperlink" Target="https://sciwheel.com/work/citation?ids=8161676&amp;pre=&amp;suf=&amp;sa=0" TargetMode="External"/><Relationship Id="rId133" Type="http://schemas.openxmlformats.org/officeDocument/2006/relationships/hyperlink" Target="https://sciwheel.com/work/citation?ids=2589929&amp;pre=&amp;suf=&amp;sa=0" TargetMode="External"/><Relationship Id="rId175" Type="http://schemas.openxmlformats.org/officeDocument/2006/relationships/hyperlink" Target="https://sciwheel.com/work/citation?ids=15714617,16342474&amp;pre=&amp;pre=&amp;suf=&amp;suf=&amp;sa=0,0" TargetMode="External"/><Relationship Id="rId340" Type="http://schemas.openxmlformats.org/officeDocument/2006/relationships/hyperlink" Target="https://sciwheel.com/work/citation?ids=12106732&amp;pre=&amp;suf=&amp;sa=0" TargetMode="External"/><Relationship Id="rId578" Type="http://schemas.openxmlformats.org/officeDocument/2006/relationships/hyperlink" Target="https://sciwheel.com/work/citation?ids=8288990&amp;pre=&amp;suf=&amp;sa=0" TargetMode="External"/><Relationship Id="rId743" Type="http://schemas.openxmlformats.org/officeDocument/2006/relationships/hyperlink" Target="https://sciwheel.com/work/citation?ids=10859976,4385365,10878448&amp;pre=&amp;pre=&amp;pre=&amp;suf=&amp;suf=&amp;suf=&amp;sa=0,0,0" TargetMode="External"/><Relationship Id="rId785" Type="http://schemas.openxmlformats.org/officeDocument/2006/relationships/hyperlink" Target="https://sciwheel.com/work/citation?ids=858910&amp;pre=&amp;suf=&amp;sa=0" TargetMode="External"/><Relationship Id="rId200" Type="http://schemas.openxmlformats.org/officeDocument/2006/relationships/hyperlink" Target="https://sciwheel.com/work/citation?ids=11349775&amp;pre=&amp;suf=&amp;sa=0" TargetMode="External"/><Relationship Id="rId382" Type="http://schemas.openxmlformats.org/officeDocument/2006/relationships/hyperlink" Target="https://sciwheel.com/work/citation?ids=13470709&amp;pre=&amp;suf=&amp;sa=0" TargetMode="External"/><Relationship Id="rId438" Type="http://schemas.openxmlformats.org/officeDocument/2006/relationships/hyperlink" Target="https://sciwheel.com/work/citation?ids=7097171,3611968&amp;pre=&amp;pre=&amp;suf=&amp;suf=&amp;sa=0,0" TargetMode="External"/><Relationship Id="rId603" Type="http://schemas.openxmlformats.org/officeDocument/2006/relationships/hyperlink" Target="https://sciwheel.com/work/citation?ids=15656570&amp;pre=&amp;suf=&amp;sa=0" TargetMode="External"/><Relationship Id="rId645" Type="http://schemas.openxmlformats.org/officeDocument/2006/relationships/hyperlink" Target="https://sciwheel.com/work/citation?ids=16121779&amp;pre=&amp;suf=&amp;sa=0" TargetMode="External"/><Relationship Id="rId687" Type="http://schemas.openxmlformats.org/officeDocument/2006/relationships/hyperlink" Target="https://sciwheel.com/work/citation?ids=7896928,16127490&amp;pre=&amp;pre=&amp;suf=&amp;suf=&amp;sa=0,0" TargetMode="External"/><Relationship Id="rId810" Type="http://schemas.openxmlformats.org/officeDocument/2006/relationships/hyperlink" Target="https://sciwheel.com/work/citation?ids=4563112,13742116&amp;pre=&amp;pre=&amp;suf=&amp;suf=&amp;sa=0,0" TargetMode="External"/><Relationship Id="rId852" Type="http://schemas.openxmlformats.org/officeDocument/2006/relationships/hyperlink" Target="https://www.sheffield.ac.uk/govern/data-protection/privacy/general" TargetMode="External"/><Relationship Id="rId242" Type="http://schemas.openxmlformats.org/officeDocument/2006/relationships/hyperlink" Target="https://sciwheel.com/work/citation?ids=8289909&amp;pre=&amp;suf=&amp;sa=0" TargetMode="External"/><Relationship Id="rId284" Type="http://schemas.openxmlformats.org/officeDocument/2006/relationships/hyperlink" Target="https://sciwheel.com/work/citation?ids=2590263&amp;pre=&amp;suf=&amp;sa=0" TargetMode="External"/><Relationship Id="rId491" Type="http://schemas.openxmlformats.org/officeDocument/2006/relationships/hyperlink" Target="https://sciwheel.com/work/citation?ids=15868208&amp;pre=&amp;suf=&amp;sa=0" TargetMode="External"/><Relationship Id="rId505" Type="http://schemas.openxmlformats.org/officeDocument/2006/relationships/hyperlink" Target="https://sciwheel.com/work/citation?ids=12174658&amp;pre=&amp;suf=&amp;sa=0" TargetMode="External"/><Relationship Id="rId712" Type="http://schemas.openxmlformats.org/officeDocument/2006/relationships/hyperlink" Target="https://sciwheel.com/work/citation?ids=10878448&amp;pre=&amp;suf=&amp;sa=0" TargetMode="External"/><Relationship Id="rId37" Type="http://schemas.openxmlformats.org/officeDocument/2006/relationships/hyperlink" Target="https://sciwheel.com/work/citation?ids=9283343&amp;pre=&amp;suf=&amp;sa=0" TargetMode="External"/><Relationship Id="rId79" Type="http://schemas.openxmlformats.org/officeDocument/2006/relationships/hyperlink" Target="https://sciwheel.com/work/citation?ids=15636441&amp;pre=&amp;suf=&amp;sa=0" TargetMode="External"/><Relationship Id="rId102" Type="http://schemas.openxmlformats.org/officeDocument/2006/relationships/image" Target="media/image3.png"/><Relationship Id="rId144" Type="http://schemas.openxmlformats.org/officeDocument/2006/relationships/hyperlink" Target="https://sciwheel.com/work/citation?ids=7766433,15614211&amp;pre=&amp;pre=&amp;suf=&amp;suf=&amp;sa=0,0" TargetMode="External"/><Relationship Id="rId547" Type="http://schemas.openxmlformats.org/officeDocument/2006/relationships/hyperlink" Target="https://sciwheel.com/work/citation?ids=13743696&amp;pre=&amp;suf=&amp;sa=0" TargetMode="External"/><Relationship Id="rId589" Type="http://schemas.openxmlformats.org/officeDocument/2006/relationships/hyperlink" Target="https://sciwheel.com/work/citation?ids=12665846&amp;pre=&amp;suf=&amp;sa=0" TargetMode="External"/><Relationship Id="rId754" Type="http://schemas.openxmlformats.org/officeDocument/2006/relationships/hyperlink" Target="https://sciwheel.com/work/citation?ids=15721318&amp;pre=&amp;suf=&amp;sa=0" TargetMode="External"/><Relationship Id="rId796" Type="http://schemas.openxmlformats.org/officeDocument/2006/relationships/hyperlink" Target="https://sciwheel.com/work/citation?ids=7441276&amp;pre=&amp;suf=&amp;sa=0" TargetMode="External"/><Relationship Id="rId90" Type="http://schemas.openxmlformats.org/officeDocument/2006/relationships/hyperlink" Target="https://sciwheel.com/work/citation?ids=5975206&amp;pre=&amp;suf=&amp;sa=0" TargetMode="External"/><Relationship Id="rId186" Type="http://schemas.openxmlformats.org/officeDocument/2006/relationships/hyperlink" Target="https://sciwheel.com/work/citation?ids=14740479&amp;pre=&amp;suf=&amp;sa=0" TargetMode="External"/><Relationship Id="rId351" Type="http://schemas.openxmlformats.org/officeDocument/2006/relationships/hyperlink" Target="https://sciwheel.com/work/citation?ids=894779&amp;pre=&amp;suf=&amp;sa=0" TargetMode="External"/><Relationship Id="rId393" Type="http://schemas.openxmlformats.org/officeDocument/2006/relationships/hyperlink" Target="https://sciwheel.com/work/citation?ids=16378608&amp;pre=&amp;suf=&amp;sa=0" TargetMode="External"/><Relationship Id="rId407" Type="http://schemas.openxmlformats.org/officeDocument/2006/relationships/hyperlink" Target="https://sciwheel.com/work/citation?ids=7547403&amp;pre=&amp;suf=&amp;sa=0" TargetMode="External"/><Relationship Id="rId449" Type="http://schemas.openxmlformats.org/officeDocument/2006/relationships/hyperlink" Target="https://sciwheel.com/work/citation?ids=15747358&amp;pre=&amp;suf=&amp;sa=0" TargetMode="External"/><Relationship Id="rId614" Type="http://schemas.openxmlformats.org/officeDocument/2006/relationships/hyperlink" Target="https://sciwheel.com/work/citation?ids=8292333&amp;pre=&amp;suf=&amp;sa=0" TargetMode="External"/><Relationship Id="rId656" Type="http://schemas.openxmlformats.org/officeDocument/2006/relationships/hyperlink" Target="https://sciwheel.com/work/citation?ids=1168869&amp;pre=&amp;suf=&amp;sa=0" TargetMode="External"/><Relationship Id="rId821" Type="http://schemas.openxmlformats.org/officeDocument/2006/relationships/hyperlink" Target="https://doi.org/10.1017/S0007114517002549" TargetMode="External"/><Relationship Id="rId863" Type="http://schemas.openxmlformats.org/officeDocument/2006/relationships/hyperlink" Target="https://www.sheffield.ac.uk/govern/data-protection/privacy/general" TargetMode="External"/><Relationship Id="rId211" Type="http://schemas.openxmlformats.org/officeDocument/2006/relationships/image" Target="media/image4.png"/><Relationship Id="rId253" Type="http://schemas.openxmlformats.org/officeDocument/2006/relationships/hyperlink" Target="https://sciwheel.com/work/citation?ids=16541078&amp;pre=&amp;suf=&amp;sa=0" TargetMode="External"/><Relationship Id="rId295" Type="http://schemas.openxmlformats.org/officeDocument/2006/relationships/hyperlink" Target="https://sciwheel.com/work/citation?ids=8098926&amp;pre=&amp;suf=&amp;sa=0" TargetMode="External"/><Relationship Id="rId309" Type="http://schemas.openxmlformats.org/officeDocument/2006/relationships/hyperlink" Target="https://sciwheel.com/work/citation?ids=10819518&amp;pre=&amp;suf=&amp;sa=0" TargetMode="External"/><Relationship Id="rId460" Type="http://schemas.openxmlformats.org/officeDocument/2006/relationships/hyperlink" Target="https://sciwheel.com/work/citation?ids=2379466&amp;pre=&amp;suf=&amp;sa=0" TargetMode="External"/><Relationship Id="rId516" Type="http://schemas.openxmlformats.org/officeDocument/2006/relationships/hyperlink" Target="https://sciwheel.com/work/citation?ids=10878448,15268236&amp;pre=&amp;pre=&amp;suf=&amp;suf=&amp;sa=0,0" TargetMode="External"/><Relationship Id="rId698" Type="http://schemas.openxmlformats.org/officeDocument/2006/relationships/hyperlink" Target="https://sciwheel.com/work/citation?ids=865632&amp;pre=&amp;suf=&amp;sa=0" TargetMode="External"/><Relationship Id="rId48" Type="http://schemas.openxmlformats.org/officeDocument/2006/relationships/hyperlink" Target="https://sciwheel.com/work/citation?ids=16323622&amp;pre=&amp;suf=&amp;sa=0" TargetMode="External"/><Relationship Id="rId113" Type="http://schemas.openxmlformats.org/officeDocument/2006/relationships/hyperlink" Target="https://sciwheel.com/work/citation?ids=9486351&amp;pre=&amp;suf=&amp;sa=0" TargetMode="External"/><Relationship Id="rId320" Type="http://schemas.openxmlformats.org/officeDocument/2006/relationships/hyperlink" Target="https://sciwheel.com/work/citation?ids=15145267&amp;pre=&amp;suf=&amp;sa=0" TargetMode="External"/><Relationship Id="rId558" Type="http://schemas.openxmlformats.org/officeDocument/2006/relationships/hyperlink" Target="https://sciwheel.com/work/citation?ids=15153259&amp;pre=&amp;suf=&amp;sa=0" TargetMode="External"/><Relationship Id="rId723" Type="http://schemas.openxmlformats.org/officeDocument/2006/relationships/hyperlink" Target="https://sciwheel.com/work/citation?ids=5159212&amp;pre=&amp;suf=&amp;sa=0" TargetMode="External"/><Relationship Id="rId765" Type="http://schemas.openxmlformats.org/officeDocument/2006/relationships/hyperlink" Target="https://sciwheel.com/work/citation?ids=15906429,1813538&amp;pre=&amp;pre=&amp;suf=&amp;suf=&amp;sa=0,0" TargetMode="External"/><Relationship Id="rId155" Type="http://schemas.openxmlformats.org/officeDocument/2006/relationships/hyperlink" Target="https://sciwheel.com/work/citation?ids=8521447,11129699,2631840&amp;pre=&amp;pre=&amp;pre=&amp;suf=&amp;suf=&amp;suf=&amp;sa=0,0,0" TargetMode="External"/><Relationship Id="rId197" Type="http://schemas.openxmlformats.org/officeDocument/2006/relationships/hyperlink" Target="https://sciwheel.com/work/citation?ids=16342268,8215866,13439428,13439791&amp;pre=&amp;pre=&amp;pre=&amp;pre=&amp;suf=&amp;suf=&amp;suf=&amp;suf=&amp;sa=0,0,0,0" TargetMode="External"/><Relationship Id="rId362" Type="http://schemas.openxmlformats.org/officeDocument/2006/relationships/header" Target="header3.xml"/><Relationship Id="rId418" Type="http://schemas.openxmlformats.org/officeDocument/2006/relationships/hyperlink" Target="https://sciwheel.com/work/citation?ids=7281404&amp;pre=&amp;suf=&amp;sa=0" TargetMode="External"/><Relationship Id="rId625" Type="http://schemas.openxmlformats.org/officeDocument/2006/relationships/hyperlink" Target="https://sciwheel.com/work/citation?ids=15144920&amp;pre=&amp;suf=&amp;sa=0" TargetMode="External"/><Relationship Id="rId832" Type="http://schemas.openxmlformats.org/officeDocument/2006/relationships/hyperlink" Target="https://doi.org/10.1111/dme.13081" TargetMode="External"/><Relationship Id="rId222" Type="http://schemas.openxmlformats.org/officeDocument/2006/relationships/hyperlink" Target="https://sciwheel.com/work/citation?ids=10481033&amp;pre=&amp;suf=&amp;sa=0" TargetMode="External"/><Relationship Id="rId264" Type="http://schemas.openxmlformats.org/officeDocument/2006/relationships/hyperlink" Target="https://sciwheel.com/work/citation?ids=12174661&amp;pre=&amp;suf=&amp;sa=0" TargetMode="External"/><Relationship Id="rId471" Type="http://schemas.openxmlformats.org/officeDocument/2006/relationships/hyperlink" Target="https://sciwheel.com/work/citation?ids=15144920,3580106,8297111,8289909&amp;pre=&amp;pre=&amp;pre=&amp;pre=&amp;suf=&amp;suf=&amp;suf=&amp;suf=&amp;sa=0,0,0,0" TargetMode="External"/><Relationship Id="rId667" Type="http://schemas.openxmlformats.org/officeDocument/2006/relationships/hyperlink" Target="https://sciwheel.com/work/citation?ids=7978838&amp;pre=&amp;suf=&amp;sa=0" TargetMode="External"/><Relationship Id="rId874" Type="http://schemas.openxmlformats.org/officeDocument/2006/relationships/hyperlink" Target="https://www.nia.nih.gov/" TargetMode="External"/><Relationship Id="rId17" Type="http://schemas.openxmlformats.org/officeDocument/2006/relationships/hyperlink" Target="https://sciwheel.com/work/citation?ids=15548553&amp;pre=&amp;suf=&amp;sa=0" TargetMode="External"/><Relationship Id="rId59" Type="http://schemas.openxmlformats.org/officeDocument/2006/relationships/hyperlink" Target="https://sciwheel.com/work/citation?ids=15625389&amp;pre=&amp;suf=&amp;sa=0" TargetMode="External"/><Relationship Id="rId124" Type="http://schemas.openxmlformats.org/officeDocument/2006/relationships/hyperlink" Target="https://sciwheel.com/work/citation?ids=5662287&amp;pre=&amp;suf=&amp;sa=0" TargetMode="External"/><Relationship Id="rId527" Type="http://schemas.openxmlformats.org/officeDocument/2006/relationships/hyperlink" Target="https://sciwheel.com/work/citation?ids=1810616&amp;pre=&amp;suf=&amp;sa=0" TargetMode="External"/><Relationship Id="rId569" Type="http://schemas.openxmlformats.org/officeDocument/2006/relationships/hyperlink" Target="https://sciwheel.com/work/citation?ids=13725561&amp;pre=&amp;suf=&amp;sa=0" TargetMode="External"/><Relationship Id="rId734" Type="http://schemas.openxmlformats.org/officeDocument/2006/relationships/hyperlink" Target="https://sciwheel.com/work/citation?ids=11756739,9851514&amp;pre=&amp;pre=&amp;suf=&amp;suf=&amp;sa=0,0" TargetMode="External"/><Relationship Id="rId776" Type="http://schemas.openxmlformats.org/officeDocument/2006/relationships/hyperlink" Target="https://sciwheel.com/work/citation?ids=10208160&amp;pre=&amp;suf=&amp;sa=0" TargetMode="External"/><Relationship Id="rId70" Type="http://schemas.openxmlformats.org/officeDocument/2006/relationships/hyperlink" Target="https://sciwheel.com/work/citation?ids=1153543&amp;pre=&amp;suf=&amp;sa=0" TargetMode="External"/><Relationship Id="rId166" Type="http://schemas.openxmlformats.org/officeDocument/2006/relationships/hyperlink" Target="https://sciwheel.com/work/citation?ids=1810538&amp;pre=&amp;suf=&amp;sa=0" TargetMode="External"/><Relationship Id="rId331" Type="http://schemas.openxmlformats.org/officeDocument/2006/relationships/hyperlink" Target="https://sciwheel.com/work/citation?ids=10878448,2704393&amp;pre=&amp;pre=&amp;suf=&amp;suf=&amp;sa=0,0" TargetMode="External"/><Relationship Id="rId373" Type="http://schemas.openxmlformats.org/officeDocument/2006/relationships/hyperlink" Target="https://sciwheel.com/work/citation?ids=5053693&amp;pre=&amp;suf=&amp;sa=0" TargetMode="External"/><Relationship Id="rId429" Type="http://schemas.openxmlformats.org/officeDocument/2006/relationships/hyperlink" Target="https://sciwheel.com/work/citation?ids=15721318&amp;pre=&amp;suf=&amp;sa=0" TargetMode="External"/><Relationship Id="rId580" Type="http://schemas.openxmlformats.org/officeDocument/2006/relationships/hyperlink" Target="https://sciwheel.com/work/citation?ids=3957067,9811584,7087058&amp;pre=&amp;pre=&amp;pre=&amp;suf=&amp;suf=&amp;suf=&amp;sa=0,0,0" TargetMode="External"/><Relationship Id="rId636" Type="http://schemas.openxmlformats.org/officeDocument/2006/relationships/hyperlink" Target="https://sciwheel.com/work/citation?ids=858910&amp;pre=&amp;suf=&amp;sa=0" TargetMode="External"/><Relationship Id="rId801" Type="http://schemas.openxmlformats.org/officeDocument/2006/relationships/hyperlink" Target="https://sciwheel.com/work/citation?ids=9171675,16514105&amp;pre=&amp;pre=&amp;suf=&amp;suf=&amp;sa=0,0" TargetMode="External"/><Relationship Id="rId1" Type="http://schemas.openxmlformats.org/officeDocument/2006/relationships/customXml" Target="../customXml/item1.xml"/><Relationship Id="rId233" Type="http://schemas.openxmlformats.org/officeDocument/2006/relationships/hyperlink" Target="https://sciwheel.com/work/citation?ids=13453408&amp;pre=&amp;suf=&amp;sa=0" TargetMode="External"/><Relationship Id="rId440" Type="http://schemas.openxmlformats.org/officeDocument/2006/relationships/hyperlink" Target="https://sciwheel.com/work/citation?ids=5001360&amp;pre=&amp;suf=&amp;sa=0" TargetMode="External"/><Relationship Id="rId678" Type="http://schemas.openxmlformats.org/officeDocument/2006/relationships/hyperlink" Target="https://sciwheel.com/work/citation?ids=5053693&amp;pre=&amp;suf=&amp;sa=0" TargetMode="External"/><Relationship Id="rId843" Type="http://schemas.openxmlformats.org/officeDocument/2006/relationships/hyperlink" Target="mailto:psy-hod@sheffield.ac.uk" TargetMode="External"/><Relationship Id="rId885" Type="http://schemas.openxmlformats.org/officeDocument/2006/relationships/hyperlink" Target="mailto:byan6@sheffield.ac.uk" TargetMode="External"/><Relationship Id="rId28" Type="http://schemas.openxmlformats.org/officeDocument/2006/relationships/hyperlink" Target="https://sciwheel.com/work/citation?ids=1620806,3117691,3580733,5663644&amp;pre=&amp;pre=&amp;pre=&amp;pre=&amp;suf=&amp;suf=&amp;suf=&amp;suf=&amp;sa=0,0,0,0" TargetMode="External"/><Relationship Id="rId275" Type="http://schemas.openxmlformats.org/officeDocument/2006/relationships/hyperlink" Target="https://sciwheel.com/work/citation?ids=15145267&amp;pre=&amp;suf=&amp;sa=0" TargetMode="External"/><Relationship Id="rId300" Type="http://schemas.openxmlformats.org/officeDocument/2006/relationships/hyperlink" Target="https://sciwheel.com/work/citation?ids=7430352&amp;pre=&amp;suf=&amp;sa=0" TargetMode="External"/><Relationship Id="rId482" Type="http://schemas.openxmlformats.org/officeDocument/2006/relationships/hyperlink" Target="https://sciwheel.com/work/citation?ids=8289468,7471251,11274675&amp;pre=&amp;pre=&amp;pre=&amp;suf=&amp;suf=&amp;suf=&amp;sa=0,0,0" TargetMode="External"/><Relationship Id="rId538" Type="http://schemas.openxmlformats.org/officeDocument/2006/relationships/hyperlink" Target="https://sciwheel.com/work/citation?ids=15144920&amp;pre=&amp;suf=&amp;sa=0" TargetMode="External"/><Relationship Id="rId703" Type="http://schemas.openxmlformats.org/officeDocument/2006/relationships/hyperlink" Target="https://sciwheel.com/work/citation?ids=16131657&amp;pre=&amp;suf=&amp;sa=0" TargetMode="External"/><Relationship Id="rId745" Type="http://schemas.openxmlformats.org/officeDocument/2006/relationships/footer" Target="footer4.xml"/><Relationship Id="rId81" Type="http://schemas.openxmlformats.org/officeDocument/2006/relationships/hyperlink" Target="https://sciwheel.com/work/citation?ids=3982039&amp;pre=&amp;suf=&amp;sa=0" TargetMode="External"/><Relationship Id="rId135" Type="http://schemas.openxmlformats.org/officeDocument/2006/relationships/hyperlink" Target="https://sciwheel.com/work/citation?ids=8289571&amp;pre=&amp;suf=&amp;sa=0" TargetMode="External"/><Relationship Id="rId177" Type="http://schemas.openxmlformats.org/officeDocument/2006/relationships/hyperlink" Target="https://sciwheel.com/work/citation?ids=7289685&amp;pre=&amp;suf=&amp;sa=0" TargetMode="External"/><Relationship Id="rId342" Type="http://schemas.openxmlformats.org/officeDocument/2006/relationships/hyperlink" Target="https://sciwheel.com/work/citation?ids=536963&amp;pre=&amp;suf=&amp;sa=0" TargetMode="External"/><Relationship Id="rId384" Type="http://schemas.openxmlformats.org/officeDocument/2006/relationships/hyperlink" Target="https://sciwheel.com/work/citation?ids=5570205&amp;pre=&amp;suf=&amp;sa=0" TargetMode="External"/><Relationship Id="rId591" Type="http://schemas.openxmlformats.org/officeDocument/2006/relationships/hyperlink" Target="https://sciwheel.com/work/citation?ids=5698766,9572757,16478189&amp;pre=&amp;pre=&amp;pre=&amp;suf=&amp;suf=&amp;suf=&amp;sa=0,0,0" TargetMode="External"/><Relationship Id="rId605" Type="http://schemas.openxmlformats.org/officeDocument/2006/relationships/hyperlink" Target="https://sciwheel.com/work/citation?ids=16201617&amp;pre=&amp;suf=&amp;sa=0" TargetMode="External"/><Relationship Id="rId787" Type="http://schemas.openxmlformats.org/officeDocument/2006/relationships/hyperlink" Target="https://sciwheel.com/work/citation?ids=1785594,4661552&amp;pre=&amp;pre=&amp;suf=&amp;suf=&amp;sa=0,0" TargetMode="External"/><Relationship Id="rId812" Type="http://schemas.openxmlformats.org/officeDocument/2006/relationships/hyperlink" Target="https://sciwheel.com/work/citation?ids=16527408,1621223&amp;pre=&amp;pre=&amp;suf=&amp;suf=&amp;sa=0,0" TargetMode="External"/><Relationship Id="rId202" Type="http://schemas.openxmlformats.org/officeDocument/2006/relationships/hyperlink" Target="https://sciwheel.com/work/citation?ids=4175532&amp;pre=&amp;suf=&amp;sa=0" TargetMode="External"/><Relationship Id="rId244" Type="http://schemas.openxmlformats.org/officeDocument/2006/relationships/hyperlink" Target="https://sciwheel.com/work/citation?ids=3580106,8297111&amp;pre=&amp;pre=&amp;suf=&amp;suf=&amp;sa=0,0" TargetMode="External"/><Relationship Id="rId647" Type="http://schemas.openxmlformats.org/officeDocument/2006/relationships/hyperlink" Target="https://sciwheel.com/work/citation?ids=1813511,8255662&amp;pre=&amp;pre=&amp;suf=&amp;suf=&amp;sa=0,0" TargetMode="External"/><Relationship Id="rId689" Type="http://schemas.openxmlformats.org/officeDocument/2006/relationships/hyperlink" Target="https://sciwheel.com/work/citation?ids=15656570&amp;pre=&amp;suf=&amp;sa=0" TargetMode="External"/><Relationship Id="rId854" Type="http://schemas.openxmlformats.org/officeDocument/2006/relationships/hyperlink" Target="https://www.sheffield.ac.uk/govern/data-protection/privacy/general" TargetMode="External"/><Relationship Id="rId39" Type="http://schemas.openxmlformats.org/officeDocument/2006/relationships/hyperlink" Target="https://sciwheel.com/work/citation?ids=6744679,3438341,3367140,11722525&amp;pre=&amp;pre=&amp;pre=&amp;pre=&amp;suf=&amp;suf=&amp;suf=&amp;suf=&amp;sa=0,0,0,0" TargetMode="External"/><Relationship Id="rId286" Type="http://schemas.openxmlformats.org/officeDocument/2006/relationships/hyperlink" Target="https://sciwheel.com/work/citation?ids=12374607&amp;pre=&amp;suf=&amp;sa=0" TargetMode="External"/><Relationship Id="rId451" Type="http://schemas.openxmlformats.org/officeDocument/2006/relationships/hyperlink" Target="https://sciwheel.com/work/citation?ids=15747832&amp;pre=&amp;suf=&amp;sa=0" TargetMode="External"/><Relationship Id="rId493" Type="http://schemas.openxmlformats.org/officeDocument/2006/relationships/hyperlink" Target="https://sciwheel.com/work/citation?ids=8290019,2589932,8291779&amp;pre=&amp;pre=&amp;pre=&amp;suf=&amp;suf=&amp;suf=&amp;sa=0,0,0" TargetMode="External"/><Relationship Id="rId507" Type="http://schemas.openxmlformats.org/officeDocument/2006/relationships/hyperlink" Target="https://sciwheel.com/work/citation?ids=8297111,15613181&amp;pre=&amp;pre=&amp;suf=&amp;suf=&amp;sa=0,0" TargetMode="External"/><Relationship Id="rId549" Type="http://schemas.openxmlformats.org/officeDocument/2006/relationships/hyperlink" Target="https://sciwheel.com/work/citation?ids=13823248&amp;pre=&amp;suf=&amp;sa=0" TargetMode="External"/><Relationship Id="rId714" Type="http://schemas.openxmlformats.org/officeDocument/2006/relationships/hyperlink" Target="https://sciwheel.com/work/citation?ids=5975539,16134459&amp;pre=&amp;pre=&amp;suf=&amp;suf=&amp;sa=0,0" TargetMode="External"/><Relationship Id="rId756" Type="http://schemas.openxmlformats.org/officeDocument/2006/relationships/hyperlink" Target="https://sciwheel.com/work/citation?ids=16249314,2830578,16249318,13825213&amp;pre=&amp;pre=&amp;pre=&amp;pre=&amp;suf=&amp;suf=&amp;suf=&amp;suf=&amp;sa=0,0,0,0" TargetMode="External"/><Relationship Id="rId50" Type="http://schemas.openxmlformats.org/officeDocument/2006/relationships/hyperlink" Target="https://sciwheel.com/work/citation?ids=2426706&amp;pre=&amp;suf=&amp;sa=0" TargetMode="External"/><Relationship Id="rId104" Type="http://schemas.openxmlformats.org/officeDocument/2006/relationships/hyperlink" Target="https://sciwheel.com/work/citation?ids=21295&amp;pre=&amp;suf=&amp;sa=0" TargetMode="External"/><Relationship Id="rId146" Type="http://schemas.openxmlformats.org/officeDocument/2006/relationships/hyperlink" Target="https://sciwheel.com/work/citation?ids=15614391&amp;pre=&amp;suf=&amp;sa=0" TargetMode="External"/><Relationship Id="rId188" Type="http://schemas.openxmlformats.org/officeDocument/2006/relationships/hyperlink" Target="https://sciwheel.com/work/citation?ids=11260571&amp;pre=&amp;suf=&amp;sa=0" TargetMode="External"/><Relationship Id="rId311" Type="http://schemas.openxmlformats.org/officeDocument/2006/relationships/hyperlink" Target="https://sciwheel.com/work/citation?ids=13605504&amp;pre=&amp;suf=&amp;sa=0" TargetMode="External"/><Relationship Id="rId353" Type="http://schemas.openxmlformats.org/officeDocument/2006/relationships/hyperlink" Target="https://sciwheel.com/work/citation?ids=1051675,567962,12174612&amp;pre=&amp;pre=&amp;pre=&amp;suf=&amp;suf=&amp;suf=&amp;sa=0,0,0" TargetMode="External"/><Relationship Id="rId395" Type="http://schemas.openxmlformats.org/officeDocument/2006/relationships/hyperlink" Target="https://sciwheel.com/work/citation?ids=3578970&amp;pre=&amp;suf=&amp;sa=0" TargetMode="External"/><Relationship Id="rId409" Type="http://schemas.openxmlformats.org/officeDocument/2006/relationships/hyperlink" Target="https://sciwheel.com/work/citation?ids=13125057&amp;pre=&amp;suf=&amp;sa=0" TargetMode="External"/><Relationship Id="rId560" Type="http://schemas.openxmlformats.org/officeDocument/2006/relationships/hyperlink" Target="https://sciwheel.com/work/citation?ids=2992963&amp;pre=&amp;suf=&amp;sa=0" TargetMode="External"/><Relationship Id="rId798" Type="http://schemas.openxmlformats.org/officeDocument/2006/relationships/hyperlink" Target="https://sciwheel.com/work/citation?ids=16514078&amp;pre=&amp;suf=&amp;sa=0" TargetMode="External"/><Relationship Id="rId92" Type="http://schemas.openxmlformats.org/officeDocument/2006/relationships/hyperlink" Target="https://sciwheel.com/work/citation?ids=15605209&amp;pre=&amp;suf=&amp;sa=0" TargetMode="External"/><Relationship Id="rId213" Type="http://schemas.openxmlformats.org/officeDocument/2006/relationships/footer" Target="footer3.xml"/><Relationship Id="rId420" Type="http://schemas.openxmlformats.org/officeDocument/2006/relationships/hyperlink" Target="https://sciwheel.com/work/citation?ids=10116078&amp;pre=&amp;suf=&amp;sa=0" TargetMode="External"/><Relationship Id="rId616" Type="http://schemas.openxmlformats.org/officeDocument/2006/relationships/hyperlink" Target="https://sciwheel.com/work/citation?ids=16205477&amp;pre=&amp;suf=&amp;sa=0" TargetMode="External"/><Relationship Id="rId658" Type="http://schemas.openxmlformats.org/officeDocument/2006/relationships/hyperlink" Target="https://sciwheel.com/work/citation?ids=10686649&amp;pre=&amp;suf=&amp;sa=0" TargetMode="External"/><Relationship Id="rId823" Type="http://schemas.openxmlformats.org/officeDocument/2006/relationships/hyperlink" Target="https://doi.org/10.1093/humupd/dmh058" TargetMode="External"/><Relationship Id="rId865" Type="http://schemas.openxmlformats.org/officeDocument/2006/relationships/hyperlink" Target="mailto:n.buckland@sheffield.ac.uk" TargetMode="External"/><Relationship Id="rId255" Type="http://schemas.openxmlformats.org/officeDocument/2006/relationships/hyperlink" Target="https://sciwheel.com/work/citation?ids=1812051&amp;pre=&amp;suf=&amp;sa=0" TargetMode="External"/><Relationship Id="rId297" Type="http://schemas.openxmlformats.org/officeDocument/2006/relationships/hyperlink" Target="https://sciwheel.com/work/citation?ids=13823248&amp;pre=&amp;suf=&amp;sa=0" TargetMode="External"/><Relationship Id="rId462" Type="http://schemas.openxmlformats.org/officeDocument/2006/relationships/hyperlink" Target="https://sciwheel.com/work/citation?ids=1533323&amp;pre=&amp;suf=&amp;sa=0" TargetMode="External"/><Relationship Id="rId518" Type="http://schemas.openxmlformats.org/officeDocument/2006/relationships/hyperlink" Target="https://sciwheel.com/work/citation?ids=6510698,3874514&amp;pre=&amp;pre=&amp;suf=&amp;suf=&amp;sa=0,0" TargetMode="External"/><Relationship Id="rId725" Type="http://schemas.openxmlformats.org/officeDocument/2006/relationships/hyperlink" Target="https://sciwheel.com/work/citation?ids=15144920&amp;pre=&amp;suf=&amp;sa=0" TargetMode="External"/><Relationship Id="rId115" Type="http://schemas.openxmlformats.org/officeDocument/2006/relationships/hyperlink" Target="https://sciwheel.com/work/citation?ids=16362112,7651989&amp;pre=&amp;pre=&amp;suf=&amp;suf=&amp;sa=0,0" TargetMode="External"/><Relationship Id="rId157" Type="http://schemas.openxmlformats.org/officeDocument/2006/relationships/hyperlink" Target="https://sciwheel.com/work/citation?ids=7243376&amp;pre=&amp;suf=&amp;sa=0" TargetMode="External"/><Relationship Id="rId322" Type="http://schemas.openxmlformats.org/officeDocument/2006/relationships/hyperlink" Target="https://sciwheel.com/work/citation?ids=1812051,7430352,13823248,6477132&amp;pre=&amp;pre=&amp;pre=&amp;pre=&amp;suf=&amp;suf=&amp;suf=&amp;suf=&amp;sa=0,0,0,0" TargetMode="External"/><Relationship Id="rId364" Type="http://schemas.openxmlformats.org/officeDocument/2006/relationships/hyperlink" Target="https://sciwheel.com/work/citation?ids=1812352&amp;pre=&amp;suf=&amp;sa=0" TargetMode="External"/><Relationship Id="rId767" Type="http://schemas.openxmlformats.org/officeDocument/2006/relationships/hyperlink" Target="https://sciwheel.com/work/citation?ids=14821017&amp;pre=&amp;suf=&amp;sa=0" TargetMode="External"/><Relationship Id="rId61" Type="http://schemas.openxmlformats.org/officeDocument/2006/relationships/hyperlink" Target="https://sciwheel.com/work/citation?ids=16327726&amp;pre=&amp;suf=&amp;sa=0" TargetMode="External"/><Relationship Id="rId199" Type="http://schemas.openxmlformats.org/officeDocument/2006/relationships/hyperlink" Target="https://sciwheel.com/work/citation?ids=15669384&amp;pre=&amp;suf=&amp;sa=0" TargetMode="External"/><Relationship Id="rId571" Type="http://schemas.openxmlformats.org/officeDocument/2006/relationships/hyperlink" Target="https://sciwheel.com/work/citation?ids=8098861,10683308,15656654&amp;pre=&amp;pre=&amp;pre=&amp;suf=&amp;suf=&amp;suf=&amp;sa=0,0,0" TargetMode="External"/><Relationship Id="rId627" Type="http://schemas.openxmlformats.org/officeDocument/2006/relationships/hyperlink" Target="https://sciwheel.com/work/citation?ids=13305612&amp;pre=&amp;suf=&amp;sa=0" TargetMode="External"/><Relationship Id="rId669" Type="http://schemas.openxmlformats.org/officeDocument/2006/relationships/hyperlink" Target="https://sciwheel.com/work/citation?ids=4385365,10878448&amp;pre=&amp;pre=&amp;suf=&amp;suf=&amp;sa=0,0" TargetMode="External"/><Relationship Id="rId834" Type="http://schemas.openxmlformats.org/officeDocument/2006/relationships/header" Target="header10.xml"/><Relationship Id="rId876" Type="http://schemas.openxmlformats.org/officeDocument/2006/relationships/hyperlink" Target="https://www.nhs.uk/mental-health/feelings-symptoms-behaviours/feelings-and-symptoms/stress/" TargetMode="External"/><Relationship Id="rId19" Type="http://schemas.openxmlformats.org/officeDocument/2006/relationships/hyperlink" Target="https://sciwheel.com/work/citation?ids=1934893&amp;pre=&amp;suf=&amp;sa=0" TargetMode="External"/><Relationship Id="rId224" Type="http://schemas.openxmlformats.org/officeDocument/2006/relationships/hyperlink" Target="https://sciwheel.com/work/citation?ids=254802&amp;pre=&amp;suf=&amp;sa=0" TargetMode="External"/><Relationship Id="rId266" Type="http://schemas.openxmlformats.org/officeDocument/2006/relationships/hyperlink" Target="https://sciwheel.com/work/citation?ids=10819518&amp;pre=&amp;suf=&amp;sa=0" TargetMode="External"/><Relationship Id="rId431" Type="http://schemas.openxmlformats.org/officeDocument/2006/relationships/hyperlink" Target="https://sciwheel.com/work/citation?ids=6027259&amp;pre=&amp;suf=&amp;sa=0" TargetMode="External"/><Relationship Id="rId473" Type="http://schemas.openxmlformats.org/officeDocument/2006/relationships/hyperlink" Target="https://sciwheel.com/work/citation?ids=1812051,7430352&amp;pre=&amp;pre=&amp;suf=&amp;suf=&amp;sa=0,0" TargetMode="External"/><Relationship Id="rId529" Type="http://schemas.openxmlformats.org/officeDocument/2006/relationships/hyperlink" Target="https://sciwheel.com/work/citation?ids=2603612,1314503&amp;pre=&amp;pre=&amp;suf=&amp;suf=&amp;sa=0,0" TargetMode="External"/><Relationship Id="rId680" Type="http://schemas.openxmlformats.org/officeDocument/2006/relationships/hyperlink" Target="https://sciwheel.com/work/citation?ids=1863260&amp;pre=&amp;suf=&amp;sa=0" TargetMode="External"/><Relationship Id="rId736" Type="http://schemas.openxmlformats.org/officeDocument/2006/relationships/hyperlink" Target="https://sciwheel.com/work/citation?ids=8289909&amp;pre=&amp;suf=&amp;sa=0" TargetMode="External"/><Relationship Id="rId30" Type="http://schemas.openxmlformats.org/officeDocument/2006/relationships/hyperlink" Target="https://sciwheel.com/work/citation?ids=185159&amp;pre=&amp;suf=&amp;sa=0" TargetMode="External"/><Relationship Id="rId126" Type="http://schemas.openxmlformats.org/officeDocument/2006/relationships/hyperlink" Target="https://sciwheel.com/work/citation?ids=3580085&amp;pre=&amp;suf=&amp;sa=0" TargetMode="External"/><Relationship Id="rId168" Type="http://schemas.openxmlformats.org/officeDocument/2006/relationships/hyperlink" Target="https://sciwheel.com/work/citation?ids=1810243,3916992,8550834,15714617&amp;pre=&amp;pre=&amp;pre=&amp;pre=&amp;suf=&amp;suf=&amp;suf=&amp;suf=&amp;sa=0,0,0,0" TargetMode="External"/><Relationship Id="rId333" Type="http://schemas.openxmlformats.org/officeDocument/2006/relationships/hyperlink" Target="https://sciwheel.com/work/citation?ids=15144920,15654934,15655567,15150196,8289909,13605504,10552444&amp;pre=&amp;pre=&amp;pre=&amp;pre=&amp;pre=&amp;pre=&amp;pre=&amp;suf=&amp;suf=&amp;suf=&amp;suf=&amp;suf=&amp;suf=&amp;suf=&amp;sa=0,0,0,0,0,0,0" TargetMode="External"/><Relationship Id="rId540" Type="http://schemas.openxmlformats.org/officeDocument/2006/relationships/hyperlink" Target="https://sciwheel.com/work/citation?ids=16450522&amp;pre=&amp;suf=&amp;sa=0" TargetMode="External"/><Relationship Id="rId778" Type="http://schemas.openxmlformats.org/officeDocument/2006/relationships/hyperlink" Target="https://sciwheel.com/work/citation?ids=16252759,9932456&amp;pre=&amp;pre=&amp;suf=&amp;suf=&amp;sa=0,0" TargetMode="External"/><Relationship Id="rId72" Type="http://schemas.openxmlformats.org/officeDocument/2006/relationships/hyperlink" Target="https://sciwheel.com/work/citation?ids=16323622&amp;pre=&amp;suf=&amp;sa=0" TargetMode="External"/><Relationship Id="rId375" Type="http://schemas.openxmlformats.org/officeDocument/2006/relationships/hyperlink" Target="https://sciwheel.com/work/citation?ids=15145267,3580106,1812051&amp;pre=&amp;pre=&amp;pre=&amp;suf=&amp;suf=&amp;suf=&amp;sa=0,0,0" TargetMode="External"/><Relationship Id="rId582" Type="http://schemas.openxmlformats.org/officeDocument/2006/relationships/hyperlink" Target="https://sciwheel.com/work/citation?ids=3603088&amp;pre=&amp;suf=&amp;sa=0" TargetMode="External"/><Relationship Id="rId638" Type="http://schemas.openxmlformats.org/officeDocument/2006/relationships/hyperlink" Target="https://sciwheel.com/work/citation?ids=4066136&amp;pre=&amp;suf=&amp;sa=0" TargetMode="External"/><Relationship Id="rId803" Type="http://schemas.openxmlformats.org/officeDocument/2006/relationships/hyperlink" Target="https://sciwheel.com/work/citation?ids=16265549&amp;pre=&amp;suf=&amp;sa=0" TargetMode="External"/><Relationship Id="rId845" Type="http://schemas.openxmlformats.org/officeDocument/2006/relationships/hyperlink" Target="mailto:byan6@sheffield.ac.uk" TargetMode="External"/><Relationship Id="rId3" Type="http://schemas.openxmlformats.org/officeDocument/2006/relationships/numbering" Target="numbering.xml"/><Relationship Id="rId235" Type="http://schemas.openxmlformats.org/officeDocument/2006/relationships/hyperlink" Target="https://sciwheel.com/work/citation?ids=3580106&amp;pre=&amp;suf=&amp;sa=0" TargetMode="External"/><Relationship Id="rId277" Type="http://schemas.openxmlformats.org/officeDocument/2006/relationships/hyperlink" Target="https://sciwheel.com/work/citation?ids=16242843&amp;pre=&amp;suf=&amp;sa=0" TargetMode="External"/><Relationship Id="rId400" Type="http://schemas.openxmlformats.org/officeDocument/2006/relationships/hyperlink" Target="https://sciwheel.com/work/citation?ids=16379061&amp;pre=&amp;suf=&amp;sa=0" TargetMode="External"/><Relationship Id="rId442" Type="http://schemas.openxmlformats.org/officeDocument/2006/relationships/hyperlink" Target="https://sciwheel.com/work/citation?ids=9195799,5749750,8925531&amp;pre=&amp;pre=&amp;pre=&amp;suf=&amp;suf=&amp;suf=&amp;sa=0,0,0" TargetMode="External"/><Relationship Id="rId484" Type="http://schemas.openxmlformats.org/officeDocument/2006/relationships/hyperlink" Target="https://sciwheel.com/work/citation?ids=9898316,6727424&amp;pre=&amp;pre=&amp;suf=&amp;suf=&amp;sa=0,0" TargetMode="External"/><Relationship Id="rId705" Type="http://schemas.openxmlformats.org/officeDocument/2006/relationships/hyperlink" Target="https://sciwheel.com/work/citation?ids=15145267,3602879&amp;pre=&amp;pre=&amp;suf=&amp;suf=&amp;sa=0,0" TargetMode="External"/><Relationship Id="rId887" Type="http://schemas.openxmlformats.org/officeDocument/2006/relationships/fontTable" Target="fontTable.xml"/><Relationship Id="rId137" Type="http://schemas.openxmlformats.org/officeDocument/2006/relationships/hyperlink" Target="https://sciwheel.com/work/citation?ids=1812049,3118559,15613270,1812060&amp;pre=&amp;pre=&amp;pre=&amp;pre=&amp;suf=&amp;suf=&amp;suf=&amp;suf=&amp;sa=0,0,0,0" TargetMode="External"/><Relationship Id="rId302" Type="http://schemas.openxmlformats.org/officeDocument/2006/relationships/hyperlink" Target="https://sciwheel.com/work/citation?ids=8098861&amp;pre=&amp;suf=&amp;sa=0" TargetMode="External"/><Relationship Id="rId344" Type="http://schemas.openxmlformats.org/officeDocument/2006/relationships/hyperlink" Target="https://sciwheel.com/work/citation?ids=15144920&amp;pre=&amp;suf=&amp;sa=0" TargetMode="External"/><Relationship Id="rId691" Type="http://schemas.openxmlformats.org/officeDocument/2006/relationships/hyperlink" Target="https://sciwheel.com/work/citation?ids=7350999&amp;pre=&amp;suf=&amp;sa=0" TargetMode="External"/><Relationship Id="rId747" Type="http://schemas.openxmlformats.org/officeDocument/2006/relationships/hyperlink" Target="https://sciwheel.com/work/citation?ids=8098861,8098885,1810547,3580106&amp;pre=&amp;pre=&amp;pre=&amp;pre=&amp;suf=&amp;suf=&amp;suf=&amp;suf=&amp;sa=0,0,0,0" TargetMode="External"/><Relationship Id="rId789" Type="http://schemas.openxmlformats.org/officeDocument/2006/relationships/hyperlink" Target="https://sciwheel.com/work/citation?ids=16134459&amp;pre=&amp;suf=&amp;sa=0" TargetMode="External"/><Relationship Id="rId41" Type="http://schemas.openxmlformats.org/officeDocument/2006/relationships/hyperlink" Target="https://sciwheel.com/work/citation?ids=7011114&amp;pre=&amp;suf=&amp;sa=0" TargetMode="External"/><Relationship Id="rId83" Type="http://schemas.openxmlformats.org/officeDocument/2006/relationships/hyperlink" Target="https://sciwheel.com/work/citation?ids=15293146,15105944&amp;pre=&amp;pre=&amp;suf=&amp;suf=&amp;sa=0,0" TargetMode="External"/><Relationship Id="rId179" Type="http://schemas.openxmlformats.org/officeDocument/2006/relationships/hyperlink" Target="https://sciwheel.com/work/citation?ids=1813891,1813790&amp;pre=&amp;pre=&amp;suf=&amp;suf=&amp;sa=0,0" TargetMode="External"/><Relationship Id="rId386" Type="http://schemas.openxmlformats.org/officeDocument/2006/relationships/hyperlink" Target="https://sciwheel.com/work/citation?ids=4505286&amp;pre=&amp;suf=&amp;sa=0" TargetMode="External"/><Relationship Id="rId551" Type="http://schemas.openxmlformats.org/officeDocument/2006/relationships/hyperlink" Target="https://sciwheel.com/work/citation?ids=7431247&amp;pre=&amp;suf=&amp;sa=0" TargetMode="External"/><Relationship Id="rId593" Type="http://schemas.openxmlformats.org/officeDocument/2006/relationships/hyperlink" Target="https://sciwheel.com/work/citation?ids=15747358&amp;pre=&amp;suf=&amp;sa=0" TargetMode="External"/><Relationship Id="rId607" Type="http://schemas.openxmlformats.org/officeDocument/2006/relationships/hyperlink" Target="https://sciwheel.com/work/citation?ids=3732741&amp;pre=&amp;suf=&amp;sa=0" TargetMode="External"/><Relationship Id="rId649" Type="http://schemas.openxmlformats.org/officeDocument/2006/relationships/hyperlink" Target="https://sciwheel.com/work/citation?ids=15144828&amp;pre=&amp;suf=&amp;sa=0" TargetMode="External"/><Relationship Id="rId814" Type="http://schemas.openxmlformats.org/officeDocument/2006/relationships/hyperlink" Target="https://sciwheel.com/work/citation?ids=16527412&amp;pre=&amp;suf=&amp;sa=0" TargetMode="External"/><Relationship Id="rId856" Type="http://schemas.openxmlformats.org/officeDocument/2006/relationships/hyperlink" Target="mailto:byan6@sheffield.ac.uk" TargetMode="External"/><Relationship Id="rId190" Type="http://schemas.openxmlformats.org/officeDocument/2006/relationships/hyperlink" Target="https://sciwheel.com/work/citation?ids=1812052,12169802&amp;pre=&amp;pre=&amp;suf=&amp;suf=&amp;sa=0,0" TargetMode="External"/><Relationship Id="rId204" Type="http://schemas.openxmlformats.org/officeDocument/2006/relationships/hyperlink" Target="https://sciwheel.com/work/citation?ids=1901743&amp;pre=&amp;suf=&amp;sa=0" TargetMode="External"/><Relationship Id="rId246" Type="http://schemas.openxmlformats.org/officeDocument/2006/relationships/hyperlink" Target="https://sciwheel.com/work/citation?ids=15144828&amp;pre=&amp;suf=&amp;sa=0" TargetMode="External"/><Relationship Id="rId288" Type="http://schemas.openxmlformats.org/officeDocument/2006/relationships/header" Target="header2.xml"/><Relationship Id="rId411" Type="http://schemas.openxmlformats.org/officeDocument/2006/relationships/hyperlink" Target="https://sciwheel.com/work/citation?ids=16558189&amp;pre=&amp;suf=&amp;sa=0" TargetMode="External"/><Relationship Id="rId453" Type="http://schemas.openxmlformats.org/officeDocument/2006/relationships/hyperlink" Target="https://sciwheel.com/work/citation?ids=11176128&amp;pre=&amp;suf=&amp;sa=0" TargetMode="External"/><Relationship Id="rId509" Type="http://schemas.openxmlformats.org/officeDocument/2006/relationships/hyperlink" Target="https://sciwheel.com/work/citation?ids=8098885&amp;pre=&amp;suf=&amp;sa=0" TargetMode="External"/><Relationship Id="rId660" Type="http://schemas.openxmlformats.org/officeDocument/2006/relationships/hyperlink" Target="https://sciwheel.com/work/citation?ids=2992963&amp;pre=&amp;suf=&amp;sa=0" TargetMode="External"/><Relationship Id="rId106" Type="http://schemas.openxmlformats.org/officeDocument/2006/relationships/hyperlink" Target="https://sciwheel.com/work/citation?ids=1810616,3767629,4240459&amp;pre=&amp;pre=&amp;pre=&amp;suf=&amp;suf=&amp;suf=&amp;sa=0,0,0" TargetMode="External"/><Relationship Id="rId313" Type="http://schemas.openxmlformats.org/officeDocument/2006/relationships/hyperlink" Target="https://sciwheel.com/work/citation?ids=15144920,3580106,8297111,8289909&amp;pre=&amp;pre=&amp;pre=&amp;pre=&amp;suf=&amp;suf=&amp;suf=&amp;suf=&amp;sa=0,0,0,0" TargetMode="External"/><Relationship Id="rId495" Type="http://schemas.openxmlformats.org/officeDocument/2006/relationships/hyperlink" Target="https://sciwheel.com/work/citation?ids=15868233,15868234,15868235&amp;pre=&amp;pre=&amp;pre=&amp;suf=&amp;suf=&amp;suf=&amp;sa=0,0,0" TargetMode="External"/><Relationship Id="rId716" Type="http://schemas.openxmlformats.org/officeDocument/2006/relationships/hyperlink" Target="https://sciwheel.com/work/citation?ids=5975539,16134459,7441276&amp;pre=&amp;pre=&amp;pre=&amp;suf=&amp;suf=&amp;suf=&amp;sa=0,0,0" TargetMode="External"/><Relationship Id="rId758" Type="http://schemas.openxmlformats.org/officeDocument/2006/relationships/hyperlink" Target="https://sciwheel.com/work/citation?ids=16250080&amp;pre=&amp;suf=&amp;sa=0" TargetMode="External"/><Relationship Id="rId10" Type="http://schemas.openxmlformats.org/officeDocument/2006/relationships/footer" Target="footer1.xml"/><Relationship Id="rId52" Type="http://schemas.openxmlformats.org/officeDocument/2006/relationships/hyperlink" Target="https://sciwheel.com/work/citation?ids=5353877&amp;pre=&amp;suf=&amp;sa=0" TargetMode="External"/><Relationship Id="rId94" Type="http://schemas.openxmlformats.org/officeDocument/2006/relationships/hyperlink" Target="https://sciwheel.com/work/citation?ids=8290177&amp;pre=&amp;suf=&amp;sa=0" TargetMode="External"/><Relationship Id="rId148" Type="http://schemas.openxmlformats.org/officeDocument/2006/relationships/hyperlink" Target="https://sciwheel.com/work/citation?ids=8301364&amp;pre=&amp;suf=&amp;sa=0" TargetMode="External"/><Relationship Id="rId355" Type="http://schemas.openxmlformats.org/officeDocument/2006/relationships/hyperlink" Target="https://sciwheel.com/work/citation?ids=16358420&amp;pre=&amp;suf=&amp;sa=0" TargetMode="External"/><Relationship Id="rId397" Type="http://schemas.openxmlformats.org/officeDocument/2006/relationships/hyperlink" Target="https://sciwheel.com/work/citation?ids=10956985,16195986&amp;pre=&amp;pre=&amp;suf=&amp;suf=&amp;sa=0,0" TargetMode="External"/><Relationship Id="rId520" Type="http://schemas.openxmlformats.org/officeDocument/2006/relationships/hyperlink" Target="https://sciwheel.com/work/citation?ids=2992963,7179328&amp;pre=&amp;pre=&amp;suf=&amp;suf=&amp;sa=0,0" TargetMode="External"/><Relationship Id="rId562" Type="http://schemas.openxmlformats.org/officeDocument/2006/relationships/hyperlink" Target="https://sciwheel.com/work/citation?ids=13823248&amp;pre=&amp;suf=&amp;sa=0" TargetMode="External"/><Relationship Id="rId618" Type="http://schemas.openxmlformats.org/officeDocument/2006/relationships/hyperlink" Target="https://sciwheel.com/work/citation?ids=16205073,16215052&amp;pre=&amp;pre=&amp;suf=&amp;suf=&amp;sa=0,0" TargetMode="External"/><Relationship Id="rId825" Type="http://schemas.openxmlformats.org/officeDocument/2006/relationships/hyperlink" Target="https://doi.org/10.1186/1471-2288-13-48" TargetMode="External"/><Relationship Id="rId215" Type="http://schemas.openxmlformats.org/officeDocument/2006/relationships/hyperlink" Target="https://sciwheel.com/work/citation?ids=2649903,453179&amp;pre=&amp;pre=&amp;suf=&amp;suf=&amp;sa=0,0" TargetMode="External"/><Relationship Id="rId257" Type="http://schemas.openxmlformats.org/officeDocument/2006/relationships/hyperlink" Target="https://sciwheel.com/work/citation?ids=6477132&amp;pre=&amp;suf=&amp;sa=0" TargetMode="External"/><Relationship Id="rId422" Type="http://schemas.openxmlformats.org/officeDocument/2006/relationships/hyperlink" Target="https://sciwheel.com/work/citation?ids=15718129&amp;pre=&amp;suf=&amp;sa=0" TargetMode="External"/><Relationship Id="rId464" Type="http://schemas.openxmlformats.org/officeDocument/2006/relationships/header" Target="header4.xml"/><Relationship Id="rId867" Type="http://schemas.openxmlformats.org/officeDocument/2006/relationships/hyperlink" Target="mailto:psy-hod@sheffield.ac.uk" TargetMode="External"/><Relationship Id="rId299" Type="http://schemas.openxmlformats.org/officeDocument/2006/relationships/hyperlink" Target="https://sciwheel.com/work/citation?ids=15144828&amp;pre=&amp;suf=&amp;sa=0" TargetMode="External"/><Relationship Id="rId727" Type="http://schemas.openxmlformats.org/officeDocument/2006/relationships/hyperlink" Target="https://sciwheel.com/work/citation?ids=1812051&amp;pre=&amp;suf=&amp;sa=0" TargetMode="External"/><Relationship Id="rId63" Type="http://schemas.openxmlformats.org/officeDocument/2006/relationships/hyperlink" Target="https://sciwheel.com/work/citation?ids=5679699&amp;pre=&amp;suf=&amp;sa=0" TargetMode="External"/><Relationship Id="rId159" Type="http://schemas.openxmlformats.org/officeDocument/2006/relationships/hyperlink" Target="https://sciwheel.com/work/citation?ids=1812801&amp;pre=&amp;suf=&amp;sa=0" TargetMode="External"/><Relationship Id="rId366" Type="http://schemas.openxmlformats.org/officeDocument/2006/relationships/hyperlink" Target="https://sciwheel.com/work/citation?ids=15721318&amp;pre=&amp;suf=&amp;sa=0" TargetMode="External"/><Relationship Id="rId573" Type="http://schemas.openxmlformats.org/officeDocument/2006/relationships/hyperlink" Target="https://sciwheel.com/work/citation?ids=15145267&amp;pre=&amp;suf=&amp;sa=0" TargetMode="External"/><Relationship Id="rId780" Type="http://schemas.openxmlformats.org/officeDocument/2006/relationships/hyperlink" Target="https://sciwheel.com/work/citation?ids=3580106,6841951,16205073,16253467,8111499&amp;pre=&amp;pre=&amp;pre=&amp;pre=&amp;pre=&amp;suf=&amp;suf=&amp;suf=&amp;suf=&amp;suf=&amp;sa=0,0,0,0,0" TargetMode="External"/><Relationship Id="rId226" Type="http://schemas.openxmlformats.org/officeDocument/2006/relationships/hyperlink" Target="https://sciwheel.com/work/citation?ids=567040&amp;pre=&amp;suf=&amp;sa=0" TargetMode="External"/><Relationship Id="rId433" Type="http://schemas.openxmlformats.org/officeDocument/2006/relationships/hyperlink" Target="https://sciwheel.com/work/citation?ids=613391,612533,5875203&amp;pre=&amp;pre=&amp;pre=&amp;suf=&amp;suf=&amp;suf=&amp;sa=0,0,0" TargetMode="External"/><Relationship Id="rId878" Type="http://schemas.openxmlformats.org/officeDocument/2006/relationships/hyperlink" Target="mailto:byan6@sheffield.ac.uk" TargetMode="External"/><Relationship Id="rId640" Type="http://schemas.openxmlformats.org/officeDocument/2006/relationships/hyperlink" Target="https://sciwheel.com/work/citation?ids=15144920&amp;pre=&amp;suf=&amp;sa=0" TargetMode="External"/><Relationship Id="rId738" Type="http://schemas.openxmlformats.org/officeDocument/2006/relationships/hyperlink" Target="https://sciwheel.com/work/citation?ids=10116078&amp;pre=&amp;suf=&amp;sa=0" TargetMode="External"/><Relationship Id="rId74" Type="http://schemas.openxmlformats.org/officeDocument/2006/relationships/hyperlink" Target="https://sciwheel.com/work/citation?ids=15625484&amp;pre=&amp;suf=&amp;sa=0" TargetMode="External"/><Relationship Id="rId377" Type="http://schemas.openxmlformats.org/officeDocument/2006/relationships/hyperlink" Target="https://sciwheel.com/work/citation?ids=16196034&amp;pre=&amp;suf=&amp;sa=0" TargetMode="External"/><Relationship Id="rId500" Type="http://schemas.openxmlformats.org/officeDocument/2006/relationships/hyperlink" Target="https://sciwheel.com/work/citation?ids=16440289&amp;pre=&amp;suf=&amp;sa=0" TargetMode="External"/><Relationship Id="rId584" Type="http://schemas.openxmlformats.org/officeDocument/2006/relationships/hyperlink" Target="https://sciwheel.com/work/citation?ids=2067549&amp;pre=&amp;suf=&amp;sa=0" TargetMode="External"/><Relationship Id="rId805" Type="http://schemas.openxmlformats.org/officeDocument/2006/relationships/hyperlink" Target="https://sciwheel.com/work/citation?ids=7737191&amp;pre=&amp;suf=&amp;sa=0" TargetMode="External"/><Relationship Id="rId5" Type="http://schemas.openxmlformats.org/officeDocument/2006/relationships/settings" Target="settings.xml"/><Relationship Id="rId237" Type="http://schemas.openxmlformats.org/officeDocument/2006/relationships/hyperlink" Target="https://sciwheel.com/work/citation?ids=7431247&amp;pre=&amp;suf=&amp;sa=0" TargetMode="External"/><Relationship Id="rId791" Type="http://schemas.openxmlformats.org/officeDocument/2006/relationships/hyperlink" Target="https://sciwheel.com/work/citation?ids=3593699&amp;pre=&amp;suf=&amp;sa=0" TargetMode="External"/><Relationship Id="rId444" Type="http://schemas.openxmlformats.org/officeDocument/2006/relationships/hyperlink" Target="https://sciwheel.com/work/citation?ids=15722331&amp;pre=&amp;suf=&amp;sa=0" TargetMode="External"/><Relationship Id="rId651" Type="http://schemas.openxmlformats.org/officeDocument/2006/relationships/hyperlink" Target="https://sciwheel.com/work/citation?ids=15144840&amp;pre=&amp;suf=&amp;sa=0" TargetMode="External"/><Relationship Id="rId749" Type="http://schemas.openxmlformats.org/officeDocument/2006/relationships/hyperlink" Target="https://sciwheel.com/work/citation?ids=16356355&amp;pre=&amp;suf=&amp;sa=0" TargetMode="External"/><Relationship Id="rId290" Type="http://schemas.openxmlformats.org/officeDocument/2006/relationships/hyperlink" Target="https://sciwheel.com/work/citation?ids=15145267&amp;pre=&amp;suf=&amp;sa=0" TargetMode="External"/><Relationship Id="rId304" Type="http://schemas.openxmlformats.org/officeDocument/2006/relationships/hyperlink" Target="https://sciwheel.com/work/citation?ids=12374607&amp;pre=&amp;suf=&amp;sa=0" TargetMode="External"/><Relationship Id="rId388" Type="http://schemas.openxmlformats.org/officeDocument/2006/relationships/hyperlink" Target="https://sciwheel.com/work/citation?ids=4941472&amp;pre=&amp;suf=&amp;sa=0" TargetMode="External"/><Relationship Id="rId511" Type="http://schemas.openxmlformats.org/officeDocument/2006/relationships/hyperlink" Target="https://sciwheel.com/work/citation?ids=15153259&amp;pre=&amp;suf=&amp;sa=0" TargetMode="External"/><Relationship Id="rId609" Type="http://schemas.openxmlformats.org/officeDocument/2006/relationships/hyperlink" Target="https://sciwheel.com/work/citation?ids=15145267&amp;pre=&amp;suf=&amp;sa=0" TargetMode="External"/><Relationship Id="rId85" Type="http://schemas.openxmlformats.org/officeDocument/2006/relationships/hyperlink" Target="https://sciwheel.com/work/citation?ids=15636875,3111325,817869&amp;pre=&amp;pre=&amp;pre=&amp;suf=&amp;suf=&amp;suf=&amp;sa=0,0,0" TargetMode="External"/><Relationship Id="rId150" Type="http://schemas.openxmlformats.org/officeDocument/2006/relationships/hyperlink" Target="https://sciwheel.com/work/citation?ids=7766433&amp;pre=&amp;suf=&amp;sa=0" TargetMode="External"/><Relationship Id="rId595" Type="http://schemas.openxmlformats.org/officeDocument/2006/relationships/hyperlink" Target="https://sciwheel.com/work/citation?ids=1212382&amp;pre=&amp;suf=&amp;sa=0" TargetMode="External"/><Relationship Id="rId816" Type="http://schemas.openxmlformats.org/officeDocument/2006/relationships/hyperlink" Target="https://sciwheel.com/work/citation?ids=4987358&amp;pre=&amp;suf=&amp;sa=0" TargetMode="External"/><Relationship Id="rId248" Type="http://schemas.openxmlformats.org/officeDocument/2006/relationships/hyperlink" Target="https://sciwheel.com/work/citation?ids=12374607&amp;pre=&amp;suf=&amp;sa=0" TargetMode="External"/><Relationship Id="rId455" Type="http://schemas.openxmlformats.org/officeDocument/2006/relationships/hyperlink" Target="https://sciwheel.com/work/citation?ids=16168528,5952864&amp;pre=&amp;pre=&amp;suf=&amp;suf=&amp;sa=0,0" TargetMode="External"/><Relationship Id="rId662" Type="http://schemas.openxmlformats.org/officeDocument/2006/relationships/hyperlink" Target="https://sciwheel.com/work/citation?ids=12174661&amp;pre=&amp;suf=&amp;sa=0" TargetMode="External"/><Relationship Id="rId12" Type="http://schemas.openxmlformats.org/officeDocument/2006/relationships/hyperlink" Target="https://sciwheel.com/work/citation?ids=1089947&amp;pre=&amp;suf=&amp;sa=0" TargetMode="External"/><Relationship Id="rId108" Type="http://schemas.openxmlformats.org/officeDocument/2006/relationships/hyperlink" Target="https://sciwheel.com/work/citation?ids=7243376&amp;pre=&amp;suf=&amp;sa=0" TargetMode="External"/><Relationship Id="rId315" Type="http://schemas.openxmlformats.org/officeDocument/2006/relationships/hyperlink" Target="https://sciwheel.com/work/citation?ids=16356091,4520511,1810230&amp;pre=&amp;pre=&amp;pre=&amp;suf=&amp;suf=&amp;suf=&amp;sa=0,0,0" TargetMode="External"/><Relationship Id="rId522" Type="http://schemas.openxmlformats.org/officeDocument/2006/relationships/hyperlink" Target="https://sciwheel.com/work/citation?ids=2992963&amp;pre=&amp;suf=&amp;sa=0" TargetMode="External"/><Relationship Id="rId96" Type="http://schemas.openxmlformats.org/officeDocument/2006/relationships/hyperlink" Target="https://sciwheel.com/work/citation?ids=16555191&amp;pre=&amp;suf=&amp;sa=0" TargetMode="External"/><Relationship Id="rId161" Type="http://schemas.openxmlformats.org/officeDocument/2006/relationships/hyperlink" Target="https://sciwheel.com/work/citation?ids=13825213&amp;pre=&amp;suf=&amp;sa=0" TargetMode="External"/><Relationship Id="rId399" Type="http://schemas.openxmlformats.org/officeDocument/2006/relationships/hyperlink" Target="https://sciwheel.com/work/citation?ids=16379057&amp;pre=&amp;suf=&amp;sa=0" TargetMode="External"/><Relationship Id="rId827" Type="http://schemas.openxmlformats.org/officeDocument/2006/relationships/hyperlink" Target="https://doi.org/10.1023/B:JOBA.0000007455.08539.94" TargetMode="External"/><Relationship Id="rId259" Type="http://schemas.openxmlformats.org/officeDocument/2006/relationships/hyperlink" Target="https://sciwheel.com/work/citation?ids=13823248&amp;pre=&amp;suf=&amp;sa=0" TargetMode="External"/><Relationship Id="rId466" Type="http://schemas.openxmlformats.org/officeDocument/2006/relationships/hyperlink" Target="https://sciwheel.com/work/citation?ids=3785572,7431247&amp;pre=&amp;pre=&amp;suf=&amp;suf=&amp;sa=0,0" TargetMode="External"/><Relationship Id="rId673" Type="http://schemas.openxmlformats.org/officeDocument/2006/relationships/hyperlink" Target="https://sciwheel.com/work/citation?ids=858910&amp;pre=&amp;suf=&amp;sa=0" TargetMode="External"/><Relationship Id="rId880" Type="http://schemas.openxmlformats.org/officeDocument/2006/relationships/hyperlink" Target="mailto:psy-hod@sheffield.ac.uk" TargetMode="External"/><Relationship Id="rId23" Type="http://schemas.openxmlformats.org/officeDocument/2006/relationships/hyperlink" Target="https://sciwheel.com/work/citation?ids=5753520&amp;pre=&amp;suf=&amp;sa=0" TargetMode="External"/><Relationship Id="rId119" Type="http://schemas.openxmlformats.org/officeDocument/2006/relationships/hyperlink" Target="https://sciwheel.com/work/citation?ids=16362159,2378879,16362161,8291308,8098885,1812060&amp;pre=&amp;pre=&amp;pre=&amp;pre=&amp;pre=&amp;pre=&amp;suf=&amp;suf=&amp;suf=&amp;suf=&amp;suf=&amp;suf=&amp;sa=0,0,0,0,0,0" TargetMode="External"/><Relationship Id="rId326" Type="http://schemas.openxmlformats.org/officeDocument/2006/relationships/hyperlink" Target="https://sciwheel.com/work/citation?ids=1812051,16356355,7430352,16242843,15145267,2590263,10481056,12374607&amp;pre=&amp;pre=&amp;pre=&amp;pre=&amp;pre=&amp;pre=&amp;pre=&amp;pre=&amp;suf=&amp;suf=&amp;suf=&amp;suf=&amp;suf=&amp;suf=&amp;suf=&amp;suf=&amp;sa=0,0,0,0,0,0,0,0" TargetMode="External"/><Relationship Id="rId533" Type="http://schemas.openxmlformats.org/officeDocument/2006/relationships/hyperlink" Target="https://sciwheel.com/work/citation?ids=16096166&amp;pre=&amp;suf=&amp;sa=0" TargetMode="External"/><Relationship Id="rId740" Type="http://schemas.openxmlformats.org/officeDocument/2006/relationships/hyperlink" Target="https://sciwheel.com/work/citation?ids=10878448&amp;pre=&amp;suf=&amp;sa=0" TargetMode="External"/><Relationship Id="rId838" Type="http://schemas.openxmlformats.org/officeDocument/2006/relationships/hyperlink" Target="mailto:byan6@sheffield.ac.uk" TargetMode="External"/><Relationship Id="rId172" Type="http://schemas.openxmlformats.org/officeDocument/2006/relationships/hyperlink" Target="https://sciwheel.com/work/citation?ids=16342573,16342574&amp;pre=&amp;pre=&amp;suf=&amp;suf=&amp;sa=0,0" TargetMode="External"/><Relationship Id="rId477" Type="http://schemas.openxmlformats.org/officeDocument/2006/relationships/hyperlink" Target="https://sciwheel.com/work/citation?ids=12514313&amp;pre=&amp;suf=&amp;sa=0" TargetMode="External"/><Relationship Id="rId600" Type="http://schemas.openxmlformats.org/officeDocument/2006/relationships/hyperlink" Target="https://sciwheel.com/work/citation?ids=13742138&amp;pre=&amp;suf=&amp;sa=0" TargetMode="External"/><Relationship Id="rId684" Type="http://schemas.openxmlformats.org/officeDocument/2006/relationships/hyperlink" Target="https://sciwheel.com/work/citation?ids=15928129,1813511,3785572&amp;pre=&amp;pre=&amp;pre=&amp;suf=&amp;suf=&amp;suf=&amp;sa=0,0,0" TargetMode="External"/><Relationship Id="rId337" Type="http://schemas.openxmlformats.org/officeDocument/2006/relationships/hyperlink" Target="https://sciwheel.com/work/citation?ids=1812051,7430354,2992963,15145267,12174661&amp;pre=&amp;pre=&amp;pre=&amp;pre=&amp;pre=&amp;suf=&amp;suf=&amp;suf=&amp;suf=&amp;suf=&amp;sa=0,0,0,0,0" TargetMode="External"/><Relationship Id="rId34" Type="http://schemas.openxmlformats.org/officeDocument/2006/relationships/hyperlink" Target="https://sciwheel.com/work/citation?ids=606767,8292981&amp;pre=&amp;pre=&amp;suf=&amp;suf=&amp;sa=0,0" TargetMode="External"/><Relationship Id="rId544" Type="http://schemas.openxmlformats.org/officeDocument/2006/relationships/hyperlink" Target="https://sciwheel.com/work/citation?ids=3580106&amp;pre=&amp;suf=&amp;sa=0" TargetMode="External"/><Relationship Id="rId751" Type="http://schemas.openxmlformats.org/officeDocument/2006/relationships/hyperlink" Target="https://sciwheel.com/work/citation?ids=5889141&amp;pre=&amp;suf=&amp;sa=0" TargetMode="External"/><Relationship Id="rId849" Type="http://schemas.openxmlformats.org/officeDocument/2006/relationships/hyperlink" Target="mailto:byan6@sheffield.ac.uk" TargetMode="External"/><Relationship Id="rId183" Type="http://schemas.openxmlformats.org/officeDocument/2006/relationships/hyperlink" Target="https://sciwheel.com/work/citation?ids=7087432&amp;pre=&amp;suf=&amp;sa=0" TargetMode="External"/><Relationship Id="rId390" Type="http://schemas.openxmlformats.org/officeDocument/2006/relationships/hyperlink" Target="https://sciwheel.com/work/citation?ids=15153259&amp;pre=&amp;suf=&amp;sa=0" TargetMode="External"/><Relationship Id="rId404" Type="http://schemas.openxmlformats.org/officeDocument/2006/relationships/hyperlink" Target="https://sciwheel.com/work/citation?ids=4240459&amp;pre=&amp;suf=&amp;sa=0" TargetMode="External"/><Relationship Id="rId611" Type="http://schemas.openxmlformats.org/officeDocument/2006/relationships/hyperlink" Target="https://sciwheel.com/work/citation?ids=8111499&amp;pre=&amp;suf=&amp;sa=0" TargetMode="External"/><Relationship Id="rId250" Type="http://schemas.openxmlformats.org/officeDocument/2006/relationships/hyperlink" Target="https://sciwheel.com/work/citation?ids=15150196&amp;pre=&amp;suf=&amp;sa=0" TargetMode="External"/><Relationship Id="rId488" Type="http://schemas.openxmlformats.org/officeDocument/2006/relationships/hyperlink" Target="https://sciwheel.com/work/citation?ids=14488182,9608950,10878777&amp;pre=&amp;pre=&amp;pre=&amp;suf=&amp;suf=&amp;suf=&amp;sa=0,0,0" TargetMode="External"/><Relationship Id="rId695" Type="http://schemas.openxmlformats.org/officeDocument/2006/relationships/hyperlink" Target="https://sciwheel.com/work/citation?ids=891707,1810726,5975629&amp;pre=&amp;pre=&amp;pre=&amp;suf=&amp;suf=&amp;suf=&amp;sa=0,0,0" TargetMode="External"/><Relationship Id="rId709" Type="http://schemas.openxmlformats.org/officeDocument/2006/relationships/hyperlink" Target="https://sciwheel.com/work/citation?ids=14103081&amp;pre=&amp;suf=&amp;sa=0" TargetMode="External"/><Relationship Id="rId45" Type="http://schemas.openxmlformats.org/officeDocument/2006/relationships/hyperlink" Target="https://sciwheel.com/work/citation?ids=9590894&amp;pre=&amp;suf=&amp;sa=0" TargetMode="External"/><Relationship Id="rId110" Type="http://schemas.openxmlformats.org/officeDocument/2006/relationships/hyperlink" Target="https://sciwheel.com/work/citation?ids=7651989&amp;pre=&amp;suf=&amp;sa=0" TargetMode="External"/><Relationship Id="rId348" Type="http://schemas.openxmlformats.org/officeDocument/2006/relationships/hyperlink" Target="https://sciwheel.com/work/citation?ids=8744551&amp;pre=&amp;suf=&amp;sa=0" TargetMode="External"/><Relationship Id="rId555" Type="http://schemas.openxmlformats.org/officeDocument/2006/relationships/hyperlink" Target="https://sciwheel.com/work/citation?ids=15145267&amp;pre=&amp;suf=&amp;sa=0" TargetMode="External"/><Relationship Id="rId762" Type="http://schemas.openxmlformats.org/officeDocument/2006/relationships/hyperlink" Target="https://sciwheel.com/work/citation?ids=3118558&amp;pre=&amp;suf=&amp;sa=0" TargetMode="External"/><Relationship Id="rId194" Type="http://schemas.openxmlformats.org/officeDocument/2006/relationships/hyperlink" Target="https://sciwheel.com/work/citation?ids=9201811,7087253,16349240,8756710,16250080&amp;pre=&amp;pre=&amp;pre=&amp;pre=&amp;pre=&amp;suf=&amp;suf=&amp;suf=&amp;suf=&amp;suf=&amp;sa=0,0,0,0,0" TargetMode="External"/><Relationship Id="rId208" Type="http://schemas.openxmlformats.org/officeDocument/2006/relationships/hyperlink" Target="https://sciwheel.com/work/citation?ids=9053059&amp;pre=&amp;suf=&amp;sa=0" TargetMode="External"/><Relationship Id="rId415" Type="http://schemas.openxmlformats.org/officeDocument/2006/relationships/hyperlink" Target="https://sciwheel.com/work/citation?ids=4763084,15714481,15714484,15714490&amp;pre=&amp;pre=&amp;pre=&amp;pre=&amp;suf=&amp;suf=&amp;suf=&amp;suf=&amp;sa=0,0,0,0" TargetMode="External"/><Relationship Id="rId622" Type="http://schemas.openxmlformats.org/officeDocument/2006/relationships/hyperlink" Target="https://sciwheel.com/work/citation?ids=8051516,4060183,14520690&amp;pre=&amp;pre=&amp;pre=&amp;suf=&amp;suf=&amp;suf=&amp;sa=0,0,0" TargetMode="External"/><Relationship Id="rId261" Type="http://schemas.openxmlformats.org/officeDocument/2006/relationships/hyperlink" Target="https://sciwheel.com/work/citation?ids=10552444&amp;pre=&amp;suf=&amp;sa=0" TargetMode="External"/><Relationship Id="rId499" Type="http://schemas.openxmlformats.org/officeDocument/2006/relationships/hyperlink" Target="https://sciwheel.com/work/citation?ids=356485&amp;pre=&amp;suf=&amp;sa=0" TargetMode="External"/><Relationship Id="rId56" Type="http://schemas.openxmlformats.org/officeDocument/2006/relationships/hyperlink" Target="https://sciwheel.com/work/citation?ids=1458795&amp;pre=&amp;suf=&amp;sa=0" TargetMode="External"/><Relationship Id="rId359" Type="http://schemas.openxmlformats.org/officeDocument/2006/relationships/hyperlink" Target="https://sciwheel.com/work/citation?ids=16597731&amp;pre=&amp;suf=&amp;sa=0" TargetMode="External"/><Relationship Id="rId566" Type="http://schemas.openxmlformats.org/officeDocument/2006/relationships/hyperlink" Target="https://sciwheel.com/work/citation?ids=6027259&amp;pre=&amp;suf=&amp;sa=0" TargetMode="External"/><Relationship Id="rId773" Type="http://schemas.openxmlformats.org/officeDocument/2006/relationships/hyperlink" Target="https://sciwheel.com/work/citation?ids=4590905&amp;pre=&amp;suf=&amp;sa=0" TargetMode="External"/><Relationship Id="rId121" Type="http://schemas.openxmlformats.org/officeDocument/2006/relationships/hyperlink" Target="https://sciwheel.com/work/citation?ids=16362159,2378879,16362161,8098885,1812049&amp;pre=&amp;pre=&amp;pre=&amp;pre=&amp;pre=&amp;suf=&amp;suf=&amp;suf=&amp;suf=&amp;suf=&amp;sa=0,0,0,0,0" TargetMode="External"/><Relationship Id="rId219" Type="http://schemas.openxmlformats.org/officeDocument/2006/relationships/hyperlink" Target="https://sciwheel.com/work/citation?ids=6841951,8260527,2479651&amp;pre=&amp;pre=&amp;pre=&amp;suf=&amp;suf=&amp;suf=&amp;sa=0,0,0" TargetMode="External"/><Relationship Id="rId426" Type="http://schemas.openxmlformats.org/officeDocument/2006/relationships/hyperlink" Target="https://sciwheel.com/work/citation?ids=1812352&amp;pre=&amp;suf=&amp;sa=0" TargetMode="External"/><Relationship Id="rId633" Type="http://schemas.openxmlformats.org/officeDocument/2006/relationships/hyperlink" Target="https://sciwheel.com/work/citation?ids=10683308&amp;pre=&amp;suf=&amp;sa=0" TargetMode="External"/><Relationship Id="rId840" Type="http://schemas.openxmlformats.org/officeDocument/2006/relationships/hyperlink" Target="https://www.sheffield.ac.uk/govern/data-protection/privacy/general" TargetMode="External"/><Relationship Id="rId67" Type="http://schemas.openxmlformats.org/officeDocument/2006/relationships/hyperlink" Target="https://sciwheel.com/work/citation?ids=1153543,2133216,353736,2107997&amp;pre=&amp;pre=&amp;pre=&amp;pre=&amp;suf=&amp;suf=&amp;suf=&amp;suf=&amp;sa=0,0,0,0" TargetMode="External"/><Relationship Id="rId272" Type="http://schemas.openxmlformats.org/officeDocument/2006/relationships/hyperlink" Target="https://sciwheel.com/work/citation?ids=15144920,3580106,8297111,8289909&amp;pre=&amp;pre=&amp;pre=&amp;pre=&amp;suf=&amp;suf=&amp;suf=&amp;suf=&amp;sa=0,0,0,0" TargetMode="External"/><Relationship Id="rId577" Type="http://schemas.openxmlformats.org/officeDocument/2006/relationships/hyperlink" Target="https://sciwheel.com/work/citation?ids=7087803,16170913,7243428&amp;pre=&amp;pre=&amp;pre=&amp;suf=&amp;suf=&amp;suf=&amp;sa=0,0,0" TargetMode="External"/><Relationship Id="rId700" Type="http://schemas.openxmlformats.org/officeDocument/2006/relationships/hyperlink" Target="https://sciwheel.com/work/citation?ids=15928984,15928985,7210816&amp;pre=&amp;pre=&amp;pre=&amp;suf=&amp;suf=&amp;suf=&amp;sa=0,0,0" TargetMode="External"/><Relationship Id="rId132" Type="http://schemas.openxmlformats.org/officeDocument/2006/relationships/hyperlink" Target="https://sciwheel.com/work/citation?ids=9195751,5742903,8922814&amp;pre=&amp;pre=&amp;pre=&amp;suf=&amp;suf=&amp;suf=&amp;sa=0,0,0" TargetMode="External"/><Relationship Id="rId784" Type="http://schemas.openxmlformats.org/officeDocument/2006/relationships/hyperlink" Target="https://sciwheel.com/work/citation?ids=3602347&amp;pre=&amp;suf=&amp;sa=0" TargetMode="External"/><Relationship Id="rId437" Type="http://schemas.openxmlformats.org/officeDocument/2006/relationships/hyperlink" Target="https://sciwheel.com/work/citation?ids=16558617&amp;pre=&amp;suf=&amp;sa=0" TargetMode="External"/><Relationship Id="rId644" Type="http://schemas.openxmlformats.org/officeDocument/2006/relationships/hyperlink" Target="https://sciwheel.com/work/citation?ids=15145267&amp;pre=&amp;suf=&amp;sa=0" TargetMode="External"/><Relationship Id="rId851" Type="http://schemas.openxmlformats.org/officeDocument/2006/relationships/hyperlink" Target="https://www.nhs.uk/conditions/stress-anxiety-depression/improve-mental-wellbeing/" TargetMode="External"/><Relationship Id="rId283" Type="http://schemas.openxmlformats.org/officeDocument/2006/relationships/hyperlink" Target="https://sciwheel.com/work/citation?ids=15145267&amp;pre=&amp;suf=&amp;sa=0" TargetMode="External"/><Relationship Id="rId490" Type="http://schemas.openxmlformats.org/officeDocument/2006/relationships/hyperlink" Target="https://sciwheel.com/work/citation?ids=8057416&amp;pre=&amp;suf=&amp;sa=0" TargetMode="External"/><Relationship Id="rId504" Type="http://schemas.openxmlformats.org/officeDocument/2006/relationships/hyperlink" Target="https://sciwheel.com/work/citation?ids=8292404&amp;pre=&amp;suf=&amp;sa=0" TargetMode="External"/><Relationship Id="rId711" Type="http://schemas.openxmlformats.org/officeDocument/2006/relationships/hyperlink" Target="https://sciwheel.com/work/citation?ids=7485628&amp;pre=&amp;suf=&amp;sa=0" TargetMode="External"/><Relationship Id="rId78" Type="http://schemas.openxmlformats.org/officeDocument/2006/relationships/hyperlink" Target="https://sciwheel.com/work/citation?ids=1195168,3673779,606965&amp;pre=&amp;pre=&amp;pre=&amp;suf=&amp;suf=&amp;suf=&amp;sa=0,0,0" TargetMode="External"/><Relationship Id="rId143" Type="http://schemas.openxmlformats.org/officeDocument/2006/relationships/hyperlink" Target="https://sciwheel.com/work/citation?ids=5608402&amp;pre=&amp;suf=&amp;sa=0" TargetMode="External"/><Relationship Id="rId350" Type="http://schemas.openxmlformats.org/officeDocument/2006/relationships/hyperlink" Target="https://sciwheel.com/work/citation?ids=891744&amp;pre=&amp;suf=&amp;sa=0" TargetMode="External"/><Relationship Id="rId588" Type="http://schemas.openxmlformats.org/officeDocument/2006/relationships/hyperlink" Target="https://sciwheel.com/work/citation?ids=9673018,7942987,15110761,16477766,16477767&amp;pre=&amp;pre=&amp;pre=&amp;pre=&amp;pre=&amp;suf=&amp;suf=&amp;suf=&amp;suf=&amp;suf=&amp;sa=0,0,0,0,0" TargetMode="External"/><Relationship Id="rId795" Type="http://schemas.openxmlformats.org/officeDocument/2006/relationships/hyperlink" Target="https://sciwheel.com/work/citation?ids=2603803,16513953&amp;pre=&amp;pre=&amp;suf=&amp;suf=&amp;sa=0,0" TargetMode="External"/><Relationship Id="rId809" Type="http://schemas.openxmlformats.org/officeDocument/2006/relationships/hyperlink" Target="https://sciwheel.com/work/citation?ids=5875201&amp;pre=&amp;suf=&amp;sa=0" TargetMode="External"/><Relationship Id="rId9" Type="http://schemas.openxmlformats.org/officeDocument/2006/relationships/image" Target="media/image1.png"/><Relationship Id="rId210" Type="http://schemas.openxmlformats.org/officeDocument/2006/relationships/hyperlink" Target="https://sciwheel.com/work/citation?ids=308472&amp;pre=&amp;suf=&amp;sa=0" TargetMode="External"/><Relationship Id="rId448" Type="http://schemas.openxmlformats.org/officeDocument/2006/relationships/image" Target="media/image5.jpg"/><Relationship Id="rId655" Type="http://schemas.openxmlformats.org/officeDocument/2006/relationships/hyperlink" Target="https://sciwheel.com/work/citation?ids=15906429,1813538&amp;pre=&amp;pre=&amp;suf=&amp;suf=&amp;sa=0,0" TargetMode="External"/><Relationship Id="rId862" Type="http://schemas.openxmlformats.org/officeDocument/2006/relationships/hyperlink" Target="https://www.nhs.uk/mental-health/feelings-symptoms-behaviours/feelings-and-symptoms/stress/" TargetMode="External"/><Relationship Id="rId294" Type="http://schemas.openxmlformats.org/officeDocument/2006/relationships/hyperlink" Target="https://sciwheel.com/work/citation?ids=2992963&amp;pre=&amp;suf=&amp;sa=0" TargetMode="External"/><Relationship Id="rId308" Type="http://schemas.openxmlformats.org/officeDocument/2006/relationships/hyperlink" Target="https://sciwheel.com/work/citation?ids=15150196&amp;pre=&amp;suf=&amp;sa=0" TargetMode="External"/><Relationship Id="rId515" Type="http://schemas.openxmlformats.org/officeDocument/2006/relationships/hyperlink" Target="https://sciwheel.com/work/citation?ids=16250080&amp;pre=&amp;suf=&amp;sa=0" TargetMode="External"/><Relationship Id="rId722" Type="http://schemas.openxmlformats.org/officeDocument/2006/relationships/hyperlink" Target="https://sciwheel.com/work/citation?ids=891896,1264556,12174471,6279817,3135374,584559,3924623,2915932&amp;pre=&amp;pre=&amp;pre=&amp;pre=&amp;pre=&amp;pre=&amp;pre=&amp;pre=&amp;suf=&amp;suf=&amp;suf=&amp;suf=&amp;suf=&amp;suf=&amp;suf=&amp;suf=&amp;sa=0,0,0,0,0,0,0,0" TargetMode="External"/><Relationship Id="rId89" Type="http://schemas.openxmlformats.org/officeDocument/2006/relationships/hyperlink" Target="https://sciwheel.com/work/citation?ids=1813256&amp;pre=&amp;suf=&amp;sa=0" TargetMode="External"/><Relationship Id="rId154" Type="http://schemas.openxmlformats.org/officeDocument/2006/relationships/hyperlink" Target="https://sciwheel.com/work/citation?ids=6661265&amp;pre=&amp;suf=&amp;sa=0" TargetMode="External"/><Relationship Id="rId361" Type="http://schemas.openxmlformats.org/officeDocument/2006/relationships/hyperlink" Target="https://sciwheel.com/work/citation?ids=10878448&amp;pre=&amp;suf=&amp;sa=0" TargetMode="External"/><Relationship Id="rId599" Type="http://schemas.openxmlformats.org/officeDocument/2006/relationships/hyperlink" Target="https://sciwheel.com/work/citation?ids=4563112&amp;pre=&amp;suf=&amp;sa=0" TargetMode="External"/><Relationship Id="rId459" Type="http://schemas.openxmlformats.org/officeDocument/2006/relationships/hyperlink" Target="https://sciwheel.com/work/citation?ids=3555107&amp;pre=&amp;suf=&amp;sa=0" TargetMode="External"/><Relationship Id="rId666" Type="http://schemas.openxmlformats.org/officeDocument/2006/relationships/hyperlink" Target="https://sciwheel.com/work/citation?ids=14150860&amp;pre=&amp;suf=&amp;sa=0" TargetMode="External"/><Relationship Id="rId873" Type="http://schemas.openxmlformats.org/officeDocument/2006/relationships/hyperlink" Target="mailto:byan6@sheffield.ac.uk" TargetMode="External"/><Relationship Id="rId16" Type="http://schemas.openxmlformats.org/officeDocument/2006/relationships/hyperlink" Target="https://sciwheel.com/work/citation?ids=1884147&amp;pre=&amp;suf=&amp;sa=0" TargetMode="External"/><Relationship Id="rId221" Type="http://schemas.openxmlformats.org/officeDocument/2006/relationships/hyperlink" Target="https://sciwheel.com/work/citation?ids=8111499&amp;pre=&amp;suf=&amp;sa=0" TargetMode="External"/><Relationship Id="rId319" Type="http://schemas.openxmlformats.org/officeDocument/2006/relationships/hyperlink" Target="https://sciwheel.com/work/citation?ids=15145267&amp;pre=&amp;suf=&amp;sa=0" TargetMode="External"/><Relationship Id="rId526" Type="http://schemas.openxmlformats.org/officeDocument/2006/relationships/hyperlink" Target="https://sciwheel.com/work/citation?ids=1812024,7087432&amp;pre=&amp;pre=&amp;suf=&amp;suf=&amp;sa=0,0" TargetMode="External"/><Relationship Id="rId733" Type="http://schemas.openxmlformats.org/officeDocument/2006/relationships/hyperlink" Target="https://sciwheel.com/work/citation?ids=1156984,7431247,10819534&amp;pre=&amp;pre=&amp;pre=&amp;suf=&amp;suf=&amp;suf=&amp;sa=0,0,0" TargetMode="External"/><Relationship Id="rId165" Type="http://schemas.openxmlformats.org/officeDocument/2006/relationships/hyperlink" Target="https://sciwheel.com/work/citation?ids=16342273,1810538,7243427&amp;pre=&amp;pre=&amp;pre=&amp;suf=&amp;suf=&amp;suf=&amp;sa=0,0,0" TargetMode="External"/><Relationship Id="rId372" Type="http://schemas.openxmlformats.org/officeDocument/2006/relationships/hyperlink" Target="https://sciwheel.com/work/citation?ids=15747358&amp;pre=&amp;suf=&amp;sa=0" TargetMode="External"/><Relationship Id="rId677" Type="http://schemas.openxmlformats.org/officeDocument/2006/relationships/hyperlink" Target="https://sciwheel.com/work/citation?ids=551354&amp;pre=&amp;suf=&amp;sa=0" TargetMode="External"/><Relationship Id="rId800" Type="http://schemas.openxmlformats.org/officeDocument/2006/relationships/hyperlink" Target="https://sciwheel.com/work/citation?ids=5906106&amp;pre=&amp;suf=&amp;sa=0" TargetMode="External"/><Relationship Id="rId232" Type="http://schemas.openxmlformats.org/officeDocument/2006/relationships/hyperlink" Target="https://sciwheel.com/work/citation?ids=13453408&amp;pre=&amp;suf=&amp;sa=0" TargetMode="External"/><Relationship Id="rId884" Type="http://schemas.openxmlformats.org/officeDocument/2006/relationships/hyperlink" Target="mailto:l.v.unwin@sheffield.ac.uk" TargetMode="External"/><Relationship Id="rId27" Type="http://schemas.openxmlformats.org/officeDocument/2006/relationships/hyperlink" Target="https://sciwheel.com/work/citation?ids=1266417,568365,8667966,14220906&amp;pre=&amp;pre=&amp;pre=&amp;pre=&amp;suf=&amp;suf=&amp;suf=&amp;suf=&amp;sa=0,0,0,0" TargetMode="External"/><Relationship Id="rId537" Type="http://schemas.openxmlformats.org/officeDocument/2006/relationships/hyperlink" Target="https://sciwheel.com/work/citation?ids=8293296,8291706&amp;pre=&amp;pre=&amp;suf=&amp;suf=&amp;sa=0,0" TargetMode="External"/><Relationship Id="rId744" Type="http://schemas.openxmlformats.org/officeDocument/2006/relationships/header" Target="header8.xml"/><Relationship Id="rId80" Type="http://schemas.openxmlformats.org/officeDocument/2006/relationships/hyperlink" Target="https://sciwheel.com/work/citation?ids=14236368&amp;pre=&amp;suf=&amp;sa=0" TargetMode="External"/><Relationship Id="rId176" Type="http://schemas.openxmlformats.org/officeDocument/2006/relationships/hyperlink" Target="https://sciwheel.com/work/citation?ids=1810264,1810777&amp;pre=&amp;pre=&amp;suf=&amp;suf=&amp;sa=0,0" TargetMode="External"/><Relationship Id="rId383" Type="http://schemas.openxmlformats.org/officeDocument/2006/relationships/hyperlink" Target="https://sciwheel.com/work/citation?ids=1361090&amp;pre=&amp;suf=&amp;sa=0" TargetMode="External"/><Relationship Id="rId590" Type="http://schemas.openxmlformats.org/officeDocument/2006/relationships/hyperlink" Target="https://sciwheel.com/work/citation?ids=8506807,16478181,6242055,9572757,16478189&amp;pre=&amp;pre=&amp;pre=&amp;pre=&amp;pre=&amp;suf=&amp;suf=&amp;suf=&amp;suf=&amp;suf=&amp;sa=0,0,0,0,0" TargetMode="External"/><Relationship Id="rId604" Type="http://schemas.openxmlformats.org/officeDocument/2006/relationships/hyperlink" Target="https://sciwheel.com/work/citation?ids=14103081&amp;pre=&amp;suf=&amp;sa=0" TargetMode="External"/><Relationship Id="rId811" Type="http://schemas.openxmlformats.org/officeDocument/2006/relationships/hyperlink" Target="https://sciwheel.com/work/citation?ids=7431247&amp;pre=&amp;suf=&amp;sa=0" TargetMode="External"/><Relationship Id="rId243" Type="http://schemas.openxmlformats.org/officeDocument/2006/relationships/hyperlink" Target="https://sciwheel.com/work/citation?ids=8098926&amp;pre=&amp;suf=&amp;sa=0" TargetMode="External"/><Relationship Id="rId450" Type="http://schemas.openxmlformats.org/officeDocument/2006/relationships/hyperlink" Target="https://sciwheel.com/work/citation?ids=15747798&amp;pre=&amp;suf=&amp;sa=0" TargetMode="External"/><Relationship Id="rId688" Type="http://schemas.openxmlformats.org/officeDocument/2006/relationships/hyperlink" Target="https://sciwheel.com/work/citation?ids=16130916,11757700&amp;pre=&amp;pre=&amp;suf=&amp;suf=&amp;sa=0,0" TargetMode="External"/><Relationship Id="rId38" Type="http://schemas.openxmlformats.org/officeDocument/2006/relationships/hyperlink" Target="https://sciwheel.com/work/citation?ids=15582183,15582184,14141680&amp;pre=&amp;pre=&amp;pre=&amp;suf=&amp;suf=&amp;suf=&amp;sa=0,0,0" TargetMode="External"/><Relationship Id="rId103" Type="http://schemas.openxmlformats.org/officeDocument/2006/relationships/hyperlink" Target="https://sciwheel.com/work/citation?ids=1813453,1810692&amp;pre=&amp;pre=&amp;suf=&amp;suf=&amp;sa=0,0" TargetMode="External"/><Relationship Id="rId310" Type="http://schemas.openxmlformats.org/officeDocument/2006/relationships/hyperlink" Target="https://sciwheel.com/work/citation?ids=8289909&amp;pre=&amp;suf=&amp;sa=0" TargetMode="External"/><Relationship Id="rId548" Type="http://schemas.openxmlformats.org/officeDocument/2006/relationships/hyperlink" Target="https://sciwheel.com/work/citation?ids=15144828&amp;pre=&amp;suf=&amp;sa=0" TargetMode="External"/><Relationship Id="rId755" Type="http://schemas.openxmlformats.org/officeDocument/2006/relationships/hyperlink" Target="https://sciwheel.com/work/citation?ids=8288777&amp;pre=&amp;suf=&amp;sa=0" TargetMode="External"/><Relationship Id="rId91" Type="http://schemas.openxmlformats.org/officeDocument/2006/relationships/hyperlink" Target="https://sciwheel.com/work/citation?ids=1810692,16335743&amp;pre=&amp;pre=&amp;suf=&amp;suf=&amp;sa=0,0" TargetMode="External"/><Relationship Id="rId187" Type="http://schemas.openxmlformats.org/officeDocument/2006/relationships/hyperlink" Target="https://sciwheel.com/work/citation?ids=4175553&amp;pre=&amp;suf=&amp;sa=0" TargetMode="External"/><Relationship Id="rId394" Type="http://schemas.openxmlformats.org/officeDocument/2006/relationships/hyperlink" Target="https://sciwheel.com/work/citation?ids=5953250,4535262&amp;pre=&amp;pre=&amp;suf=&amp;suf=&amp;sa=0,0" TargetMode="External"/><Relationship Id="rId408" Type="http://schemas.openxmlformats.org/officeDocument/2006/relationships/hyperlink" Target="https://sciwheel.com/work/citation?ids=15761811&amp;pre=&amp;suf=&amp;sa=0" TargetMode="External"/><Relationship Id="rId615" Type="http://schemas.openxmlformats.org/officeDocument/2006/relationships/hyperlink" Target="https://sciwheel.com/work/citation?ids=16205477&amp;pre=&amp;suf=&amp;sa=0" TargetMode="External"/><Relationship Id="rId822" Type="http://schemas.openxmlformats.org/officeDocument/2006/relationships/hyperlink" Target="https://doi.org/10.1016/0306-4603(96)00034-2" TargetMode="External"/><Relationship Id="rId254" Type="http://schemas.openxmlformats.org/officeDocument/2006/relationships/hyperlink" Target="https://sciwheel.com/work/citation?ids=7430352&amp;pre=&amp;suf=&amp;sa=0" TargetMode="External"/><Relationship Id="rId699" Type="http://schemas.openxmlformats.org/officeDocument/2006/relationships/hyperlink" Target="https://sciwheel.com/work/citation?ids=865571,3618029&amp;pre=&amp;pre=&amp;suf=&amp;suf=&amp;sa=0,0" TargetMode="External"/><Relationship Id="rId49" Type="http://schemas.openxmlformats.org/officeDocument/2006/relationships/hyperlink" Target="https://sciwheel.com/work/citation?ids=10602478&amp;pre=&amp;suf=&amp;sa=0" TargetMode="External"/><Relationship Id="rId114" Type="http://schemas.openxmlformats.org/officeDocument/2006/relationships/hyperlink" Target="https://sciwheel.com/work/citation?ids=16327146&amp;pre=&amp;suf=&amp;sa=0" TargetMode="External"/><Relationship Id="rId461" Type="http://schemas.openxmlformats.org/officeDocument/2006/relationships/hyperlink" Target="https://sciwheel.com/work/citation?ids=3138288&amp;pre=&amp;suf=&amp;sa=0" TargetMode="External"/><Relationship Id="rId559" Type="http://schemas.openxmlformats.org/officeDocument/2006/relationships/hyperlink" Target="https://sciwheel.com/work/citation?ids=1812051&amp;pre=&amp;suf=&amp;sa=0" TargetMode="External"/><Relationship Id="rId766" Type="http://schemas.openxmlformats.org/officeDocument/2006/relationships/hyperlink" Target="https://sciwheel.com/work/citation?ids=15669384&amp;pre=&amp;suf=&amp;sa=0" TargetMode="External"/><Relationship Id="rId198" Type="http://schemas.openxmlformats.org/officeDocument/2006/relationships/hyperlink" Target="https://sciwheel.com/work/citation?ids=7048305&amp;pre=&amp;suf=&amp;sa=0" TargetMode="External"/><Relationship Id="rId321" Type="http://schemas.openxmlformats.org/officeDocument/2006/relationships/hyperlink" Target="https://sciwheel.com/work/citation?ids=1812051,7430352&amp;pre=&amp;pre=&amp;suf=&amp;suf=&amp;sa=0,0" TargetMode="External"/><Relationship Id="rId419" Type="http://schemas.openxmlformats.org/officeDocument/2006/relationships/hyperlink" Target="https://sciwheel.com/work/citation?ids=15714605&amp;pre=&amp;suf=&amp;sa=0" TargetMode="External"/><Relationship Id="rId626" Type="http://schemas.openxmlformats.org/officeDocument/2006/relationships/hyperlink" Target="https://sciwheel.com/work/citation?ids=16096022&amp;pre=&amp;suf=&amp;sa=0" TargetMode="External"/><Relationship Id="rId833" Type="http://schemas.openxmlformats.org/officeDocument/2006/relationships/hyperlink" Target="https://doi.org/10.1016/j.physbeh.2010.01.012" TargetMode="External"/><Relationship Id="rId265" Type="http://schemas.openxmlformats.org/officeDocument/2006/relationships/hyperlink" Target="https://sciwheel.com/work/citation?ids=16242843&amp;pre=&amp;suf=&amp;sa=0" TargetMode="External"/><Relationship Id="rId472" Type="http://schemas.openxmlformats.org/officeDocument/2006/relationships/hyperlink" Target="https://sciwheel.com/work/citation?ids=1812051,7430352&amp;pre=&amp;pre=&amp;suf=&amp;suf=&amp;sa=0,0" TargetMode="External"/><Relationship Id="rId125" Type="http://schemas.openxmlformats.org/officeDocument/2006/relationships/hyperlink" Target="https://sciwheel.com/work/citation?ids=16555346&amp;pre=&amp;suf=&amp;sa=0" TargetMode="External"/><Relationship Id="rId332" Type="http://schemas.openxmlformats.org/officeDocument/2006/relationships/hyperlink" Target="https://sciwheel.com/work/citation?ids=15144920,15654934,15655567,15150196,8289909,13605504,10552444&amp;pre=&amp;pre=&amp;pre=&amp;pre=&amp;pre=&amp;pre=&amp;pre=&amp;suf=&amp;suf=&amp;suf=&amp;suf=&amp;suf=&amp;suf=&amp;suf=&amp;sa=0,0,0,0,0,0,0" TargetMode="External"/><Relationship Id="rId777" Type="http://schemas.openxmlformats.org/officeDocument/2006/relationships/hyperlink" Target="https://sciwheel.com/work/citation?ids=5352901,12262777&amp;pre=&amp;pre=&amp;suf=&amp;suf=&amp;sa=0,0" TargetMode="External"/><Relationship Id="rId637" Type="http://schemas.openxmlformats.org/officeDocument/2006/relationships/hyperlink" Target="https://sciwheel.com/work/citation?ids=2420242&amp;pre=&amp;suf=&amp;sa=0" TargetMode="External"/><Relationship Id="rId844" Type="http://schemas.openxmlformats.org/officeDocument/2006/relationships/hyperlink" Target="mailto:l.v.unwin@sheffield.ac.uk" TargetMode="External"/><Relationship Id="rId276" Type="http://schemas.openxmlformats.org/officeDocument/2006/relationships/hyperlink" Target="https://sciwheel.com/work/citation?ids=10481056&amp;pre=&amp;suf=&amp;sa=0" TargetMode="External"/><Relationship Id="rId483" Type="http://schemas.openxmlformats.org/officeDocument/2006/relationships/hyperlink" Target="https://sciwheel.com/work/citation?ids=12174658&amp;pre=&amp;suf=&amp;sa=0" TargetMode="External"/><Relationship Id="rId690" Type="http://schemas.openxmlformats.org/officeDocument/2006/relationships/hyperlink" Target="https://sciwheel.com/work/citation?ids=9885587&amp;pre=&amp;suf=&amp;sa=0" TargetMode="External"/><Relationship Id="rId704" Type="http://schemas.openxmlformats.org/officeDocument/2006/relationships/hyperlink" Target="https://sciwheel.com/work/citation?ids=15145267&amp;pre=&amp;suf=&amp;sa=0" TargetMode="External"/><Relationship Id="rId40" Type="http://schemas.openxmlformats.org/officeDocument/2006/relationships/hyperlink" Target="https://sciwheel.com/work/citation?ids=3437313&amp;pre=&amp;suf=&amp;sa=0" TargetMode="External"/><Relationship Id="rId136" Type="http://schemas.openxmlformats.org/officeDocument/2006/relationships/hyperlink" Target="https://sciwheel.com/work/citation?ids=8291080,2378880,7771783&amp;pre=&amp;pre=&amp;pre=&amp;suf=&amp;suf=&amp;suf=&amp;sa=0,0,0" TargetMode="External"/><Relationship Id="rId343" Type="http://schemas.openxmlformats.org/officeDocument/2006/relationships/hyperlink" Target="https://sciwheel.com/work/citation?ids=2770664&amp;pre=&amp;suf=&amp;sa=0" TargetMode="External"/><Relationship Id="rId550" Type="http://schemas.openxmlformats.org/officeDocument/2006/relationships/hyperlink" Target="https://sciwheel.com/work/citation?ids=15144840&amp;pre=&amp;suf=&amp;sa=0" TargetMode="External"/><Relationship Id="rId788" Type="http://schemas.openxmlformats.org/officeDocument/2006/relationships/hyperlink" Target="https://sciwheel.com/work/citation?ids=8487901&amp;pre=&amp;suf=&amp;sa=0" TargetMode="External"/><Relationship Id="rId203" Type="http://schemas.openxmlformats.org/officeDocument/2006/relationships/hyperlink" Target="https://sciwheel.com/work/citation?ids=16639003&amp;pre=&amp;suf=&amp;sa=0" TargetMode="External"/><Relationship Id="rId648" Type="http://schemas.openxmlformats.org/officeDocument/2006/relationships/hyperlink" Target="https://sciwheel.com/work/citation?ids=13743696&amp;pre=&amp;suf=&amp;sa=0" TargetMode="External"/><Relationship Id="rId855" Type="http://schemas.openxmlformats.org/officeDocument/2006/relationships/hyperlink" Target="mailto:n.buckland@sheffield.ac.uk" TargetMode="External"/><Relationship Id="rId287" Type="http://schemas.openxmlformats.org/officeDocument/2006/relationships/hyperlink" Target="https://sciwheel.com/work/citation?ids=15655567&amp;pre=&amp;suf=&amp;sa=0" TargetMode="External"/><Relationship Id="rId410" Type="http://schemas.openxmlformats.org/officeDocument/2006/relationships/hyperlink" Target="https://sciwheel.com/work/citation?ids=7942987&amp;pre=&amp;suf=&amp;sa=0" TargetMode="External"/><Relationship Id="rId494" Type="http://schemas.openxmlformats.org/officeDocument/2006/relationships/hyperlink" Target="https://sciwheel.com/work/citation?ids=16438515,12384020,8297874,15932293&amp;pre=&amp;pre=&amp;pre=&amp;pre=&amp;suf=&amp;suf=&amp;suf=&amp;suf=&amp;sa=0,0,0,0" TargetMode="External"/><Relationship Id="rId508" Type="http://schemas.openxmlformats.org/officeDocument/2006/relationships/hyperlink" Target="https://sciwheel.com/work/citation?ids=16356091,4520511&amp;pre=&amp;pre=&amp;suf=&amp;suf=&amp;sa=0,0" TargetMode="External"/><Relationship Id="rId715" Type="http://schemas.openxmlformats.org/officeDocument/2006/relationships/hyperlink" Target="https://sciwheel.com/work/citation?ids=5975539,16134459,7441276&amp;pre=&amp;pre=&amp;pre=&amp;suf=&amp;suf=&amp;suf=&amp;sa=0,0,0" TargetMode="External"/><Relationship Id="rId147" Type="http://schemas.openxmlformats.org/officeDocument/2006/relationships/hyperlink" Target="https://sciwheel.com/work/citation?ids=1813821&amp;pre=&amp;suf=&amp;sa=0" TargetMode="External"/><Relationship Id="rId354" Type="http://schemas.openxmlformats.org/officeDocument/2006/relationships/hyperlink" Target="https://sciwheel.com/work/citation?ids=876705,4534696&amp;pre=&amp;pre=&amp;suf=&amp;suf=&amp;sa=0,0" TargetMode="External"/><Relationship Id="rId799" Type="http://schemas.openxmlformats.org/officeDocument/2006/relationships/hyperlink" Target="https://sciwheel.com/work/citation?ids=811130&amp;pre=&amp;suf=&amp;sa=0" TargetMode="External"/><Relationship Id="rId51" Type="http://schemas.openxmlformats.org/officeDocument/2006/relationships/hyperlink" Target="https://sciwheel.com/work/citation?ids=3522018&amp;pre=&amp;suf=&amp;sa=0" TargetMode="External"/><Relationship Id="rId561" Type="http://schemas.openxmlformats.org/officeDocument/2006/relationships/hyperlink" Target="https://sciwheel.com/work/citation?ids=12174661&amp;pre=&amp;suf=&amp;sa=0" TargetMode="External"/><Relationship Id="rId659" Type="http://schemas.openxmlformats.org/officeDocument/2006/relationships/hyperlink" Target="https://sciwheel.com/work/citation?ids=7430354&amp;pre=&amp;suf=&amp;sa=0" TargetMode="External"/><Relationship Id="rId866" Type="http://schemas.openxmlformats.org/officeDocument/2006/relationships/hyperlink" Target="mailto:byan6@sheffield.ac.uk" TargetMode="External"/><Relationship Id="rId214" Type="http://schemas.openxmlformats.org/officeDocument/2006/relationships/hyperlink" Target="https://sciwheel.com/work/citation?ids=9862322&amp;pre=&amp;suf=&amp;sa=0" TargetMode="External"/><Relationship Id="rId298" Type="http://schemas.openxmlformats.org/officeDocument/2006/relationships/hyperlink" Target="https://sciwheel.com/work/citation?ids=6477132&amp;pre=&amp;suf=&amp;sa=0" TargetMode="External"/><Relationship Id="rId421" Type="http://schemas.openxmlformats.org/officeDocument/2006/relationships/hyperlink" Target="https://sciwheel.com/work/citation?ids=15718116&amp;pre=&amp;suf=&amp;sa=0" TargetMode="External"/><Relationship Id="rId519" Type="http://schemas.openxmlformats.org/officeDocument/2006/relationships/hyperlink" Target="https://sciwheel.com/work/citation?ids=8290019,15868221,16095978,5975188,8297874&amp;pre=&amp;pre=&amp;pre=&amp;pre=&amp;pre=&amp;suf=&amp;suf=&amp;suf=&amp;suf=&amp;suf=&amp;sa=0,0,0,0,0" TargetMode="External"/><Relationship Id="rId158" Type="http://schemas.openxmlformats.org/officeDocument/2006/relationships/hyperlink" Target="https://sciwheel.com/work/citation?ids=14488182&amp;pre=&amp;suf=&amp;sa=0" TargetMode="External"/><Relationship Id="rId726" Type="http://schemas.openxmlformats.org/officeDocument/2006/relationships/hyperlink" Target="https://sciwheel.com/work/citation?ids=15144828&amp;pre=&amp;suf=&amp;sa=0" TargetMode="External"/><Relationship Id="rId62" Type="http://schemas.openxmlformats.org/officeDocument/2006/relationships/hyperlink" Target="https://sciwheel.com/work/citation?ids=1813437&amp;pre=&amp;suf=&amp;sa=0" TargetMode="External"/><Relationship Id="rId365" Type="http://schemas.openxmlformats.org/officeDocument/2006/relationships/hyperlink" Target="https://sciwheel.com/work/citation?ids=7331443&amp;pre=&amp;suf=&amp;sa=0" TargetMode="External"/><Relationship Id="rId572" Type="http://schemas.openxmlformats.org/officeDocument/2006/relationships/hyperlink" Target="https://sciwheel.com/work/citation?ids=15145267,13823248,8098861,1812051&amp;pre=&amp;pre=&amp;pre=&amp;pre=&amp;suf=&amp;suf=&amp;suf=&amp;suf=&amp;sa=0,0,0,0" TargetMode="External"/><Relationship Id="rId225" Type="http://schemas.openxmlformats.org/officeDocument/2006/relationships/hyperlink" Target="https://sciwheel.com/work/citation?ids=3785572&amp;pre=&amp;suf=&amp;sa=0" TargetMode="External"/><Relationship Id="rId432" Type="http://schemas.openxmlformats.org/officeDocument/2006/relationships/hyperlink" Target="https://sciwheel.com/work/citation?ids=8051263,8459588&amp;pre=&amp;pre=&amp;suf=&amp;suf=&amp;sa=0,0" TargetMode="External"/><Relationship Id="rId877" Type="http://schemas.openxmlformats.org/officeDocument/2006/relationships/hyperlink" Target="https://www.nhs.uk/every-mind-matters/lifes-challenges/our-personal-lives-and-relationships/" TargetMode="External"/><Relationship Id="rId737" Type="http://schemas.openxmlformats.org/officeDocument/2006/relationships/hyperlink" Target="https://sciwheel.com/work/citation?ids=5352873&amp;pre=&amp;suf=&amp;sa=0" TargetMode="External"/><Relationship Id="rId73" Type="http://schemas.openxmlformats.org/officeDocument/2006/relationships/hyperlink" Target="https://sciwheel.com/work/citation?ids=1519012&amp;pre=&amp;suf=&amp;sa=0" TargetMode="External"/><Relationship Id="rId169" Type="http://schemas.openxmlformats.org/officeDocument/2006/relationships/hyperlink" Target="https://sciwheel.com/work/citation?ids=8550834,15714617,10929509,16342717&amp;pre=&amp;pre=&amp;pre=&amp;pre=&amp;suf=&amp;suf=&amp;suf=&amp;suf=&amp;sa=0,0,0,0" TargetMode="External"/><Relationship Id="rId376" Type="http://schemas.openxmlformats.org/officeDocument/2006/relationships/hyperlink" Target="https://sciwheel.com/work/citation?ids=16702575&amp;pre=&amp;suf=&amp;sa=0" TargetMode="External"/><Relationship Id="rId583" Type="http://schemas.openxmlformats.org/officeDocument/2006/relationships/hyperlink" Target="https://sciwheel.com/work/citation?ids=8423195&amp;pre=&amp;suf=&amp;sa=0" TargetMode="External"/><Relationship Id="rId790" Type="http://schemas.openxmlformats.org/officeDocument/2006/relationships/hyperlink" Target="https://sciwheel.com/work/citation?ids=3104685&amp;pre=&amp;suf=&amp;sa=0" TargetMode="External"/><Relationship Id="rId804" Type="http://schemas.openxmlformats.org/officeDocument/2006/relationships/hyperlink" Target="https://sciwheel.com/work/citation?ids=5975539&amp;pre=&amp;suf=&amp;sa=0" TargetMode="External"/><Relationship Id="rId4" Type="http://schemas.openxmlformats.org/officeDocument/2006/relationships/styles" Target="styles.xml"/><Relationship Id="rId236" Type="http://schemas.openxmlformats.org/officeDocument/2006/relationships/hyperlink" Target="https://sciwheel.com/work/citation?ids=15145267&amp;pre=&amp;suf=&amp;sa=0" TargetMode="External"/><Relationship Id="rId443" Type="http://schemas.openxmlformats.org/officeDocument/2006/relationships/hyperlink" Target="https://sciwheel.com/work/citation?ids=1033308&amp;pre=&amp;suf=&amp;sa=0" TargetMode="External"/><Relationship Id="rId650" Type="http://schemas.openxmlformats.org/officeDocument/2006/relationships/hyperlink" Target="https://sciwheel.com/work/citation?ids=13823248&amp;pre=&amp;suf=&amp;sa=0" TargetMode="External"/><Relationship Id="rId888" Type="http://schemas.openxmlformats.org/officeDocument/2006/relationships/theme" Target="theme/theme1.xml"/><Relationship Id="rId303" Type="http://schemas.openxmlformats.org/officeDocument/2006/relationships/hyperlink" Target="https://sciwheel.com/work/citation?ids=10481056&amp;pre=&amp;suf=&amp;sa=0" TargetMode="External"/><Relationship Id="rId748" Type="http://schemas.openxmlformats.org/officeDocument/2006/relationships/hyperlink" Target="https://sciwheel.com/work/citation?ids=8098861&amp;pre=&amp;suf=&amp;sa=0" TargetMode="External"/><Relationship Id="rId84" Type="http://schemas.openxmlformats.org/officeDocument/2006/relationships/hyperlink" Target="https://sciwheel.com/work/citation?ids=5975471&amp;pre=&amp;suf=&amp;sa=0" TargetMode="External"/><Relationship Id="rId387" Type="http://schemas.openxmlformats.org/officeDocument/2006/relationships/hyperlink" Target="https://sciwheel.com/work/citation?ids=6894112&amp;pre=&amp;suf=&amp;sa=0" TargetMode="External"/><Relationship Id="rId510" Type="http://schemas.openxmlformats.org/officeDocument/2006/relationships/hyperlink" Target="https://sciwheel.com/work/citation?ids=3602475&amp;pre=&amp;suf=&amp;sa=0" TargetMode="External"/><Relationship Id="rId594" Type="http://schemas.openxmlformats.org/officeDocument/2006/relationships/hyperlink" Target="https://sciwheel.com/work/citation?ids=382582&amp;pre=&amp;suf=&amp;sa=0" TargetMode="External"/><Relationship Id="rId608" Type="http://schemas.openxmlformats.org/officeDocument/2006/relationships/hyperlink" Target="https://sciwheel.com/work/citation?ids=1812051,7430352&amp;pre=&amp;pre=&amp;suf=&amp;suf=&amp;sa=0,0" TargetMode="External"/><Relationship Id="rId815" Type="http://schemas.openxmlformats.org/officeDocument/2006/relationships/hyperlink" Target="https://sciwheel.com/work/citation?ids=16134442,16279507,7826104,5952155,2603734&amp;pre=&amp;pre=&amp;pre=&amp;pre=&amp;pre=&amp;suf=&amp;suf=&amp;suf=&amp;suf=&amp;suf=&amp;sa=0,0,0,0,0" TargetMode="External"/><Relationship Id="rId247" Type="http://schemas.openxmlformats.org/officeDocument/2006/relationships/hyperlink" Target="https://sciwheel.com/work/citation?ids=16243749&amp;pre=&amp;suf=&amp;sa=0" TargetMode="External"/><Relationship Id="rId107" Type="http://schemas.openxmlformats.org/officeDocument/2006/relationships/hyperlink" Target="https://sciwheel.com/work/citation?ids=20557&amp;pre=&amp;suf=&amp;sa=0" TargetMode="External"/><Relationship Id="rId454" Type="http://schemas.openxmlformats.org/officeDocument/2006/relationships/hyperlink" Target="https://sciwheel.com/work/citation?ids=3603088&amp;pre=&amp;suf=&amp;sa=0" TargetMode="External"/><Relationship Id="rId661" Type="http://schemas.openxmlformats.org/officeDocument/2006/relationships/hyperlink" Target="https://sciwheel.com/work/citation?ids=15145267&amp;pre=&amp;suf=&amp;sa=0" TargetMode="External"/><Relationship Id="rId759" Type="http://schemas.openxmlformats.org/officeDocument/2006/relationships/hyperlink" Target="https://sciwheel.com/work/citation?ids=1754696&amp;pre=&amp;suf=&amp;sa=0" TargetMode="External"/><Relationship Id="rId11" Type="http://schemas.openxmlformats.org/officeDocument/2006/relationships/footer" Target="footer2.xml"/><Relationship Id="rId314" Type="http://schemas.openxmlformats.org/officeDocument/2006/relationships/hyperlink" Target="https://sciwheel.com/work/citation?ids=8297111,15613181&amp;pre=&amp;pre=&amp;suf=&amp;suf=&amp;sa=0,0" TargetMode="External"/><Relationship Id="rId398" Type="http://schemas.openxmlformats.org/officeDocument/2006/relationships/hyperlink" Target="https://sciwheel.com/work/citation?ids=7492572,2212410,8290312,4097553&amp;pre=&amp;pre=&amp;pre=&amp;pre=&amp;suf=&amp;suf=&amp;suf=&amp;suf=&amp;sa=0,0,0,0" TargetMode="External"/><Relationship Id="rId521" Type="http://schemas.openxmlformats.org/officeDocument/2006/relationships/hyperlink" Target="https://sciwheel.com/work/citation?ids=16096124,11378611&amp;pre=&amp;pre=&amp;suf=&amp;suf=&amp;sa=0,0" TargetMode="External"/><Relationship Id="rId619" Type="http://schemas.openxmlformats.org/officeDocument/2006/relationships/hyperlink" Target="https://sciwheel.com/work/citation?ids=13742138&amp;pre=&amp;suf=&amp;sa=0" TargetMode="External"/><Relationship Id="rId95" Type="http://schemas.openxmlformats.org/officeDocument/2006/relationships/hyperlink" Target="https://sciwheel.com/work/citation?ids=15605298,15605300,3579852&amp;pre=&amp;pre=&amp;pre=&amp;suf=&amp;suf=&amp;suf=&amp;sa=0,0,0" TargetMode="External"/><Relationship Id="rId160" Type="http://schemas.openxmlformats.org/officeDocument/2006/relationships/hyperlink" Target="https://sciwheel.com/work/citation?ids=2479468&amp;pre=&amp;suf=&amp;sa=0" TargetMode="External"/><Relationship Id="rId826" Type="http://schemas.openxmlformats.org/officeDocument/2006/relationships/hyperlink" Target="https://doi.org/10.3390/nu14061265" TargetMode="External"/><Relationship Id="rId258" Type="http://schemas.openxmlformats.org/officeDocument/2006/relationships/hyperlink" Target="https://sciwheel.com/work/citation?ids=13605504&amp;pre=&amp;suf=&amp;sa=0" TargetMode="External"/><Relationship Id="rId465" Type="http://schemas.openxmlformats.org/officeDocument/2006/relationships/hyperlink" Target="https://sciwheel.com/work/citation?ids=13605504&amp;pre=&amp;suf=&amp;sa=0" TargetMode="External"/><Relationship Id="rId672" Type="http://schemas.openxmlformats.org/officeDocument/2006/relationships/hyperlink" Target="https://sciwheel.com/work/citation?ids=9885587&amp;pre=&amp;suf=&amp;sa=0" TargetMode="External"/><Relationship Id="rId22" Type="http://schemas.openxmlformats.org/officeDocument/2006/relationships/hyperlink" Target="https://sciwheel.com/work/citation?ids=6308788&amp;pre=&amp;suf=&amp;sa=0" TargetMode="External"/><Relationship Id="rId118" Type="http://schemas.openxmlformats.org/officeDocument/2006/relationships/hyperlink" Target="https://sciwheel.com/work/citation?ids=16362155,16362159,2378879,16362161,8291308&amp;pre=&amp;pre=&amp;pre=&amp;pre=&amp;pre=&amp;suf=&amp;suf=&amp;suf=&amp;suf=&amp;suf=&amp;sa=0,0,0,0,0" TargetMode="External"/><Relationship Id="rId325" Type="http://schemas.openxmlformats.org/officeDocument/2006/relationships/hyperlink" Target="https://sciwheel.com/work/citation?ids=8098861,8098885,1810547,3580106&amp;pre=&amp;pre=&amp;pre=&amp;pre=&amp;suf=&amp;suf=&amp;suf=&amp;suf=&amp;sa=0,0,0,0" TargetMode="External"/><Relationship Id="rId532" Type="http://schemas.openxmlformats.org/officeDocument/2006/relationships/hyperlink" Target="https://sciwheel.com/work/citation?ids=16096124,11378611&amp;pre=&amp;pre=&amp;suf=&amp;suf=&amp;sa=0,0" TargetMode="External"/><Relationship Id="rId171" Type="http://schemas.openxmlformats.org/officeDocument/2006/relationships/hyperlink" Target="https://sciwheel.com/work/citation?ids=1810772&amp;pre=&amp;suf=&amp;sa=0" TargetMode="External"/><Relationship Id="rId837" Type="http://schemas.openxmlformats.org/officeDocument/2006/relationships/hyperlink" Target="https://www.sheffield.ac.uk/govern/data-protection/privacy/general" TargetMode="External"/><Relationship Id="rId269" Type="http://schemas.openxmlformats.org/officeDocument/2006/relationships/hyperlink" Target="https://sciwheel.com/work/citation?ids=10819518&amp;pre=&amp;suf=&amp;sa=0" TargetMode="External"/><Relationship Id="rId476" Type="http://schemas.openxmlformats.org/officeDocument/2006/relationships/hyperlink" Target="https://sciwheel.com/work/citation?ids=16356091,4520511,1810230&amp;pre=&amp;pre=&amp;pre=&amp;suf=&amp;suf=&amp;suf=&amp;sa=0,0,0" TargetMode="External"/><Relationship Id="rId683" Type="http://schemas.openxmlformats.org/officeDocument/2006/relationships/header" Target="header7.xml"/><Relationship Id="rId33" Type="http://schemas.openxmlformats.org/officeDocument/2006/relationships/hyperlink" Target="https://sciwheel.com/work/citation?ids=6435493&amp;pre=&amp;suf=&amp;sa=0" TargetMode="External"/><Relationship Id="rId129" Type="http://schemas.openxmlformats.org/officeDocument/2006/relationships/hyperlink" Target="https://sciwheel.com/work/citation?ids=8922069&amp;pre=&amp;suf=&amp;sa=0" TargetMode="External"/><Relationship Id="rId336" Type="http://schemas.openxmlformats.org/officeDocument/2006/relationships/hyperlink" Target="https://sciwheel.com/work/citation?ids=16356384,3602800&amp;pre=&amp;pre=&amp;suf=&amp;suf=&amp;sa=0,0" TargetMode="External"/><Relationship Id="rId543" Type="http://schemas.openxmlformats.org/officeDocument/2006/relationships/hyperlink" Target="https://sciwheel.com/work/citation?ids=15144920&amp;pre=&amp;suf=&amp;sa=0" TargetMode="External"/><Relationship Id="rId182" Type="http://schemas.openxmlformats.org/officeDocument/2006/relationships/hyperlink" Target="https://sciwheel.com/work/citation?ids=16349024&amp;pre=&amp;suf=&amp;sa=0" TargetMode="External"/><Relationship Id="rId403" Type="http://schemas.openxmlformats.org/officeDocument/2006/relationships/hyperlink" Target="https://sciwheel.com/work/citation?ids=16192348&amp;pre=&amp;suf=&amp;sa=0" TargetMode="External"/><Relationship Id="rId750" Type="http://schemas.openxmlformats.org/officeDocument/2006/relationships/hyperlink" Target="https://sciwheel.com/work/citation?ids=16356355&amp;pre=&amp;suf=&amp;sa=0" TargetMode="External"/><Relationship Id="rId848" Type="http://schemas.openxmlformats.org/officeDocument/2006/relationships/hyperlink" Target="https://www.beateatingdisorders.org.uk/" TargetMode="External"/><Relationship Id="rId487" Type="http://schemas.openxmlformats.org/officeDocument/2006/relationships/hyperlink" Target="https://sciwheel.com/work/citation?ids=16349529&amp;pre=&amp;suf=&amp;sa=0" TargetMode="External"/><Relationship Id="rId610" Type="http://schemas.openxmlformats.org/officeDocument/2006/relationships/hyperlink" Target="https://sciwheel.com/work/citation?ids=16204876&amp;pre=&amp;suf=&amp;sa=0" TargetMode="External"/><Relationship Id="rId694" Type="http://schemas.openxmlformats.org/officeDocument/2006/relationships/hyperlink" Target="https://sciwheel.com/work/citation?ids=6434294&amp;pre=&amp;suf=&amp;sa=0" TargetMode="External"/><Relationship Id="rId708" Type="http://schemas.openxmlformats.org/officeDocument/2006/relationships/hyperlink" Target="https://sciwheel.com/work/citation?ids=15929835,7048594&amp;pre=&amp;pre=&amp;suf=&amp;suf=&amp;sa=0,0" TargetMode="External"/><Relationship Id="rId347" Type="http://schemas.openxmlformats.org/officeDocument/2006/relationships/hyperlink" Target="https://sciwheel.com/work/citation?ids=5352873&amp;pre=&amp;suf=&amp;sa=0" TargetMode="External"/><Relationship Id="rId44" Type="http://schemas.openxmlformats.org/officeDocument/2006/relationships/hyperlink" Target="https://sciwheel.com/work/citation?ids=1810615&amp;pre=&amp;suf=&amp;sa=0" TargetMode="External"/><Relationship Id="rId554" Type="http://schemas.openxmlformats.org/officeDocument/2006/relationships/hyperlink" Target="https://sciwheel.com/work/citation?ids=2992963&amp;pre=&amp;suf=&amp;sa=0" TargetMode="External"/><Relationship Id="rId761" Type="http://schemas.openxmlformats.org/officeDocument/2006/relationships/hyperlink" Target="https://sciwheel.com/work/citation?ids=9201811&amp;pre=&amp;suf=&amp;sa=0" TargetMode="External"/><Relationship Id="rId859" Type="http://schemas.openxmlformats.org/officeDocument/2006/relationships/hyperlink" Target="mailto:byan6@sheffield.ac.uk" TargetMode="External"/><Relationship Id="rId193" Type="http://schemas.openxmlformats.org/officeDocument/2006/relationships/hyperlink" Target="https://sciwheel.com/work/citation?ids=10157506,16349230&amp;pre=&amp;pre=&amp;suf=&amp;suf=&amp;sa=0,0" TargetMode="External"/><Relationship Id="rId207" Type="http://schemas.openxmlformats.org/officeDocument/2006/relationships/hyperlink" Target="https://sciwheel.com/work/citation?ids=2012751&amp;pre=&amp;suf=&amp;sa=0" TargetMode="External"/><Relationship Id="rId414" Type="http://schemas.openxmlformats.org/officeDocument/2006/relationships/hyperlink" Target="https://sciwheel.com/work/citation?ids=1812801&amp;pre=&amp;suf=&amp;sa=0" TargetMode="External"/><Relationship Id="rId498" Type="http://schemas.openxmlformats.org/officeDocument/2006/relationships/hyperlink" Target="https://sciwheel.com/work/citation?ids=10956985,16195986&amp;pre=&amp;pre=&amp;suf=&amp;suf=&amp;sa=0,0" TargetMode="External"/><Relationship Id="rId621" Type="http://schemas.openxmlformats.org/officeDocument/2006/relationships/hyperlink" Target="https://sciwheel.com/work/citation?ids=962429&amp;pre=&amp;suf=&amp;sa=0" TargetMode="External"/><Relationship Id="rId260" Type="http://schemas.openxmlformats.org/officeDocument/2006/relationships/hyperlink" Target="https://sciwheel.com/work/citation?ids=15144920&amp;pre=&amp;suf=&amp;sa=0" TargetMode="External"/><Relationship Id="rId719" Type="http://schemas.openxmlformats.org/officeDocument/2006/relationships/hyperlink" Target="https://sciwheel.com/work/citation?ids=4563112&amp;pre=&amp;suf=&amp;sa=0" TargetMode="External"/><Relationship Id="rId55" Type="http://schemas.openxmlformats.org/officeDocument/2006/relationships/hyperlink" Target="https://sciwheel.com/work/citation?ids=9590894&amp;pre=&amp;suf=&amp;sa=0" TargetMode="External"/><Relationship Id="rId120" Type="http://schemas.openxmlformats.org/officeDocument/2006/relationships/hyperlink" Target="https://sciwheel.com/work/citation?ids=16362155,2378877,8290170&amp;pre=&amp;pre=&amp;pre=&amp;suf=&amp;suf=&amp;suf=&amp;sa=0,0,0" TargetMode="External"/><Relationship Id="rId358" Type="http://schemas.openxmlformats.org/officeDocument/2006/relationships/hyperlink" Target="https://sciwheel.com/work/citation?ids=10878448&amp;pre=&amp;suf=&amp;sa=0" TargetMode="External"/><Relationship Id="rId565" Type="http://schemas.openxmlformats.org/officeDocument/2006/relationships/hyperlink" Target="https://sciwheel.com/work/citation?ids=15144828&amp;pre=&amp;suf=&amp;sa=0" TargetMode="External"/><Relationship Id="rId772" Type="http://schemas.openxmlformats.org/officeDocument/2006/relationships/hyperlink" Target="https://sciwheel.com/work/citation?ids=10859976,12194446&amp;pre=&amp;pre=&amp;suf=&amp;suf=&amp;sa=0,0" TargetMode="External"/><Relationship Id="rId218" Type="http://schemas.openxmlformats.org/officeDocument/2006/relationships/hyperlink" Target="https://sciwheel.com/work/citation?ids=2649903&amp;pre=&amp;suf=&amp;sa=0" TargetMode="External"/><Relationship Id="rId425" Type="http://schemas.openxmlformats.org/officeDocument/2006/relationships/hyperlink" Target="https://sciwheel.com/work/citation?ids=15718133&amp;pre=&amp;suf=&amp;sa=0" TargetMode="External"/><Relationship Id="rId632" Type="http://schemas.openxmlformats.org/officeDocument/2006/relationships/hyperlink" Target="https://sciwheel.com/work/citation?ids=16215695&amp;pre=&amp;suf=&amp;sa=0" TargetMode="External"/><Relationship Id="rId271" Type="http://schemas.openxmlformats.org/officeDocument/2006/relationships/hyperlink" Target="https://sciwheel.com/work/citation?ids=15144920,3580106,8297111,8289909&amp;pre=&amp;pre=&amp;pre=&amp;pre=&amp;suf=&amp;suf=&amp;suf=&amp;suf=&amp;sa=0,0,0,0" TargetMode="External"/><Relationship Id="rId66" Type="http://schemas.openxmlformats.org/officeDocument/2006/relationships/hyperlink" Target="https://sciwheel.com/work/citation?ids=1812635&amp;pre=&amp;suf=&amp;sa=0" TargetMode="External"/><Relationship Id="rId131" Type="http://schemas.openxmlformats.org/officeDocument/2006/relationships/hyperlink" Target="https://sciwheel.com/work/citation?ids=16359151&amp;pre=&amp;suf=&amp;sa=0" TargetMode="External"/><Relationship Id="rId369" Type="http://schemas.openxmlformats.org/officeDocument/2006/relationships/hyperlink" Target="https://sciwheel.com/work/citation?ids=7331443&amp;pre=&amp;suf=&amp;sa=0" TargetMode="External"/><Relationship Id="rId576" Type="http://schemas.openxmlformats.org/officeDocument/2006/relationships/hyperlink" Target="https://sciwheel.com/work/citation?ids=3769478,9284272,16170909&amp;pre=&amp;pre=&amp;pre=&amp;suf=&amp;suf=&amp;suf=&amp;sa=0,0,0" TargetMode="External"/><Relationship Id="rId783" Type="http://schemas.openxmlformats.org/officeDocument/2006/relationships/hyperlink" Target="https://sciwheel.com/work/citation?ids=16096124&amp;pre=&amp;suf=&amp;sa=0" TargetMode="External"/><Relationship Id="rId229" Type="http://schemas.openxmlformats.org/officeDocument/2006/relationships/hyperlink" Target="https://sciwheel.com/work/citation?ids=8669045,7783239&amp;pre=&amp;pre=&amp;suf=&amp;suf=&amp;sa=0,0" TargetMode="External"/><Relationship Id="rId436" Type="http://schemas.openxmlformats.org/officeDocument/2006/relationships/hyperlink" Target="https://sciwheel.com/work/citation?ids=3611966&amp;pre=&amp;suf=&amp;sa=0" TargetMode="External"/><Relationship Id="rId643" Type="http://schemas.openxmlformats.org/officeDocument/2006/relationships/hyperlink" Target="https://sciwheel.com/work/citation?ids=8289909&amp;pre=&amp;suf=&amp;sa=0" TargetMode="External"/><Relationship Id="rId850" Type="http://schemas.openxmlformats.org/officeDocument/2006/relationships/hyperlink" Target="https://www.cdc.gov/healthyweight/assessing/bmi/adult_bmi/english_bmi_calculator/bmi_calculator.html" TargetMode="External"/><Relationship Id="rId77" Type="http://schemas.openxmlformats.org/officeDocument/2006/relationships/hyperlink" Target="https://sciwheel.com/work/citation?ids=15625514&amp;pre=&amp;suf=&amp;sa=0" TargetMode="External"/><Relationship Id="rId282" Type="http://schemas.openxmlformats.org/officeDocument/2006/relationships/hyperlink" Target="https://sciwheel.com/work/citation?ids=10683308&amp;pre=&amp;suf=&amp;sa=0" TargetMode="External"/><Relationship Id="rId503" Type="http://schemas.openxmlformats.org/officeDocument/2006/relationships/image" Target="media/image6.png"/><Relationship Id="rId587" Type="http://schemas.openxmlformats.org/officeDocument/2006/relationships/image" Target="media/image7.png"/><Relationship Id="rId710" Type="http://schemas.openxmlformats.org/officeDocument/2006/relationships/hyperlink" Target="https://bciosearch.org/BCIO_007063" TargetMode="External"/><Relationship Id="rId808" Type="http://schemas.openxmlformats.org/officeDocument/2006/relationships/hyperlink" Target="https://sciwheel.com/work/citation?ids=15964358&amp;pre=&amp;suf=&amp;sa=0" TargetMode="External"/><Relationship Id="rId8" Type="http://schemas.openxmlformats.org/officeDocument/2006/relationships/endnotes" Target="endnotes.xml"/><Relationship Id="rId142" Type="http://schemas.openxmlformats.org/officeDocument/2006/relationships/hyperlink" Target="https://sciwheel.com/work/citation?ids=15613232&amp;pre=&amp;suf=&amp;sa=0" TargetMode="External"/><Relationship Id="rId447" Type="http://schemas.openxmlformats.org/officeDocument/2006/relationships/hyperlink" Target="https://sciwheel.com/work/citation?ids=16384717,16558658&amp;pre=&amp;pre=&amp;suf=&amp;suf=&amp;sa=0,0" TargetMode="External"/><Relationship Id="rId794" Type="http://schemas.openxmlformats.org/officeDocument/2006/relationships/hyperlink" Target="https://sciwheel.com/work/citation?ids=16134459&amp;pre=&amp;suf=&amp;sa=0" TargetMode="External"/><Relationship Id="rId654" Type="http://schemas.openxmlformats.org/officeDocument/2006/relationships/hyperlink" Target="https://sciwheel.com/work/citation?ids=10481049&amp;pre=&amp;suf=&amp;sa=0" TargetMode="External"/><Relationship Id="rId861" Type="http://schemas.openxmlformats.org/officeDocument/2006/relationships/hyperlink" Target="mailto:byan6@sheffield.ac.uk" TargetMode="External"/><Relationship Id="rId293" Type="http://schemas.openxmlformats.org/officeDocument/2006/relationships/hyperlink" Target="https://sciwheel.com/work/citation?ids=16541078&amp;pre=&amp;suf=&amp;sa=0" TargetMode="External"/><Relationship Id="rId307" Type="http://schemas.openxmlformats.org/officeDocument/2006/relationships/hyperlink" Target="https://sciwheel.com/work/citation?ids=15655567&amp;pre=&amp;suf=&amp;sa=0" TargetMode="External"/><Relationship Id="rId514" Type="http://schemas.openxmlformats.org/officeDocument/2006/relationships/hyperlink" Target="https://sciwheel.com/work/citation?ids=3551713,16441031,9850281,16441043,2706027&amp;pre=&amp;pre=&amp;pre=&amp;pre=&amp;pre=&amp;suf=&amp;suf=&amp;suf=&amp;suf=&amp;suf=&amp;sa=0,0,0,0,0" TargetMode="External"/><Relationship Id="rId721" Type="http://schemas.openxmlformats.org/officeDocument/2006/relationships/hyperlink" Target="https://sciwheel.com/work/citation?ids=7430353&amp;pre=&amp;suf=&amp;sa=0" TargetMode="External"/><Relationship Id="rId88" Type="http://schemas.openxmlformats.org/officeDocument/2006/relationships/hyperlink" Target="https://sciwheel.com/work/citation?ids=863294&amp;pre=&amp;suf=&amp;sa=0" TargetMode="External"/><Relationship Id="rId153" Type="http://schemas.openxmlformats.org/officeDocument/2006/relationships/hyperlink" Target="https://sciwheel.com/work/citation?ids=5889141&amp;pre=&amp;suf=&amp;sa=0" TargetMode="External"/><Relationship Id="rId360" Type="http://schemas.openxmlformats.org/officeDocument/2006/relationships/hyperlink" Target="https://sciwheel.com/work/citation?ids=10878448&amp;pre=&amp;suf=&amp;sa=0" TargetMode="External"/><Relationship Id="rId598" Type="http://schemas.openxmlformats.org/officeDocument/2006/relationships/hyperlink" Target="https://sciwheel.com/work/citation?ids=8823022&amp;pre=&amp;suf=&amp;sa=0" TargetMode="External"/><Relationship Id="rId819" Type="http://schemas.openxmlformats.org/officeDocument/2006/relationships/header" Target="header9.xml"/><Relationship Id="rId220" Type="http://schemas.openxmlformats.org/officeDocument/2006/relationships/hyperlink" Target="https://sciwheel.com/work/citation?ids=16253467&amp;pre=&amp;suf=&amp;sa=0" TargetMode="External"/><Relationship Id="rId458" Type="http://schemas.openxmlformats.org/officeDocument/2006/relationships/hyperlink" Target="https://sciwheel.com/work/citation?ids=1492435&amp;pre=&amp;suf=&amp;sa=0" TargetMode="External"/><Relationship Id="rId665" Type="http://schemas.openxmlformats.org/officeDocument/2006/relationships/hyperlink" Target="https://sciwheel.com/work/citation?ids=15742004,15912283,10878787,13430442&amp;pre=&amp;pre=&amp;pre=&amp;pre=&amp;suf=&amp;suf=&amp;suf=&amp;suf=&amp;sa=0,0,0,0" TargetMode="External"/><Relationship Id="rId872" Type="http://schemas.openxmlformats.org/officeDocument/2006/relationships/hyperlink" Target="mailto:l.v.unwin@sheffield.ac.uk" TargetMode="External"/><Relationship Id="rId15" Type="http://schemas.openxmlformats.org/officeDocument/2006/relationships/hyperlink" Target="https://sciwheel.com/work/citation?ids=355812&amp;pre=&amp;suf=&amp;sa=0" TargetMode="External"/><Relationship Id="rId318" Type="http://schemas.openxmlformats.org/officeDocument/2006/relationships/hyperlink" Target="https://sciwheel.com/work/citation?ids=16121779&amp;pre=&amp;suf=&amp;sa=0" TargetMode="External"/><Relationship Id="rId525" Type="http://schemas.openxmlformats.org/officeDocument/2006/relationships/hyperlink" Target="https://sciwheel.com/work/citation?ids=5889141&amp;pre=&amp;suf=&amp;sa=0" TargetMode="External"/><Relationship Id="rId732" Type="http://schemas.openxmlformats.org/officeDocument/2006/relationships/hyperlink" Target="https://sciwheel.com/work/citation?ids=8098885&amp;pre=&amp;suf=&amp;s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Bnaxyicrxbx6782bd/sy6rWhgg==">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</go:docsCustomData>
</go:gDocsCustomXmlDataStorage>
</file>

<file path=customXml/itemProps1.xml><?xml version="1.0" encoding="utf-8"?>
<ds:datastoreItem xmlns:ds="http://schemas.openxmlformats.org/officeDocument/2006/customXml" ds:itemID="{9B2601D5-D98C-4BA3-AB9A-260DB12FC86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366</Pages>
  <Words>111900</Words>
  <Characters>637830</Characters>
  <Application>Microsoft Office Word</Application>
  <DocSecurity>0</DocSecurity>
  <Lines>5315</Lines>
  <Paragraphs>1496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Bixuan Yan</dc:creator>
  <cp:lastModifiedBy>Bixuan Yan</cp:lastModifiedBy>
  <cp:revision>141</cp:revision>
  <dcterms:created xsi:type="dcterms:W3CDTF">2024-07-26T11:25:00Z</dcterms:created>
  <dcterms:modified xsi:type="dcterms:W3CDTF">2024-11-01T10:02:00Z</dcterms:modified>
</cp:coreProperties>
</file>